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CF" w:rsidRPr="005A6683" w:rsidRDefault="00A40F43" w:rsidP="00A40F43">
      <w:pPr>
        <w:spacing w:line="560" w:lineRule="exact"/>
        <w:ind w:leftChars="-270" w:left="-567"/>
        <w:jc w:val="center"/>
        <w:rPr>
          <w:rFonts w:ascii="方正小标宋简体" w:eastAsia="方正小标宋简体" w:hAnsi="黑体"/>
          <w:color w:val="000000" w:themeColor="text1"/>
          <w:kern w:val="0"/>
          <w:sz w:val="32"/>
          <w:szCs w:val="32"/>
        </w:rPr>
      </w:pPr>
      <w:bookmarkStart w:id="0" w:name="_GoBack"/>
      <w:bookmarkEnd w:id="0"/>
      <w:r w:rsidRPr="005A6683">
        <w:rPr>
          <w:rFonts w:ascii="方正小标宋简体" w:eastAsia="方正小标宋简体" w:hAnsi="黑体" w:hint="eastAsia"/>
          <w:color w:val="000000" w:themeColor="text1"/>
          <w:kern w:val="0"/>
          <w:sz w:val="32"/>
          <w:szCs w:val="32"/>
        </w:rPr>
        <w:t>天津市食品经营者食品安全主体责任清单</w:t>
      </w:r>
      <w:r w:rsidR="0067531C" w:rsidRPr="005A6683">
        <w:rPr>
          <w:rFonts w:ascii="方正小标宋简体" w:eastAsia="方正小标宋简体" w:hAnsi="黑体" w:hint="eastAsia"/>
          <w:color w:val="000000" w:themeColor="text1"/>
          <w:kern w:val="0"/>
          <w:sz w:val="32"/>
          <w:szCs w:val="32"/>
        </w:rPr>
        <w:t>（食品销售者）</w:t>
      </w:r>
    </w:p>
    <w:p w:rsidR="00A40F43" w:rsidRPr="000A0669" w:rsidRDefault="00A40F43" w:rsidP="00B52BCF">
      <w:pPr>
        <w:spacing w:line="400" w:lineRule="exact"/>
        <w:ind w:leftChars="-270" w:left="-567"/>
        <w:jc w:val="center"/>
        <w:rPr>
          <w:rFonts w:ascii="方正小标宋简体" w:eastAsia="方正小标宋简体"/>
          <w:color w:val="000000" w:themeColor="text1"/>
          <w:kern w:val="0"/>
          <w:sz w:val="32"/>
          <w:szCs w:val="32"/>
        </w:rPr>
      </w:pPr>
    </w:p>
    <w:tbl>
      <w:tblPr>
        <w:tblW w:w="13861" w:type="dxa"/>
        <w:jc w:val="center"/>
        <w:tblInd w:w="-4132" w:type="dxa"/>
        <w:tblLayout w:type="fixed"/>
        <w:tblLook w:val="0000" w:firstRow="0" w:lastRow="0" w:firstColumn="0" w:lastColumn="0" w:noHBand="0" w:noVBand="0"/>
      </w:tblPr>
      <w:tblGrid>
        <w:gridCol w:w="712"/>
        <w:gridCol w:w="1559"/>
        <w:gridCol w:w="675"/>
        <w:gridCol w:w="5511"/>
        <w:gridCol w:w="5404"/>
      </w:tblGrid>
      <w:tr w:rsidR="00A40F43" w:rsidRPr="000A0669" w:rsidTr="00A907C2">
        <w:trPr>
          <w:trHeight w:val="308"/>
          <w:jc w:val="center"/>
        </w:trPr>
        <w:tc>
          <w:tcPr>
            <w:tcW w:w="712" w:type="dxa"/>
            <w:tcBorders>
              <w:top w:val="single" w:sz="4" w:space="0" w:color="auto"/>
              <w:left w:val="single" w:sz="4" w:space="0" w:color="auto"/>
              <w:bottom w:val="single" w:sz="4" w:space="0" w:color="auto"/>
              <w:right w:val="single" w:sz="4" w:space="0" w:color="auto"/>
            </w:tcBorders>
            <w:vAlign w:val="center"/>
          </w:tcPr>
          <w:p w:rsidR="00A40F43" w:rsidRPr="005A6683" w:rsidRDefault="00A40F43" w:rsidP="008D3BE5">
            <w:pPr>
              <w:widowControl/>
              <w:jc w:val="center"/>
              <w:rPr>
                <w:rFonts w:hAnsiTheme="minorEastAsia"/>
                <w:b/>
                <w:bCs/>
                <w:color w:val="000000" w:themeColor="text1"/>
                <w:kern w:val="0"/>
                <w:sz w:val="20"/>
                <w:szCs w:val="20"/>
              </w:rPr>
            </w:pPr>
            <w:r w:rsidRPr="005A6683">
              <w:rPr>
                <w:rFonts w:hAnsiTheme="minorEastAsia" w:hint="eastAsia"/>
                <w:b/>
                <w:bCs/>
                <w:color w:val="000000" w:themeColor="text1"/>
                <w:kern w:val="0"/>
                <w:sz w:val="20"/>
                <w:szCs w:val="20"/>
              </w:rPr>
              <w:t>项目</w:t>
            </w:r>
          </w:p>
          <w:p w:rsidR="00A40F43" w:rsidRPr="005A6683" w:rsidRDefault="00A40F43" w:rsidP="008D3BE5">
            <w:pPr>
              <w:widowControl/>
              <w:jc w:val="center"/>
              <w:rPr>
                <w:rFonts w:hAnsiTheme="minorEastAsia"/>
                <w:b/>
                <w:bCs/>
                <w:color w:val="000000" w:themeColor="text1"/>
                <w:kern w:val="0"/>
                <w:sz w:val="20"/>
                <w:szCs w:val="20"/>
              </w:rPr>
            </w:pPr>
            <w:r w:rsidRPr="005A6683">
              <w:rPr>
                <w:rFonts w:hAnsiTheme="minorEastAsia" w:hint="eastAsia"/>
                <w:b/>
                <w:bCs/>
                <w:color w:val="000000" w:themeColor="text1"/>
                <w:kern w:val="0"/>
                <w:sz w:val="20"/>
                <w:szCs w:val="20"/>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A40F43" w:rsidRPr="005A6683" w:rsidRDefault="00A40F43" w:rsidP="00080E56">
            <w:pPr>
              <w:widowControl/>
              <w:jc w:val="center"/>
              <w:rPr>
                <w:rFonts w:hAnsiTheme="minorEastAsia"/>
                <w:b/>
                <w:bCs/>
                <w:color w:val="000000" w:themeColor="text1"/>
                <w:kern w:val="0"/>
                <w:sz w:val="20"/>
                <w:szCs w:val="20"/>
              </w:rPr>
            </w:pPr>
            <w:r w:rsidRPr="005A6683">
              <w:rPr>
                <w:rFonts w:hAnsiTheme="minorEastAsia" w:hint="eastAsia"/>
                <w:b/>
                <w:bCs/>
                <w:color w:val="000000" w:themeColor="text1"/>
                <w:kern w:val="0"/>
                <w:sz w:val="20"/>
                <w:szCs w:val="20"/>
              </w:rPr>
              <w:t>项目</w:t>
            </w: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hAnsiTheme="minorEastAsia"/>
                <w:b/>
                <w:bCs/>
                <w:color w:val="000000" w:themeColor="text1"/>
                <w:kern w:val="0"/>
                <w:sz w:val="20"/>
                <w:szCs w:val="20"/>
              </w:rPr>
            </w:pPr>
            <w:r w:rsidRPr="005A6683">
              <w:rPr>
                <w:rFonts w:hAnsiTheme="minorEastAsia" w:hint="eastAsia"/>
                <w:b/>
                <w:bCs/>
                <w:color w:val="000000" w:themeColor="text1"/>
                <w:kern w:val="0"/>
                <w:sz w:val="20"/>
                <w:szCs w:val="20"/>
              </w:rPr>
              <w:t>序号</w:t>
            </w:r>
          </w:p>
        </w:tc>
        <w:tc>
          <w:tcPr>
            <w:tcW w:w="5511"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hAnsiTheme="minorEastAsia"/>
                <w:b/>
                <w:bCs/>
                <w:color w:val="000000" w:themeColor="text1"/>
                <w:kern w:val="0"/>
                <w:sz w:val="20"/>
                <w:szCs w:val="20"/>
              </w:rPr>
            </w:pPr>
            <w:r w:rsidRPr="005A6683">
              <w:rPr>
                <w:rFonts w:hAnsiTheme="minorEastAsia" w:hint="eastAsia"/>
                <w:b/>
                <w:bCs/>
                <w:color w:val="000000" w:themeColor="text1"/>
                <w:kern w:val="0"/>
                <w:sz w:val="20"/>
                <w:szCs w:val="20"/>
              </w:rPr>
              <w:t>内容</w:t>
            </w:r>
          </w:p>
        </w:tc>
        <w:tc>
          <w:tcPr>
            <w:tcW w:w="5404" w:type="dxa"/>
            <w:tcBorders>
              <w:top w:val="single" w:sz="4" w:space="0" w:color="auto"/>
              <w:left w:val="nil"/>
              <w:bottom w:val="single" w:sz="4" w:space="0" w:color="auto"/>
              <w:right w:val="single" w:sz="4" w:space="0" w:color="auto"/>
            </w:tcBorders>
            <w:vAlign w:val="center"/>
          </w:tcPr>
          <w:p w:rsidR="00A40F43" w:rsidRPr="005A6683" w:rsidRDefault="00A40F43" w:rsidP="00133344">
            <w:pPr>
              <w:widowControl/>
              <w:jc w:val="center"/>
              <w:rPr>
                <w:rFonts w:hAnsi="仿宋"/>
                <w:b/>
                <w:bCs/>
                <w:color w:val="000000" w:themeColor="text1"/>
                <w:kern w:val="0"/>
                <w:sz w:val="20"/>
                <w:szCs w:val="20"/>
              </w:rPr>
            </w:pPr>
            <w:r w:rsidRPr="005A6683">
              <w:rPr>
                <w:rFonts w:hAnsi="仿宋" w:hint="eastAsia"/>
                <w:b/>
                <w:bCs/>
                <w:color w:val="000000" w:themeColor="text1"/>
                <w:kern w:val="0"/>
                <w:sz w:val="20"/>
                <w:szCs w:val="20"/>
              </w:rPr>
              <w:t>相关依据</w:t>
            </w:r>
          </w:p>
        </w:tc>
      </w:tr>
      <w:tr w:rsidR="00D508EA" w:rsidRPr="005A6683" w:rsidTr="00A907C2">
        <w:trPr>
          <w:trHeight w:val="567"/>
          <w:jc w:val="center"/>
        </w:trPr>
        <w:tc>
          <w:tcPr>
            <w:tcW w:w="712" w:type="dxa"/>
            <w:vMerge w:val="restart"/>
            <w:tcBorders>
              <w:top w:val="nil"/>
              <w:left w:val="single" w:sz="4" w:space="0" w:color="auto"/>
              <w:right w:val="single" w:sz="4" w:space="0" w:color="auto"/>
            </w:tcBorders>
            <w:vAlign w:val="center"/>
          </w:tcPr>
          <w:p w:rsidR="00D508EA" w:rsidRPr="005A6683" w:rsidRDefault="00D508EA" w:rsidP="005A6683">
            <w:pPr>
              <w:widowControl/>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 xml:space="preserve">  1</w:t>
            </w:r>
          </w:p>
        </w:tc>
        <w:tc>
          <w:tcPr>
            <w:tcW w:w="1559" w:type="dxa"/>
            <w:vMerge w:val="restart"/>
            <w:tcBorders>
              <w:top w:val="nil"/>
              <w:left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经营资质</w:t>
            </w: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销售者持有的食品经营许可证合法有效</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67701F">
            <w:pPr>
              <w:widowControl/>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《食品安全法》第三十五条第一款；</w:t>
            </w:r>
          </w:p>
          <w:p w:rsidR="00D508EA" w:rsidRPr="005A6683" w:rsidRDefault="00D508EA" w:rsidP="0067701F">
            <w:pPr>
              <w:widowControl/>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《食品安全法实施条例》第十五条；</w:t>
            </w:r>
          </w:p>
          <w:p w:rsidR="00D508EA" w:rsidRPr="005A6683" w:rsidRDefault="00D508EA" w:rsidP="0067701F">
            <w:pPr>
              <w:widowControl/>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3.</w:t>
            </w:r>
            <w:r w:rsidRPr="005A6683">
              <w:rPr>
                <w:rFonts w:ascii="Times New Roman" w:hAnsi="Times New Roman"/>
                <w:color w:val="000000" w:themeColor="text1"/>
                <w:kern w:val="0"/>
                <w:sz w:val="20"/>
                <w:szCs w:val="20"/>
              </w:rPr>
              <w:t>《食品经营许可管理办法》第十九条、第二十六条。</w:t>
            </w:r>
          </w:p>
        </w:tc>
      </w:tr>
      <w:tr w:rsidR="00D508EA" w:rsidRPr="005A6683" w:rsidTr="00A907C2">
        <w:trPr>
          <w:trHeight w:val="429"/>
          <w:jc w:val="center"/>
        </w:trPr>
        <w:tc>
          <w:tcPr>
            <w:tcW w:w="712" w:type="dxa"/>
            <w:vMerge/>
            <w:tcBorders>
              <w:left w:val="single" w:sz="4" w:space="0" w:color="auto"/>
              <w:right w:val="single" w:sz="4" w:space="0" w:color="auto"/>
            </w:tcBorders>
            <w:vAlign w:val="center"/>
          </w:tcPr>
          <w:p w:rsidR="00D508EA" w:rsidRPr="005A6683" w:rsidRDefault="00D508EA" w:rsidP="005A6683">
            <w:pPr>
              <w:widowControl/>
              <w:jc w:val="center"/>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1.2</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食品经营许可证载明的有关内容与实际经营项目相符</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《食品经营许可管理办法》第二十六条、第二十七条。</w:t>
            </w:r>
          </w:p>
        </w:tc>
      </w:tr>
      <w:tr w:rsidR="00D508EA" w:rsidRPr="005A6683" w:rsidTr="00A907C2">
        <w:trPr>
          <w:trHeight w:val="567"/>
          <w:jc w:val="center"/>
        </w:trPr>
        <w:tc>
          <w:tcPr>
            <w:tcW w:w="712" w:type="dxa"/>
            <w:vMerge/>
            <w:tcBorders>
              <w:left w:val="single" w:sz="4" w:space="0" w:color="auto"/>
              <w:bottom w:val="single" w:sz="4" w:space="0" w:color="auto"/>
              <w:right w:val="single" w:sz="4" w:space="0" w:color="auto"/>
            </w:tcBorders>
            <w:vAlign w:val="center"/>
          </w:tcPr>
          <w:p w:rsidR="00D508EA" w:rsidRPr="005A6683" w:rsidRDefault="00D508EA" w:rsidP="00D508EA">
            <w:pPr>
              <w:widowControl/>
              <w:rPr>
                <w:rFonts w:ascii="Times New Roman" w:hAnsi="Times New Roman"/>
                <w:color w:val="000000" w:themeColor="text1"/>
                <w:kern w:val="0"/>
                <w:sz w:val="20"/>
                <w:szCs w:val="20"/>
              </w:rPr>
            </w:pPr>
          </w:p>
        </w:tc>
        <w:tc>
          <w:tcPr>
            <w:tcW w:w="1559" w:type="dxa"/>
            <w:vMerge/>
            <w:tcBorders>
              <w:left w:val="single" w:sz="4" w:space="0" w:color="auto"/>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1.3</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许可证悬挂或摆放在经营场所的醒目位置</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133344">
            <w:pPr>
              <w:widowControl/>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《食品经营许可管理办法》第二十六条；</w:t>
            </w:r>
          </w:p>
          <w:p w:rsidR="00D508EA" w:rsidRPr="005A6683" w:rsidRDefault="00D508EA" w:rsidP="00111322">
            <w:pPr>
              <w:widowControl/>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《网络食品安全违法行为查处办法》第十八条第一款。</w:t>
            </w:r>
          </w:p>
          <w:p w:rsidR="00D508EA" w:rsidRPr="005A6683" w:rsidRDefault="00D508EA" w:rsidP="00111322">
            <w:pPr>
              <w:widowControl/>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3.</w:t>
            </w:r>
            <w:r w:rsidRPr="005A6683">
              <w:rPr>
                <w:rFonts w:ascii="Times New Roman" w:hAnsi="Times New Roman"/>
                <w:color w:val="000000" w:themeColor="text1"/>
                <w:kern w:val="0"/>
                <w:sz w:val="20"/>
                <w:szCs w:val="20"/>
              </w:rPr>
              <w:t>《网络餐饮服务食品安全监督管理办法》第九条。</w:t>
            </w:r>
          </w:p>
        </w:tc>
      </w:tr>
      <w:tr w:rsidR="00D508EA" w:rsidRPr="005A6683" w:rsidTr="00A907C2">
        <w:trPr>
          <w:trHeight w:val="156"/>
          <w:jc w:val="center"/>
        </w:trPr>
        <w:tc>
          <w:tcPr>
            <w:tcW w:w="712" w:type="dxa"/>
            <w:vMerge w:val="restart"/>
            <w:tcBorders>
              <w:top w:val="nil"/>
              <w:left w:val="single" w:sz="4" w:space="0" w:color="auto"/>
              <w:right w:val="single" w:sz="4" w:space="0" w:color="auto"/>
            </w:tcBorders>
            <w:vAlign w:val="center"/>
          </w:tcPr>
          <w:p w:rsidR="00D508EA" w:rsidRPr="005A6683" w:rsidRDefault="00D508EA" w:rsidP="00D508EA">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 xml:space="preserve">2 </w:t>
            </w:r>
          </w:p>
        </w:tc>
        <w:tc>
          <w:tcPr>
            <w:tcW w:w="1559" w:type="dxa"/>
            <w:vMerge w:val="restart"/>
            <w:tcBorders>
              <w:top w:val="nil"/>
              <w:left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经营条件</w:t>
            </w: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2.1</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具有与销售的食品品种、数量相适应的场所，销售场所环境干净整洁</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《食品安全法》第三十三条第一款第一项。</w:t>
            </w:r>
          </w:p>
        </w:tc>
      </w:tr>
      <w:tr w:rsidR="00D508EA" w:rsidRPr="005A6683" w:rsidTr="00A907C2">
        <w:trPr>
          <w:trHeight w:val="363"/>
          <w:jc w:val="center"/>
        </w:trPr>
        <w:tc>
          <w:tcPr>
            <w:tcW w:w="712" w:type="dxa"/>
            <w:vMerge/>
            <w:tcBorders>
              <w:left w:val="single" w:sz="4" w:space="0" w:color="auto"/>
              <w:right w:val="single" w:sz="4" w:space="0" w:color="auto"/>
            </w:tcBorders>
            <w:vAlign w:val="center"/>
          </w:tcPr>
          <w:p w:rsidR="00D508EA" w:rsidRPr="005A6683" w:rsidRDefault="00D508EA" w:rsidP="005A6683">
            <w:pPr>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2.2</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经营和贮存场所不得设在易污染区域，距离粪坑、污水池等污染源</w:t>
            </w:r>
            <w:r w:rsidRPr="005A6683">
              <w:rPr>
                <w:rFonts w:ascii="Times New Roman" w:hAnsi="Times New Roman"/>
                <w:color w:val="000000" w:themeColor="text1"/>
                <w:kern w:val="0"/>
                <w:sz w:val="20"/>
                <w:szCs w:val="20"/>
              </w:rPr>
              <w:t>25</w:t>
            </w:r>
            <w:r w:rsidRPr="005A6683">
              <w:rPr>
                <w:rFonts w:ascii="Times New Roman" w:hAnsi="Times New Roman"/>
                <w:color w:val="000000" w:themeColor="text1"/>
                <w:kern w:val="0"/>
                <w:sz w:val="20"/>
                <w:szCs w:val="20"/>
              </w:rPr>
              <w:t>米以上</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《食品经营许可审查通则》第八条。</w:t>
            </w:r>
          </w:p>
        </w:tc>
      </w:tr>
      <w:tr w:rsidR="00D508EA" w:rsidRPr="005A6683" w:rsidTr="00A907C2">
        <w:trPr>
          <w:trHeight w:val="567"/>
          <w:jc w:val="center"/>
        </w:trPr>
        <w:tc>
          <w:tcPr>
            <w:tcW w:w="712" w:type="dxa"/>
            <w:vMerge/>
            <w:tcBorders>
              <w:left w:val="single" w:sz="4" w:space="0" w:color="auto"/>
              <w:right w:val="single" w:sz="4" w:space="0" w:color="auto"/>
            </w:tcBorders>
            <w:vAlign w:val="center"/>
          </w:tcPr>
          <w:p w:rsidR="00D508EA" w:rsidRPr="005A6683" w:rsidRDefault="00D508EA" w:rsidP="005A6683">
            <w:pPr>
              <w:widowControl/>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2.3</w:t>
            </w:r>
          </w:p>
        </w:tc>
        <w:tc>
          <w:tcPr>
            <w:tcW w:w="5511" w:type="dxa"/>
            <w:tcBorders>
              <w:top w:val="single" w:sz="4" w:space="0" w:color="auto"/>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食品销售场所布局合理，食品和非食品、生食和熟食、水产品与其他食品等销售区域分开设置，有固定的存放位置和标识</w:t>
            </w:r>
            <w:r w:rsidR="008E22F1">
              <w:rPr>
                <w:rFonts w:ascii="Times New Roman" w:hAnsi="Times New Roman" w:hint="eastAsia"/>
                <w:color w:val="000000" w:themeColor="text1"/>
                <w:kern w:val="0"/>
                <w:sz w:val="20"/>
                <w:szCs w:val="20"/>
              </w:rPr>
              <w:t>。</w:t>
            </w:r>
          </w:p>
        </w:tc>
        <w:tc>
          <w:tcPr>
            <w:tcW w:w="5404" w:type="dxa"/>
            <w:tcBorders>
              <w:top w:val="single" w:sz="4" w:space="0" w:color="auto"/>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《食品安全法》第三十三条第一款第四项。</w:t>
            </w:r>
          </w:p>
        </w:tc>
      </w:tr>
      <w:tr w:rsidR="00D508EA" w:rsidRPr="005A6683" w:rsidTr="00A907C2">
        <w:trPr>
          <w:trHeight w:val="225"/>
          <w:jc w:val="center"/>
        </w:trPr>
        <w:tc>
          <w:tcPr>
            <w:tcW w:w="712" w:type="dxa"/>
            <w:vMerge/>
            <w:tcBorders>
              <w:left w:val="single" w:sz="4" w:space="0" w:color="auto"/>
              <w:right w:val="single" w:sz="4" w:space="0" w:color="auto"/>
            </w:tcBorders>
            <w:vAlign w:val="center"/>
          </w:tcPr>
          <w:p w:rsidR="00D508EA" w:rsidRPr="005A6683" w:rsidRDefault="00D508EA" w:rsidP="008D3BE5">
            <w:pPr>
              <w:widowControl/>
              <w:jc w:val="center"/>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2.4</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具有与销售的食品品种、数量相适应的生产经营设备或者设施</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《食品安全法》第三十三条第一款第二项。</w:t>
            </w:r>
          </w:p>
        </w:tc>
      </w:tr>
      <w:tr w:rsidR="00D508EA" w:rsidRPr="005A6683" w:rsidTr="00A907C2">
        <w:trPr>
          <w:trHeight w:val="188"/>
          <w:jc w:val="center"/>
        </w:trPr>
        <w:tc>
          <w:tcPr>
            <w:tcW w:w="712" w:type="dxa"/>
            <w:vMerge/>
            <w:tcBorders>
              <w:left w:val="single" w:sz="4" w:space="0" w:color="auto"/>
              <w:bottom w:val="single" w:sz="4" w:space="0" w:color="auto"/>
              <w:right w:val="single" w:sz="4" w:space="0" w:color="auto"/>
            </w:tcBorders>
            <w:vAlign w:val="center"/>
          </w:tcPr>
          <w:p w:rsidR="00D508EA" w:rsidRPr="005A6683" w:rsidRDefault="00D508EA" w:rsidP="008D3BE5">
            <w:pPr>
              <w:widowControl/>
              <w:jc w:val="center"/>
              <w:rPr>
                <w:rFonts w:ascii="Times New Roman" w:hAnsi="Times New Roman"/>
                <w:color w:val="000000" w:themeColor="text1"/>
                <w:kern w:val="0"/>
                <w:sz w:val="20"/>
                <w:szCs w:val="20"/>
              </w:rPr>
            </w:pPr>
          </w:p>
        </w:tc>
        <w:tc>
          <w:tcPr>
            <w:tcW w:w="1559" w:type="dxa"/>
            <w:vMerge/>
            <w:tcBorders>
              <w:left w:val="single" w:sz="4" w:space="0" w:color="auto"/>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2.5</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食品销售场所和贮存场所与生活区分（隔）开</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《食品经营许可审查通则》第十五条。</w:t>
            </w:r>
          </w:p>
        </w:tc>
      </w:tr>
      <w:tr w:rsidR="00A40F43" w:rsidRPr="005A6683" w:rsidTr="00A907C2">
        <w:trPr>
          <w:trHeight w:val="50"/>
          <w:jc w:val="center"/>
        </w:trPr>
        <w:tc>
          <w:tcPr>
            <w:tcW w:w="712" w:type="dxa"/>
            <w:vMerge w:val="restart"/>
            <w:tcBorders>
              <w:top w:val="single" w:sz="4" w:space="0" w:color="auto"/>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3</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食品标签等外观质量状况</w:t>
            </w: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3.1</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食品在保质期内</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D508EA" w:rsidRDefault="00A40F43" w:rsidP="00A05224">
            <w:pPr>
              <w:jc w:val="left"/>
              <w:rPr>
                <w:rFonts w:ascii="Times New Roman" w:hAnsi="Times New Roman"/>
                <w:color w:val="000000" w:themeColor="text1"/>
                <w:kern w:val="0"/>
                <w:sz w:val="20"/>
                <w:szCs w:val="20"/>
              </w:rPr>
            </w:pPr>
            <w:r w:rsidRPr="00D508EA">
              <w:rPr>
                <w:rFonts w:ascii="Times New Roman" w:hAnsi="Times New Roman"/>
                <w:color w:val="000000" w:themeColor="text1"/>
                <w:kern w:val="0"/>
                <w:sz w:val="20"/>
                <w:szCs w:val="20"/>
              </w:rPr>
              <w:t>《食品安全法》第三十四条第十项</w:t>
            </w:r>
            <w:r w:rsidR="00C43920" w:rsidRPr="00D508EA">
              <w:rPr>
                <w:rFonts w:ascii="Times New Roman" w:hAnsi="Times New Roman"/>
                <w:color w:val="000000" w:themeColor="text1"/>
                <w:kern w:val="0"/>
                <w:sz w:val="20"/>
                <w:szCs w:val="20"/>
              </w:rPr>
              <w:t>。</w:t>
            </w:r>
          </w:p>
        </w:tc>
      </w:tr>
      <w:tr w:rsidR="00A40F43" w:rsidRPr="005A6683" w:rsidTr="00A907C2">
        <w:trPr>
          <w:trHeight w:val="50"/>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3.2</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食品感官性状正常</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D508EA" w:rsidRDefault="00A40F43" w:rsidP="00A05224">
            <w:pPr>
              <w:jc w:val="left"/>
              <w:rPr>
                <w:rFonts w:ascii="Times New Roman" w:hAnsi="Times New Roman"/>
                <w:color w:val="000000" w:themeColor="text1"/>
                <w:kern w:val="0"/>
                <w:sz w:val="20"/>
                <w:szCs w:val="20"/>
              </w:rPr>
            </w:pPr>
            <w:r w:rsidRPr="00D508EA">
              <w:rPr>
                <w:rFonts w:ascii="Times New Roman" w:hAnsi="Times New Roman"/>
                <w:color w:val="000000" w:themeColor="text1"/>
                <w:kern w:val="0"/>
                <w:sz w:val="20"/>
                <w:szCs w:val="20"/>
              </w:rPr>
              <w:t>《食品安全法》第三十四条第六项</w:t>
            </w:r>
            <w:r w:rsidR="00C43920" w:rsidRPr="00D508EA">
              <w:rPr>
                <w:rFonts w:ascii="Times New Roman" w:hAnsi="Times New Roman"/>
                <w:color w:val="000000" w:themeColor="text1"/>
                <w:kern w:val="0"/>
                <w:sz w:val="20"/>
                <w:szCs w:val="20"/>
              </w:rPr>
              <w:t>。</w:t>
            </w:r>
          </w:p>
        </w:tc>
      </w:tr>
      <w:tr w:rsidR="00A40F43" w:rsidRPr="005A6683" w:rsidTr="00A907C2">
        <w:trPr>
          <w:trHeight w:val="215"/>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3.3</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预包装食品、食品添加剂的包装上有标签，标签标明的内容</w:t>
            </w:r>
            <w:r w:rsidRPr="005A6683">
              <w:rPr>
                <w:rFonts w:ascii="Times New Roman" w:hAnsi="Times New Roman"/>
                <w:color w:val="000000" w:themeColor="text1"/>
                <w:kern w:val="0"/>
                <w:sz w:val="20"/>
                <w:szCs w:val="20"/>
              </w:rPr>
              <w:lastRenderedPageBreak/>
              <w:t>符合食品安全法等法律法规的规定</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D508EA" w:rsidRDefault="00A40F43" w:rsidP="00A05224">
            <w:pPr>
              <w:jc w:val="left"/>
              <w:rPr>
                <w:rFonts w:ascii="Times New Roman" w:hAnsi="Times New Roman"/>
                <w:color w:val="000000" w:themeColor="text1"/>
                <w:kern w:val="0"/>
                <w:sz w:val="20"/>
                <w:szCs w:val="20"/>
              </w:rPr>
            </w:pPr>
            <w:r w:rsidRPr="00D508EA">
              <w:rPr>
                <w:rFonts w:ascii="Times New Roman" w:hAnsi="Times New Roman"/>
                <w:color w:val="000000" w:themeColor="text1"/>
                <w:kern w:val="0"/>
                <w:sz w:val="20"/>
                <w:szCs w:val="20"/>
              </w:rPr>
              <w:lastRenderedPageBreak/>
              <w:t>《食品安全法》第六十七条、第七十条、第九十七条</w:t>
            </w:r>
            <w:r w:rsidR="00C43920" w:rsidRPr="00D508EA">
              <w:rPr>
                <w:rFonts w:ascii="Times New Roman" w:hAnsi="Times New Roman"/>
                <w:color w:val="000000" w:themeColor="text1"/>
                <w:kern w:val="0"/>
                <w:sz w:val="20"/>
                <w:szCs w:val="20"/>
              </w:rPr>
              <w:t>。</w:t>
            </w:r>
          </w:p>
        </w:tc>
      </w:tr>
      <w:tr w:rsidR="00A40F43" w:rsidRPr="005A6683" w:rsidTr="00A907C2">
        <w:trPr>
          <w:trHeight w:val="567"/>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3.4</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食品的标签、说明书清楚、明显，生产日期、保质期等事项显著标注，容易辨识，不涉及疾病预防、治疗功能</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jc w:val="left"/>
              <w:rPr>
                <w:rFonts w:ascii="Times New Roman" w:hAnsi="Times New Roman"/>
                <w:color w:val="000000" w:themeColor="text1"/>
              </w:rPr>
            </w:pPr>
            <w:r w:rsidRPr="005A6683">
              <w:rPr>
                <w:rFonts w:ascii="Times New Roman" w:hAnsi="Times New Roman"/>
                <w:color w:val="000000" w:themeColor="text1"/>
              </w:rPr>
              <w:t>《食品安全法》第七十一条</w:t>
            </w:r>
            <w:r w:rsidR="00C43920" w:rsidRPr="005A6683">
              <w:rPr>
                <w:rFonts w:ascii="Times New Roman" w:hAnsi="Times New Roman"/>
                <w:color w:val="000000" w:themeColor="text1"/>
              </w:rPr>
              <w:t>。</w:t>
            </w:r>
          </w:p>
        </w:tc>
      </w:tr>
      <w:tr w:rsidR="00A40F43" w:rsidRPr="005A6683" w:rsidTr="00A907C2">
        <w:trPr>
          <w:trHeight w:val="771"/>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3.5</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散装食品，在散装食品的容器、外包装上标明食品的名称、生产日期或者生产批号、保质期以及生产经营者名称、地址、联系方式等内容</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《食品安全法》第六十八条</w:t>
            </w:r>
            <w:r w:rsidR="00C43920" w:rsidRPr="005A6683">
              <w:rPr>
                <w:rFonts w:ascii="Times New Roman" w:hAnsi="Times New Roman"/>
                <w:color w:val="000000" w:themeColor="text1"/>
                <w:kern w:val="0"/>
                <w:sz w:val="20"/>
                <w:szCs w:val="20"/>
              </w:rPr>
              <w:t>。</w:t>
            </w:r>
          </w:p>
        </w:tc>
      </w:tr>
      <w:tr w:rsidR="00A40F43" w:rsidRPr="005A6683" w:rsidTr="00A907C2">
        <w:trPr>
          <w:trHeight w:val="143"/>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3.6</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销售场所设置或摆放的食品广告的内容不涉及疾病预防、治疗功能</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《食品安全法》第七十三条</w:t>
            </w:r>
            <w:r w:rsidR="00C43920" w:rsidRPr="005A6683">
              <w:rPr>
                <w:rFonts w:ascii="Times New Roman" w:hAnsi="Times New Roman"/>
                <w:color w:val="000000" w:themeColor="text1"/>
                <w:kern w:val="0"/>
                <w:sz w:val="20"/>
                <w:szCs w:val="20"/>
              </w:rPr>
              <w:t>。</w:t>
            </w:r>
          </w:p>
        </w:tc>
      </w:tr>
      <w:tr w:rsidR="00A40F43" w:rsidRPr="005A6683" w:rsidTr="00A907C2">
        <w:trPr>
          <w:trHeight w:val="50"/>
          <w:jc w:val="center"/>
        </w:trPr>
        <w:tc>
          <w:tcPr>
            <w:tcW w:w="712" w:type="dxa"/>
            <w:vMerge/>
            <w:tcBorders>
              <w:left w:val="single" w:sz="4" w:space="0" w:color="auto"/>
              <w:bottom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noWrap/>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3.7</w:t>
            </w:r>
          </w:p>
        </w:tc>
        <w:tc>
          <w:tcPr>
            <w:tcW w:w="5511" w:type="dxa"/>
            <w:tcBorders>
              <w:top w:val="nil"/>
              <w:left w:val="nil"/>
              <w:bottom w:val="single" w:sz="4" w:space="0" w:color="auto"/>
              <w:right w:val="single" w:sz="4" w:space="0" w:color="auto"/>
            </w:tcBorders>
            <w:noWrap/>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转基因食品按照规定显著标示</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《食品安全法》第六十九条</w:t>
            </w:r>
            <w:r w:rsidR="00C43920" w:rsidRPr="005A6683">
              <w:rPr>
                <w:rFonts w:ascii="Times New Roman" w:hAnsi="Times New Roman"/>
                <w:color w:val="000000" w:themeColor="text1"/>
                <w:kern w:val="0"/>
                <w:sz w:val="20"/>
                <w:szCs w:val="20"/>
              </w:rPr>
              <w:t>。</w:t>
            </w:r>
          </w:p>
        </w:tc>
      </w:tr>
      <w:tr w:rsidR="00A40F43" w:rsidRPr="005A6683" w:rsidTr="00A907C2">
        <w:trPr>
          <w:trHeight w:val="567"/>
          <w:jc w:val="center"/>
        </w:trPr>
        <w:tc>
          <w:tcPr>
            <w:tcW w:w="712" w:type="dxa"/>
            <w:vMerge w:val="restart"/>
            <w:tcBorders>
              <w:top w:val="nil"/>
              <w:left w:val="single" w:sz="4" w:space="0" w:color="auto"/>
              <w:right w:val="single" w:sz="4" w:space="0" w:color="auto"/>
            </w:tcBorders>
            <w:vAlign w:val="center"/>
          </w:tcPr>
          <w:p w:rsidR="00A40F43" w:rsidRPr="005A6683" w:rsidRDefault="00A40F43" w:rsidP="008D3BE5">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4</w:t>
            </w:r>
          </w:p>
        </w:tc>
        <w:tc>
          <w:tcPr>
            <w:tcW w:w="1559" w:type="dxa"/>
            <w:vMerge w:val="restart"/>
            <w:tcBorders>
              <w:top w:val="nil"/>
              <w:left w:val="single" w:sz="4" w:space="0" w:color="auto"/>
              <w:right w:val="single" w:sz="4" w:space="0" w:color="auto"/>
            </w:tcBorders>
            <w:vAlign w:val="center"/>
          </w:tcPr>
          <w:p w:rsidR="00A40F43" w:rsidRPr="005A6683" w:rsidRDefault="00A40F43" w:rsidP="001F69A9">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从业人员</w:t>
            </w:r>
          </w:p>
          <w:p w:rsidR="00A40F43" w:rsidRPr="005A6683" w:rsidRDefault="00A40F43" w:rsidP="001F69A9">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管理</w:t>
            </w: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4.1</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食品销售者及其法定代表人、直接负责的主管人员和其他直接责任人员不属于法律规定的禁止从业的情形</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《食品安全法》第一百三十五条</w:t>
            </w:r>
            <w:r w:rsidR="00C43920" w:rsidRPr="005A6683">
              <w:rPr>
                <w:rFonts w:ascii="Times New Roman" w:hAnsi="Times New Roman"/>
                <w:color w:val="000000" w:themeColor="text1"/>
                <w:kern w:val="0"/>
                <w:sz w:val="20"/>
                <w:szCs w:val="20"/>
              </w:rPr>
              <w:t>。</w:t>
            </w:r>
          </w:p>
        </w:tc>
      </w:tr>
      <w:tr w:rsidR="00A40F43" w:rsidRPr="005A6683" w:rsidTr="00A907C2">
        <w:trPr>
          <w:trHeight w:val="50"/>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4.2</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建立从业人员健康管理制度</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《食品安全法》第四十五条</w:t>
            </w:r>
            <w:r w:rsidR="00C43920" w:rsidRPr="005A6683">
              <w:rPr>
                <w:rFonts w:ascii="Times New Roman" w:hAnsi="Times New Roman"/>
                <w:color w:val="000000" w:themeColor="text1"/>
                <w:kern w:val="0"/>
                <w:sz w:val="20"/>
                <w:szCs w:val="20"/>
              </w:rPr>
              <w:t>。</w:t>
            </w:r>
          </w:p>
        </w:tc>
      </w:tr>
      <w:tr w:rsidR="00A40F43" w:rsidRPr="005A6683" w:rsidTr="00A907C2">
        <w:trPr>
          <w:trHeight w:val="211"/>
          <w:jc w:val="center"/>
        </w:trPr>
        <w:tc>
          <w:tcPr>
            <w:tcW w:w="712" w:type="dxa"/>
            <w:vMerge/>
            <w:tcBorders>
              <w:left w:val="single" w:sz="4" w:space="0" w:color="auto"/>
              <w:bottom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4.3</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在岗从事接触直接入口食品工作的食品经营人员取得</w:t>
            </w:r>
            <w:r w:rsidR="008E22F1">
              <w:rPr>
                <w:rFonts w:ascii="Times New Roman" w:hAnsi="Times New Roman"/>
                <w:color w:val="000000" w:themeColor="text1"/>
                <w:kern w:val="0"/>
                <w:sz w:val="20"/>
                <w:szCs w:val="20"/>
              </w:rPr>
              <w:t>健康证明，无患有国务院卫生行政部门规定的有碍食品安全疾病的情况</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《食品安全法》第四十五条</w:t>
            </w:r>
            <w:r w:rsidR="00C43920" w:rsidRPr="005A6683">
              <w:rPr>
                <w:rFonts w:ascii="Times New Roman" w:hAnsi="Times New Roman"/>
                <w:color w:val="000000" w:themeColor="text1"/>
                <w:kern w:val="0"/>
                <w:sz w:val="20"/>
                <w:szCs w:val="20"/>
              </w:rPr>
              <w:t>。</w:t>
            </w:r>
          </w:p>
        </w:tc>
      </w:tr>
      <w:tr w:rsidR="00A40F43" w:rsidRPr="005A6683" w:rsidTr="00A907C2">
        <w:trPr>
          <w:trHeight w:val="291"/>
          <w:jc w:val="center"/>
        </w:trPr>
        <w:tc>
          <w:tcPr>
            <w:tcW w:w="712" w:type="dxa"/>
            <w:vMerge w:val="restart"/>
            <w:tcBorders>
              <w:top w:val="nil"/>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w:t>
            </w:r>
          </w:p>
        </w:tc>
        <w:tc>
          <w:tcPr>
            <w:tcW w:w="1559" w:type="dxa"/>
            <w:vMerge w:val="restart"/>
            <w:tcBorders>
              <w:top w:val="nil"/>
              <w:left w:val="single" w:sz="4" w:space="0" w:color="auto"/>
              <w:bottom w:val="single" w:sz="4" w:space="0" w:color="auto"/>
              <w:right w:val="single" w:sz="4" w:space="0" w:color="auto"/>
            </w:tcBorders>
            <w:vAlign w:val="center"/>
          </w:tcPr>
          <w:p w:rsidR="008D3BE5"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经营过程</w:t>
            </w:r>
          </w:p>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控制情况</w:t>
            </w: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5.1</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定期检查库存食品，及时清理变质或者超过保质期的食品</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《食品安全法》第五十四条第一款</w:t>
            </w:r>
            <w:r w:rsidR="00C43920" w:rsidRPr="005A6683">
              <w:rPr>
                <w:rFonts w:ascii="Times New Roman" w:hAnsi="Times New Roman"/>
                <w:color w:val="000000" w:themeColor="text1"/>
                <w:kern w:val="0"/>
                <w:sz w:val="20"/>
                <w:szCs w:val="20"/>
              </w:rPr>
              <w:t>；</w:t>
            </w:r>
          </w:p>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《食品安全法实施条例》第二十九条</w:t>
            </w:r>
            <w:r w:rsidR="00C43920" w:rsidRPr="005A6683">
              <w:rPr>
                <w:rFonts w:ascii="Times New Roman" w:hAnsi="Times New Roman"/>
                <w:color w:val="000000" w:themeColor="text1"/>
                <w:kern w:val="0"/>
                <w:sz w:val="20"/>
                <w:szCs w:val="20"/>
              </w:rPr>
              <w:t>。</w:t>
            </w:r>
          </w:p>
        </w:tc>
      </w:tr>
      <w:tr w:rsidR="00A40F43" w:rsidRPr="005A6683" w:rsidTr="00A907C2">
        <w:trPr>
          <w:trHeight w:val="654"/>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nil"/>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5.2</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食品贮存隔墙离地距离在</w:t>
            </w:r>
            <w:r w:rsidRPr="005A6683">
              <w:rPr>
                <w:rFonts w:ascii="Times New Roman" w:hAnsi="Times New Roman"/>
                <w:color w:val="000000" w:themeColor="text1"/>
                <w:kern w:val="0"/>
                <w:sz w:val="20"/>
                <w:szCs w:val="20"/>
              </w:rPr>
              <w:t>10</w:t>
            </w:r>
            <w:r w:rsidRPr="005A6683">
              <w:rPr>
                <w:rFonts w:ascii="Times New Roman" w:hAnsi="Times New Roman"/>
                <w:color w:val="000000" w:themeColor="text1"/>
                <w:kern w:val="0"/>
                <w:sz w:val="20"/>
                <w:szCs w:val="20"/>
              </w:rPr>
              <w:t>厘米以上</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《食品经营过程卫生规范》（</w:t>
            </w:r>
            <w:r w:rsidRPr="005A6683">
              <w:rPr>
                <w:rFonts w:ascii="Times New Roman" w:hAnsi="Times New Roman"/>
                <w:color w:val="000000" w:themeColor="text1"/>
                <w:kern w:val="0"/>
                <w:sz w:val="20"/>
                <w:szCs w:val="20"/>
              </w:rPr>
              <w:t>GB31621-2014</w:t>
            </w:r>
            <w:r w:rsidRPr="005A6683">
              <w:rPr>
                <w:rFonts w:ascii="Times New Roman" w:hAnsi="Times New Roman"/>
                <w:color w:val="000000" w:themeColor="text1"/>
                <w:kern w:val="0"/>
                <w:sz w:val="20"/>
                <w:szCs w:val="20"/>
              </w:rPr>
              <w:t>）</w:t>
            </w:r>
            <w:r w:rsidR="00C43920" w:rsidRPr="005A6683">
              <w:rPr>
                <w:rFonts w:ascii="Times New Roman" w:hAnsi="Times New Roman"/>
                <w:color w:val="000000" w:themeColor="text1"/>
                <w:kern w:val="0"/>
                <w:sz w:val="20"/>
                <w:szCs w:val="20"/>
              </w:rPr>
              <w:t>；</w:t>
            </w:r>
          </w:p>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《餐饮服务食品安全操作规范》（国家市场监管总局公告</w:t>
            </w:r>
            <w:r w:rsidRPr="005A6683">
              <w:rPr>
                <w:rFonts w:ascii="Times New Roman" w:hAnsi="Times New Roman"/>
                <w:color w:val="000000" w:themeColor="text1"/>
                <w:kern w:val="0"/>
                <w:sz w:val="20"/>
                <w:szCs w:val="20"/>
              </w:rPr>
              <w:t>2018</w:t>
            </w:r>
            <w:r w:rsidRPr="005A6683">
              <w:rPr>
                <w:rFonts w:ascii="Times New Roman" w:hAnsi="Times New Roman"/>
                <w:color w:val="000000" w:themeColor="text1"/>
                <w:kern w:val="0"/>
                <w:sz w:val="20"/>
                <w:szCs w:val="20"/>
              </w:rPr>
              <w:t>年第</w:t>
            </w:r>
            <w:r w:rsidRPr="005A6683">
              <w:rPr>
                <w:rFonts w:ascii="Times New Roman" w:hAnsi="Times New Roman"/>
                <w:color w:val="000000" w:themeColor="text1"/>
                <w:kern w:val="0"/>
                <w:sz w:val="20"/>
                <w:szCs w:val="20"/>
              </w:rPr>
              <w:t>12</w:t>
            </w:r>
            <w:r w:rsidRPr="005A6683">
              <w:rPr>
                <w:rFonts w:ascii="Times New Roman" w:hAnsi="Times New Roman"/>
                <w:color w:val="000000" w:themeColor="text1"/>
                <w:kern w:val="0"/>
                <w:sz w:val="20"/>
                <w:szCs w:val="20"/>
              </w:rPr>
              <w:t>号）</w:t>
            </w:r>
            <w:r w:rsidRPr="005A6683">
              <w:rPr>
                <w:rFonts w:ascii="Times New Roman" w:hAnsi="Times New Roman"/>
                <w:color w:val="000000" w:themeColor="text1"/>
                <w:kern w:val="0"/>
                <w:sz w:val="20"/>
                <w:szCs w:val="20"/>
              </w:rPr>
              <w:t>5.7.5</w:t>
            </w:r>
            <w:r w:rsidR="00C43920" w:rsidRPr="005A6683">
              <w:rPr>
                <w:rFonts w:ascii="Times New Roman" w:hAnsi="Times New Roman"/>
                <w:color w:val="000000" w:themeColor="text1"/>
                <w:kern w:val="0"/>
                <w:sz w:val="20"/>
                <w:szCs w:val="20"/>
              </w:rPr>
              <w:t>。</w:t>
            </w:r>
          </w:p>
        </w:tc>
      </w:tr>
      <w:tr w:rsidR="00A40F43" w:rsidRPr="005A6683" w:rsidTr="00A907C2">
        <w:trPr>
          <w:trHeight w:val="130"/>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nil"/>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5.3</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按照食品标签标示的警示标志、警示说明或者注意事项的要求贮存和销售食品</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《食品安全法》第七十二条</w:t>
            </w:r>
            <w:r w:rsidR="00C43920" w:rsidRPr="005A6683">
              <w:rPr>
                <w:rFonts w:ascii="Times New Roman" w:hAnsi="Times New Roman"/>
                <w:color w:val="000000" w:themeColor="text1"/>
                <w:kern w:val="0"/>
                <w:sz w:val="20"/>
                <w:szCs w:val="20"/>
              </w:rPr>
              <w:t>。</w:t>
            </w:r>
          </w:p>
        </w:tc>
      </w:tr>
      <w:tr w:rsidR="00A40F43" w:rsidRPr="005A6683" w:rsidTr="00A907C2">
        <w:trPr>
          <w:trHeight w:val="567"/>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nil"/>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5.4</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对销售过程有温度、湿度要求的食品，有保证食品安全所需的温度、湿度等特殊要求的设备，并按要求贮存</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《食品安全法》第三十三条第一款第六项</w:t>
            </w:r>
            <w:r w:rsidR="00C43920" w:rsidRPr="005A6683">
              <w:rPr>
                <w:rFonts w:ascii="Times New Roman" w:hAnsi="Times New Roman"/>
                <w:color w:val="000000" w:themeColor="text1"/>
                <w:kern w:val="0"/>
                <w:sz w:val="20"/>
                <w:szCs w:val="20"/>
              </w:rPr>
              <w:t>。</w:t>
            </w:r>
          </w:p>
        </w:tc>
      </w:tr>
      <w:tr w:rsidR="00A40F43" w:rsidRPr="005A6683" w:rsidTr="00A907C2">
        <w:trPr>
          <w:trHeight w:val="701"/>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nil"/>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5.5</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委托开展贮存业务的，对贮存服务提供者的资质和食品安全保障能力进行审核并留存相关资料；监督贮存服务提供者按照保证食品安全的要求贮存食品并留存检查记录</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《食品安全法》第三十三条第一款第六项、第二款</w:t>
            </w:r>
            <w:r w:rsidR="00C43920" w:rsidRPr="005A6683">
              <w:rPr>
                <w:rFonts w:ascii="Times New Roman" w:hAnsi="Times New Roman"/>
                <w:color w:val="000000" w:themeColor="text1"/>
                <w:kern w:val="0"/>
                <w:sz w:val="20"/>
                <w:szCs w:val="20"/>
              </w:rPr>
              <w:t>；</w:t>
            </w:r>
          </w:p>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《食品安全法实施条例》第二十五条</w:t>
            </w:r>
            <w:r w:rsidR="00C43920" w:rsidRPr="005A6683">
              <w:rPr>
                <w:rFonts w:ascii="Times New Roman" w:hAnsi="Times New Roman"/>
                <w:color w:val="000000" w:themeColor="text1"/>
                <w:kern w:val="0"/>
                <w:sz w:val="20"/>
                <w:szCs w:val="20"/>
              </w:rPr>
              <w:t>。</w:t>
            </w:r>
          </w:p>
        </w:tc>
      </w:tr>
      <w:tr w:rsidR="00A40F43" w:rsidRPr="005A6683" w:rsidTr="00A907C2">
        <w:trPr>
          <w:trHeight w:val="190"/>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nil"/>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5.6</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建立食品安全自查制度，定期对食品安全状况进行检查评价</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《食品安全法》第四十七条</w:t>
            </w:r>
            <w:r w:rsidR="00C43920" w:rsidRPr="005A6683">
              <w:rPr>
                <w:rFonts w:ascii="Times New Roman" w:hAnsi="Times New Roman"/>
                <w:color w:val="000000" w:themeColor="text1"/>
                <w:kern w:val="0"/>
                <w:sz w:val="20"/>
                <w:szCs w:val="20"/>
              </w:rPr>
              <w:t>。</w:t>
            </w:r>
          </w:p>
        </w:tc>
      </w:tr>
      <w:tr w:rsidR="00A40F43" w:rsidRPr="005A6683" w:rsidTr="00A907C2">
        <w:trPr>
          <w:trHeight w:val="567"/>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nil"/>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5.7</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发生食品安全事故的，建立和保存处置食品安全事故记录，并按规定上报所在地市场监管部门</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《食品安全法》第四十七条</w:t>
            </w:r>
            <w:r w:rsidR="00C43920" w:rsidRPr="005A6683">
              <w:rPr>
                <w:rFonts w:ascii="Times New Roman" w:hAnsi="Times New Roman"/>
                <w:color w:val="000000" w:themeColor="text1"/>
                <w:kern w:val="0"/>
                <w:sz w:val="20"/>
                <w:szCs w:val="20"/>
              </w:rPr>
              <w:t>。</w:t>
            </w:r>
          </w:p>
        </w:tc>
      </w:tr>
      <w:tr w:rsidR="00A40F43" w:rsidRPr="005A6683" w:rsidTr="00A907C2">
        <w:trPr>
          <w:trHeight w:val="360"/>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nil"/>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5.8</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采购食品，查验供货者的许可证和食品出厂检验合格证或者其他合格证明</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《食品安全法》第五十三条第一款、第九十二条</w:t>
            </w:r>
            <w:r w:rsidR="00C43920" w:rsidRPr="005A6683">
              <w:rPr>
                <w:rFonts w:ascii="Times New Roman" w:hAnsi="Times New Roman"/>
                <w:color w:val="000000" w:themeColor="text1"/>
                <w:kern w:val="0"/>
                <w:sz w:val="20"/>
                <w:szCs w:val="20"/>
              </w:rPr>
              <w:t>。</w:t>
            </w:r>
          </w:p>
        </w:tc>
      </w:tr>
      <w:tr w:rsidR="00A40F43" w:rsidRPr="005A6683" w:rsidTr="00A907C2">
        <w:trPr>
          <w:trHeight w:val="582"/>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nil"/>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5.9</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采购食品添加剂查验供货者的许可证和产品合格证明，并如实记录所采购食品添加剂的名称、规格、数量、生产日期或者生产批号、保质期、进货日期以及供货者名称、地址、联系方式等内容，并保存相关凭证。</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《食品安全法》第六十条</w:t>
            </w:r>
            <w:r w:rsidR="00C43920" w:rsidRPr="005A6683">
              <w:rPr>
                <w:rFonts w:ascii="Times New Roman" w:hAnsi="Times New Roman"/>
                <w:color w:val="000000" w:themeColor="text1"/>
                <w:kern w:val="0"/>
                <w:sz w:val="20"/>
                <w:szCs w:val="20"/>
              </w:rPr>
              <w:t>。</w:t>
            </w:r>
          </w:p>
        </w:tc>
      </w:tr>
      <w:tr w:rsidR="00A40F43" w:rsidRPr="005A6683" w:rsidTr="00A907C2">
        <w:trPr>
          <w:trHeight w:val="315"/>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nil"/>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5.10</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按要求停止销售、召回、报告不符合食品安全标准或者证明可能危害人体健康的食品。</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《食品安全法》第六十三条第二款、第三款</w:t>
            </w:r>
            <w:r w:rsidR="00C43920" w:rsidRPr="005A6683">
              <w:rPr>
                <w:rFonts w:ascii="Times New Roman" w:hAnsi="Times New Roman"/>
                <w:color w:val="000000" w:themeColor="text1"/>
                <w:kern w:val="0"/>
                <w:sz w:val="20"/>
                <w:szCs w:val="20"/>
              </w:rPr>
              <w:t>；</w:t>
            </w:r>
          </w:p>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 xml:space="preserve">2. </w:t>
            </w:r>
            <w:r w:rsidRPr="005A6683">
              <w:rPr>
                <w:rFonts w:ascii="Times New Roman" w:hAnsi="Times New Roman"/>
                <w:color w:val="000000" w:themeColor="text1"/>
                <w:kern w:val="0"/>
                <w:sz w:val="20"/>
                <w:szCs w:val="20"/>
              </w:rPr>
              <w:t>《食品安全法实施条例》第二十九条</w:t>
            </w:r>
            <w:r w:rsidR="00C43920" w:rsidRPr="005A6683">
              <w:rPr>
                <w:rFonts w:ascii="Times New Roman" w:hAnsi="Times New Roman"/>
                <w:color w:val="000000" w:themeColor="text1"/>
                <w:kern w:val="0"/>
                <w:sz w:val="20"/>
                <w:szCs w:val="20"/>
              </w:rPr>
              <w:t>；</w:t>
            </w:r>
          </w:p>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 xml:space="preserve">3. </w:t>
            </w:r>
            <w:r w:rsidRPr="005A6683">
              <w:rPr>
                <w:rFonts w:ascii="Times New Roman" w:hAnsi="Times New Roman"/>
                <w:color w:val="000000" w:themeColor="text1"/>
                <w:kern w:val="0"/>
                <w:sz w:val="20"/>
                <w:szCs w:val="20"/>
              </w:rPr>
              <w:t>《食品召回管理办法》第八条、第十九条、第二十条、第二十三条、第二十四条、第二十七条</w:t>
            </w:r>
            <w:r w:rsidR="00C43920" w:rsidRPr="005A6683">
              <w:rPr>
                <w:rFonts w:ascii="Times New Roman" w:hAnsi="Times New Roman"/>
                <w:color w:val="000000" w:themeColor="text1"/>
                <w:kern w:val="0"/>
                <w:sz w:val="20"/>
                <w:szCs w:val="20"/>
              </w:rPr>
              <w:t>。</w:t>
            </w:r>
          </w:p>
        </w:tc>
      </w:tr>
      <w:tr w:rsidR="00A40F43" w:rsidRPr="005A6683" w:rsidTr="00A907C2">
        <w:trPr>
          <w:trHeight w:val="192"/>
          <w:jc w:val="center"/>
        </w:trPr>
        <w:tc>
          <w:tcPr>
            <w:tcW w:w="712" w:type="dxa"/>
            <w:vMerge/>
            <w:tcBorders>
              <w:left w:val="single" w:sz="4" w:space="0" w:color="auto"/>
              <w:bottom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nil"/>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5.11</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食品销售者张贴并保持上次监督检查结果记录</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《食品生产经营日常监督检查管理办法》第二十二条第二款、第二十三条、第二十四条</w:t>
            </w:r>
            <w:r w:rsidR="00C43920" w:rsidRPr="005A6683">
              <w:rPr>
                <w:rFonts w:ascii="Times New Roman" w:hAnsi="Times New Roman"/>
                <w:color w:val="000000" w:themeColor="text1"/>
                <w:kern w:val="0"/>
                <w:sz w:val="20"/>
                <w:szCs w:val="20"/>
              </w:rPr>
              <w:t>。</w:t>
            </w:r>
          </w:p>
        </w:tc>
      </w:tr>
      <w:tr w:rsidR="00D508EA" w:rsidRPr="005A6683" w:rsidTr="00A907C2">
        <w:trPr>
          <w:trHeight w:val="567"/>
          <w:jc w:val="center"/>
        </w:trPr>
        <w:tc>
          <w:tcPr>
            <w:tcW w:w="712" w:type="dxa"/>
            <w:vMerge w:val="restart"/>
            <w:tcBorders>
              <w:top w:val="single" w:sz="4" w:space="0" w:color="auto"/>
              <w:left w:val="single" w:sz="4" w:space="0" w:color="auto"/>
              <w:right w:val="single" w:sz="4" w:space="0" w:color="auto"/>
            </w:tcBorders>
            <w:vAlign w:val="center"/>
          </w:tcPr>
          <w:p w:rsidR="00D508EA" w:rsidRPr="005A6683" w:rsidRDefault="00D508EA" w:rsidP="008D3BE5">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6</w:t>
            </w:r>
          </w:p>
        </w:tc>
        <w:tc>
          <w:tcPr>
            <w:tcW w:w="1559" w:type="dxa"/>
            <w:vMerge w:val="restart"/>
            <w:tcBorders>
              <w:top w:val="single" w:sz="4" w:space="0" w:color="auto"/>
              <w:left w:val="single" w:sz="4" w:space="0" w:color="auto"/>
              <w:right w:val="single" w:sz="4" w:space="0" w:color="auto"/>
            </w:tcBorders>
            <w:vAlign w:val="center"/>
          </w:tcPr>
          <w:p w:rsidR="00D508EA" w:rsidRPr="005A6683" w:rsidRDefault="00D508EA" w:rsidP="001C4674">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食盐销售</w:t>
            </w: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6.1</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从取得食盐定点批发企业证书的单位购进，并保留购货凭证，有合法有效的从事食盐经营的食品经营许可证和相关合格证明文件等</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《食品安全法》第三十五条；</w:t>
            </w:r>
          </w:p>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《食盐专营办法》第二条、第十二条、第十四条、第十六条；</w:t>
            </w:r>
          </w:p>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3.</w:t>
            </w:r>
            <w:r w:rsidRPr="005A6683">
              <w:rPr>
                <w:rFonts w:ascii="Times New Roman" w:hAnsi="Times New Roman"/>
                <w:color w:val="000000" w:themeColor="text1"/>
                <w:kern w:val="0"/>
                <w:sz w:val="20"/>
                <w:szCs w:val="20"/>
              </w:rPr>
              <w:t>《食盐质量安全监督管理办法》第六条。</w:t>
            </w:r>
          </w:p>
        </w:tc>
      </w:tr>
      <w:tr w:rsidR="00D508EA" w:rsidRPr="005A6683" w:rsidTr="00A907C2">
        <w:trPr>
          <w:trHeight w:val="133"/>
          <w:jc w:val="center"/>
        </w:trPr>
        <w:tc>
          <w:tcPr>
            <w:tcW w:w="712" w:type="dxa"/>
            <w:vMerge/>
            <w:tcBorders>
              <w:left w:val="single" w:sz="4" w:space="0" w:color="auto"/>
              <w:bottom w:val="single" w:sz="4" w:space="0" w:color="auto"/>
              <w:right w:val="single" w:sz="4" w:space="0" w:color="auto"/>
            </w:tcBorders>
            <w:vAlign w:val="center"/>
          </w:tcPr>
          <w:p w:rsidR="00D508EA" w:rsidRPr="005A6683" w:rsidRDefault="00D508EA" w:rsidP="00D508EA">
            <w:pPr>
              <w:widowControl/>
              <w:rPr>
                <w:rFonts w:ascii="Times New Roman" w:hAnsi="Times New Roman"/>
                <w:color w:val="000000" w:themeColor="text1"/>
                <w:kern w:val="0"/>
                <w:sz w:val="20"/>
                <w:szCs w:val="20"/>
              </w:rPr>
            </w:pPr>
          </w:p>
        </w:tc>
        <w:tc>
          <w:tcPr>
            <w:tcW w:w="1559" w:type="dxa"/>
            <w:vMerge/>
            <w:tcBorders>
              <w:left w:val="single" w:sz="4" w:space="0" w:color="auto"/>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6.2</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不存在销售禁止销售的食盐情形</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《食盐专营办法》第十九条；</w:t>
            </w:r>
          </w:p>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《食盐质量安全监督管理办法》第八条。</w:t>
            </w:r>
          </w:p>
        </w:tc>
      </w:tr>
      <w:tr w:rsidR="00D508EA" w:rsidRPr="005A6683" w:rsidTr="00A907C2">
        <w:trPr>
          <w:trHeight w:val="213"/>
          <w:jc w:val="center"/>
        </w:trPr>
        <w:tc>
          <w:tcPr>
            <w:tcW w:w="712" w:type="dxa"/>
            <w:vMerge w:val="restart"/>
            <w:tcBorders>
              <w:top w:val="single" w:sz="4" w:space="0" w:color="auto"/>
              <w:left w:val="single" w:sz="4" w:space="0" w:color="auto"/>
              <w:right w:val="single" w:sz="4" w:space="0" w:color="auto"/>
            </w:tcBorders>
            <w:vAlign w:val="center"/>
          </w:tcPr>
          <w:p w:rsidR="00D508EA" w:rsidRPr="005A6683" w:rsidRDefault="00D508EA" w:rsidP="008D3BE5">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7</w:t>
            </w:r>
          </w:p>
        </w:tc>
        <w:tc>
          <w:tcPr>
            <w:tcW w:w="1559" w:type="dxa"/>
            <w:vMerge w:val="restart"/>
            <w:tcBorders>
              <w:top w:val="single" w:sz="4" w:space="0" w:color="auto"/>
              <w:left w:val="single" w:sz="4" w:space="0" w:color="auto"/>
              <w:right w:val="single" w:sz="4" w:space="0" w:color="auto"/>
            </w:tcBorders>
            <w:vAlign w:val="center"/>
          </w:tcPr>
          <w:p w:rsidR="00D508EA" w:rsidRPr="005A6683" w:rsidRDefault="00D508EA" w:rsidP="001F69A9">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食用农产品</w:t>
            </w:r>
          </w:p>
          <w:p w:rsidR="00D508EA" w:rsidRPr="005A6683" w:rsidRDefault="00D508EA" w:rsidP="001F69A9">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销售</w:t>
            </w: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7.1</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畜禽产品具有检验检疫合格证明</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《食用农产品市场销售质量安全监督管理办法》第十五条。</w:t>
            </w:r>
          </w:p>
        </w:tc>
      </w:tr>
      <w:tr w:rsidR="00D508EA" w:rsidRPr="005A6683" w:rsidTr="00A907C2">
        <w:trPr>
          <w:trHeight w:val="567"/>
          <w:jc w:val="center"/>
        </w:trPr>
        <w:tc>
          <w:tcPr>
            <w:tcW w:w="712" w:type="dxa"/>
            <w:vMerge/>
            <w:tcBorders>
              <w:left w:val="single" w:sz="4" w:space="0" w:color="auto"/>
              <w:bottom w:val="single" w:sz="4" w:space="0" w:color="auto"/>
              <w:right w:val="single" w:sz="4" w:space="0" w:color="auto"/>
            </w:tcBorders>
            <w:vAlign w:val="center"/>
          </w:tcPr>
          <w:p w:rsidR="00D508EA" w:rsidRPr="005A6683" w:rsidRDefault="00D508EA" w:rsidP="008D3BE5">
            <w:pPr>
              <w:rPr>
                <w:rFonts w:ascii="Times New Roman" w:hAnsi="Times New Roman"/>
                <w:color w:val="000000" w:themeColor="text1"/>
                <w:kern w:val="0"/>
                <w:sz w:val="20"/>
                <w:szCs w:val="20"/>
              </w:rPr>
            </w:pPr>
          </w:p>
        </w:tc>
        <w:tc>
          <w:tcPr>
            <w:tcW w:w="1559" w:type="dxa"/>
            <w:vMerge/>
            <w:tcBorders>
              <w:left w:val="single" w:sz="4" w:space="0" w:color="auto"/>
              <w:bottom w:val="single" w:sz="4" w:space="0" w:color="auto"/>
              <w:right w:val="single" w:sz="4" w:space="0" w:color="auto"/>
            </w:tcBorders>
            <w:vAlign w:val="center"/>
          </w:tcPr>
          <w:p w:rsidR="00D508EA" w:rsidRPr="005A6683" w:rsidRDefault="00D508EA" w:rsidP="001F69A9">
            <w:pPr>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D508EA" w:rsidRPr="005A6683" w:rsidRDefault="00D508EA" w:rsidP="001F69A9">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7.2</w:t>
            </w:r>
          </w:p>
        </w:tc>
        <w:tc>
          <w:tcPr>
            <w:tcW w:w="5511" w:type="dxa"/>
            <w:tcBorders>
              <w:top w:val="single" w:sz="4" w:space="0" w:color="auto"/>
              <w:left w:val="nil"/>
              <w:bottom w:val="single" w:sz="4" w:space="0" w:color="auto"/>
              <w:right w:val="single" w:sz="4" w:space="0" w:color="auto"/>
            </w:tcBorders>
            <w:vAlign w:val="center"/>
          </w:tcPr>
          <w:p w:rsidR="00D508EA" w:rsidRPr="005A6683" w:rsidRDefault="00D508EA" w:rsidP="001F69A9">
            <w:pPr>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建立食用农产品进货查验记录制度，如实记录食用农产品的名称、数量、进货日期以及供货者名称、地址、联系方式等内容，并保存相关凭证。记录和凭证保存期限不得少于六个月</w:t>
            </w:r>
            <w:r w:rsidR="008E22F1">
              <w:rPr>
                <w:rFonts w:ascii="Times New Roman" w:hAnsi="Times New Roman" w:hint="eastAsia"/>
                <w:color w:val="000000" w:themeColor="text1"/>
                <w:kern w:val="0"/>
                <w:sz w:val="20"/>
                <w:szCs w:val="20"/>
              </w:rPr>
              <w:t>。</w:t>
            </w:r>
          </w:p>
        </w:tc>
        <w:tc>
          <w:tcPr>
            <w:tcW w:w="5404" w:type="dxa"/>
            <w:tcBorders>
              <w:top w:val="single" w:sz="4" w:space="0" w:color="auto"/>
              <w:left w:val="nil"/>
              <w:bottom w:val="single" w:sz="4" w:space="0" w:color="auto"/>
              <w:right w:val="single" w:sz="4" w:space="0" w:color="auto"/>
            </w:tcBorders>
            <w:vAlign w:val="center"/>
          </w:tcPr>
          <w:p w:rsidR="00D508EA" w:rsidRPr="005A6683" w:rsidRDefault="00D508EA" w:rsidP="00A05224">
            <w:pPr>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《食品安全法》第六十五条；</w:t>
            </w:r>
          </w:p>
          <w:p w:rsidR="00D508EA" w:rsidRPr="005A6683" w:rsidRDefault="00D508EA" w:rsidP="00A05224">
            <w:pPr>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《食用农产品市场销售质量安全监督管理办法》第二十六条。</w:t>
            </w:r>
          </w:p>
        </w:tc>
      </w:tr>
      <w:tr w:rsidR="00D508EA" w:rsidRPr="005A6683" w:rsidTr="00A907C2">
        <w:trPr>
          <w:trHeight w:val="567"/>
          <w:jc w:val="center"/>
        </w:trPr>
        <w:tc>
          <w:tcPr>
            <w:tcW w:w="712" w:type="dxa"/>
            <w:vMerge w:val="restart"/>
            <w:tcBorders>
              <w:top w:val="single" w:sz="4" w:space="0" w:color="auto"/>
              <w:left w:val="single" w:sz="4" w:space="0" w:color="auto"/>
              <w:right w:val="single" w:sz="4" w:space="0" w:color="auto"/>
            </w:tcBorders>
            <w:vAlign w:val="center"/>
          </w:tcPr>
          <w:p w:rsidR="00D508EA" w:rsidRPr="005A6683" w:rsidRDefault="00D508EA" w:rsidP="008D3BE5">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8</w:t>
            </w:r>
          </w:p>
        </w:tc>
        <w:tc>
          <w:tcPr>
            <w:tcW w:w="1559" w:type="dxa"/>
            <w:vMerge w:val="restart"/>
            <w:tcBorders>
              <w:top w:val="single" w:sz="4" w:space="0" w:color="auto"/>
              <w:left w:val="single" w:sz="4" w:space="0" w:color="auto"/>
              <w:right w:val="single" w:sz="4" w:space="0" w:color="auto"/>
            </w:tcBorders>
            <w:vAlign w:val="center"/>
          </w:tcPr>
          <w:p w:rsidR="00D508EA" w:rsidRPr="005A6683" w:rsidRDefault="00D508EA" w:rsidP="001C4674">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进口食品销售</w:t>
            </w: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8.1</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进口预包装食品有中文标签</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并载明食品的原产地以及境内代理商的名称、地址、联系方式</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《食品安全法》第九十七条；</w:t>
            </w:r>
          </w:p>
        </w:tc>
      </w:tr>
      <w:tr w:rsidR="00D508EA" w:rsidRPr="005A6683" w:rsidTr="00A907C2">
        <w:trPr>
          <w:trHeight w:val="567"/>
          <w:jc w:val="center"/>
        </w:trPr>
        <w:tc>
          <w:tcPr>
            <w:tcW w:w="712" w:type="dxa"/>
            <w:vMerge/>
            <w:tcBorders>
              <w:left w:val="single" w:sz="4" w:space="0" w:color="auto"/>
              <w:bottom w:val="single" w:sz="4" w:space="0" w:color="auto"/>
              <w:right w:val="single" w:sz="4" w:space="0" w:color="auto"/>
            </w:tcBorders>
            <w:vAlign w:val="center"/>
          </w:tcPr>
          <w:p w:rsidR="00D508EA" w:rsidRPr="005A6683" w:rsidRDefault="00D508EA" w:rsidP="008D3BE5">
            <w:pPr>
              <w:widowControl/>
              <w:jc w:val="center"/>
              <w:rPr>
                <w:rFonts w:ascii="Times New Roman" w:hAnsi="Times New Roman"/>
                <w:color w:val="000000" w:themeColor="text1"/>
                <w:kern w:val="0"/>
                <w:sz w:val="20"/>
                <w:szCs w:val="20"/>
              </w:rPr>
            </w:pPr>
          </w:p>
        </w:tc>
        <w:tc>
          <w:tcPr>
            <w:tcW w:w="1559" w:type="dxa"/>
            <w:vMerge/>
            <w:tcBorders>
              <w:left w:val="single" w:sz="4" w:space="0" w:color="auto"/>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8.2</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进口预包装食品（食用农产品）有海关部门出具的入境货物检验检疫证明</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《食用农产品市场销售质量安全监督管理办法》第十五条；</w:t>
            </w:r>
          </w:p>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《食用农产品市场销售质量安全监督管理办法》第三十五条。</w:t>
            </w:r>
          </w:p>
        </w:tc>
      </w:tr>
      <w:tr w:rsidR="00D508EA" w:rsidRPr="005A6683" w:rsidTr="00A907C2">
        <w:trPr>
          <w:trHeight w:val="416"/>
          <w:jc w:val="center"/>
        </w:trPr>
        <w:tc>
          <w:tcPr>
            <w:tcW w:w="712" w:type="dxa"/>
            <w:vMerge w:val="restart"/>
            <w:tcBorders>
              <w:top w:val="single" w:sz="4" w:space="0" w:color="auto"/>
              <w:left w:val="single" w:sz="4" w:space="0" w:color="auto"/>
              <w:right w:val="single" w:sz="4" w:space="0" w:color="auto"/>
            </w:tcBorders>
            <w:vAlign w:val="center"/>
          </w:tcPr>
          <w:p w:rsidR="00D508EA" w:rsidRPr="005A6683" w:rsidRDefault="00D508EA" w:rsidP="005A6683">
            <w:pPr>
              <w:jc w:val="distribute"/>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9</w:t>
            </w:r>
          </w:p>
        </w:tc>
        <w:tc>
          <w:tcPr>
            <w:tcW w:w="1559" w:type="dxa"/>
            <w:vMerge w:val="restart"/>
            <w:tcBorders>
              <w:top w:val="single" w:sz="4" w:space="0" w:color="auto"/>
              <w:left w:val="single" w:sz="4" w:space="0" w:color="auto"/>
              <w:right w:val="single" w:sz="4" w:space="0" w:color="auto"/>
            </w:tcBorders>
            <w:vAlign w:val="center"/>
          </w:tcPr>
          <w:p w:rsidR="00D508EA" w:rsidRPr="005A6683" w:rsidRDefault="00D508EA" w:rsidP="001F69A9">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食品销售</w:t>
            </w:r>
          </w:p>
          <w:p w:rsidR="00D508EA" w:rsidRPr="005A6683" w:rsidRDefault="00D508EA" w:rsidP="001F69A9">
            <w:pPr>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（批发）企业</w:t>
            </w: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9.1</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有食品安全管理人员</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《食品安全法》第四十四条；</w:t>
            </w:r>
          </w:p>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《食品经营许可管理办法》第十一条。</w:t>
            </w:r>
          </w:p>
        </w:tc>
      </w:tr>
      <w:tr w:rsidR="00D508EA" w:rsidRPr="005A6683" w:rsidTr="00A907C2">
        <w:trPr>
          <w:trHeight w:val="567"/>
          <w:jc w:val="center"/>
        </w:trPr>
        <w:tc>
          <w:tcPr>
            <w:tcW w:w="712" w:type="dxa"/>
            <w:vMerge/>
            <w:tcBorders>
              <w:left w:val="single" w:sz="4" w:space="0" w:color="auto"/>
              <w:right w:val="single" w:sz="4" w:space="0" w:color="auto"/>
            </w:tcBorders>
            <w:vAlign w:val="center"/>
          </w:tcPr>
          <w:p w:rsidR="00D508EA" w:rsidRPr="005A6683" w:rsidRDefault="00D508EA" w:rsidP="005A6683">
            <w:pPr>
              <w:widowControl/>
              <w:jc w:val="distribute"/>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9.2</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不存在经市场监管部门抽查考核不合格的食品安全管理人员在岗从事食品安全管理工作的情况</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《食品安全法》第四十四条；</w:t>
            </w:r>
          </w:p>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《食品安全法实施条例》第二十条。</w:t>
            </w:r>
          </w:p>
        </w:tc>
      </w:tr>
      <w:tr w:rsidR="00D508EA" w:rsidRPr="005A6683" w:rsidTr="00A907C2">
        <w:trPr>
          <w:trHeight w:val="84"/>
          <w:jc w:val="center"/>
        </w:trPr>
        <w:tc>
          <w:tcPr>
            <w:tcW w:w="712" w:type="dxa"/>
            <w:vMerge/>
            <w:tcBorders>
              <w:left w:val="single" w:sz="4" w:space="0" w:color="auto"/>
              <w:right w:val="single" w:sz="4" w:space="0" w:color="auto"/>
            </w:tcBorders>
            <w:vAlign w:val="center"/>
          </w:tcPr>
          <w:p w:rsidR="00D508EA" w:rsidRPr="005A6683" w:rsidRDefault="00D508EA" w:rsidP="005A6683">
            <w:pPr>
              <w:widowControl/>
              <w:jc w:val="distribute"/>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9.3</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对从业人员进行食品安全知识培训</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《食品安全法》第四十四条、第四十五条。</w:t>
            </w:r>
          </w:p>
        </w:tc>
      </w:tr>
      <w:tr w:rsidR="00D508EA" w:rsidRPr="005A6683" w:rsidTr="00A907C2">
        <w:trPr>
          <w:trHeight w:val="567"/>
          <w:jc w:val="center"/>
        </w:trPr>
        <w:tc>
          <w:tcPr>
            <w:tcW w:w="712" w:type="dxa"/>
            <w:vMerge/>
            <w:tcBorders>
              <w:left w:val="single" w:sz="4" w:space="0" w:color="auto"/>
              <w:right w:val="single" w:sz="4" w:space="0" w:color="auto"/>
            </w:tcBorders>
            <w:vAlign w:val="center"/>
          </w:tcPr>
          <w:p w:rsidR="00D508EA" w:rsidRPr="005A6683" w:rsidRDefault="00D508EA" w:rsidP="005A6683">
            <w:pPr>
              <w:widowControl/>
              <w:jc w:val="distribute"/>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9.4</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建立并严格执行食品进货查验记录制度，如实记录所采购食品的名称、规格、数量、生产日期或者生产批号、保质期、进货日期以及供货者名称、地址、联系方式等内容，并保存相关凭证</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《食品安全法》第五十三条。</w:t>
            </w:r>
          </w:p>
        </w:tc>
      </w:tr>
      <w:tr w:rsidR="00D508EA" w:rsidRPr="005A6683" w:rsidTr="00A907C2">
        <w:trPr>
          <w:trHeight w:val="567"/>
          <w:jc w:val="center"/>
        </w:trPr>
        <w:tc>
          <w:tcPr>
            <w:tcW w:w="712" w:type="dxa"/>
            <w:vMerge/>
            <w:tcBorders>
              <w:left w:val="single" w:sz="4" w:space="0" w:color="auto"/>
              <w:right w:val="single" w:sz="4" w:space="0" w:color="auto"/>
            </w:tcBorders>
            <w:vAlign w:val="center"/>
          </w:tcPr>
          <w:p w:rsidR="00D508EA" w:rsidRPr="005A6683" w:rsidRDefault="00D508EA" w:rsidP="005A6683">
            <w:pPr>
              <w:widowControl/>
              <w:jc w:val="distribute"/>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9.5</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从事食品批发业务的销售企业建立并严格执行食品销售记录制度，如实记录批发食品的名称、规格、数量、生产日期或者生产批号、保质期、销售日期、以及购货者名称、地址、联系方式等内容，并保存相关凭证</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《食品安全法》第五十三条。</w:t>
            </w:r>
          </w:p>
        </w:tc>
      </w:tr>
      <w:tr w:rsidR="00D508EA" w:rsidRPr="005A6683" w:rsidTr="00A907C2">
        <w:trPr>
          <w:trHeight w:val="567"/>
          <w:jc w:val="center"/>
        </w:trPr>
        <w:tc>
          <w:tcPr>
            <w:tcW w:w="712" w:type="dxa"/>
            <w:vMerge/>
            <w:tcBorders>
              <w:left w:val="single" w:sz="4" w:space="0" w:color="auto"/>
              <w:right w:val="single" w:sz="4" w:space="0" w:color="auto"/>
            </w:tcBorders>
            <w:vAlign w:val="center"/>
          </w:tcPr>
          <w:p w:rsidR="00D508EA" w:rsidRPr="005A6683" w:rsidRDefault="00D508EA" w:rsidP="005A6683">
            <w:pPr>
              <w:widowControl/>
              <w:jc w:val="distribute"/>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D508EA" w:rsidRPr="005A6683" w:rsidRDefault="00D508EA"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9.6</w:t>
            </w:r>
          </w:p>
        </w:tc>
        <w:tc>
          <w:tcPr>
            <w:tcW w:w="5511" w:type="dxa"/>
            <w:tcBorders>
              <w:top w:val="nil"/>
              <w:left w:val="nil"/>
              <w:bottom w:val="single" w:sz="4" w:space="0" w:color="auto"/>
              <w:right w:val="single" w:sz="4" w:space="0" w:color="auto"/>
            </w:tcBorders>
            <w:vAlign w:val="center"/>
          </w:tcPr>
          <w:p w:rsidR="00D508EA" w:rsidRPr="005A6683" w:rsidRDefault="00D508EA"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实行统一配送经营方式的食品经营企业，企业总部统一查验供货者的许可证和食品合格证明文件，进行食品进货查验记录</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D508EA" w:rsidRPr="005A6683" w:rsidRDefault="00D508EA"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《食品安全法》第五十三条第三款。</w:t>
            </w:r>
          </w:p>
        </w:tc>
      </w:tr>
      <w:tr w:rsidR="00A40F43" w:rsidRPr="005A6683" w:rsidTr="00A907C2">
        <w:trPr>
          <w:trHeight w:val="327"/>
          <w:jc w:val="center"/>
        </w:trPr>
        <w:tc>
          <w:tcPr>
            <w:tcW w:w="712" w:type="dxa"/>
            <w:vMerge w:val="restart"/>
            <w:tcBorders>
              <w:top w:val="single" w:sz="4" w:space="0" w:color="auto"/>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A40F43" w:rsidRPr="005A6683" w:rsidRDefault="00A40F43" w:rsidP="001C4674">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现场制售</w:t>
            </w: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10.1</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从业人员穿戴清洁的工作衣帽，双手清洁，保持个人卫生。取得健康证明。</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《食品安全法》第三十三条第八项</w:t>
            </w:r>
            <w:r w:rsidR="00C43920" w:rsidRPr="005A6683">
              <w:rPr>
                <w:rFonts w:ascii="Times New Roman" w:hAnsi="Times New Roman"/>
                <w:color w:val="000000" w:themeColor="text1"/>
                <w:kern w:val="0"/>
                <w:sz w:val="20"/>
                <w:szCs w:val="20"/>
              </w:rPr>
              <w:t>；</w:t>
            </w:r>
          </w:p>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．《餐饮服务食品安全操作规范》（国家市场监管总局公告</w:t>
            </w:r>
            <w:r w:rsidRPr="005A6683">
              <w:rPr>
                <w:rFonts w:ascii="Times New Roman" w:hAnsi="Times New Roman"/>
                <w:color w:val="000000" w:themeColor="text1"/>
                <w:kern w:val="0"/>
                <w:sz w:val="20"/>
                <w:szCs w:val="20"/>
              </w:rPr>
              <w:t>2018</w:t>
            </w:r>
            <w:r w:rsidRPr="005A6683">
              <w:rPr>
                <w:rFonts w:ascii="Times New Roman" w:hAnsi="Times New Roman"/>
                <w:color w:val="000000" w:themeColor="text1"/>
                <w:kern w:val="0"/>
                <w:sz w:val="20"/>
                <w:szCs w:val="20"/>
              </w:rPr>
              <w:t>年第</w:t>
            </w:r>
            <w:r w:rsidRPr="005A6683">
              <w:rPr>
                <w:rFonts w:ascii="Times New Roman" w:hAnsi="Times New Roman"/>
                <w:color w:val="000000" w:themeColor="text1"/>
                <w:kern w:val="0"/>
                <w:sz w:val="20"/>
                <w:szCs w:val="20"/>
              </w:rPr>
              <w:t>12</w:t>
            </w:r>
            <w:r w:rsidRPr="005A6683">
              <w:rPr>
                <w:rFonts w:ascii="Times New Roman" w:hAnsi="Times New Roman"/>
                <w:color w:val="000000" w:themeColor="text1"/>
                <w:kern w:val="0"/>
                <w:sz w:val="20"/>
                <w:szCs w:val="20"/>
              </w:rPr>
              <w:t>号）</w:t>
            </w:r>
            <w:r w:rsidRPr="005A6683">
              <w:rPr>
                <w:rFonts w:ascii="Times New Roman" w:hAnsi="Times New Roman"/>
                <w:color w:val="000000" w:themeColor="text1"/>
                <w:kern w:val="0"/>
                <w:sz w:val="20"/>
                <w:szCs w:val="20"/>
              </w:rPr>
              <w:t>14</w:t>
            </w:r>
            <w:r w:rsidR="00C43920" w:rsidRPr="005A6683">
              <w:rPr>
                <w:rFonts w:ascii="Times New Roman" w:hAnsi="Times New Roman"/>
                <w:color w:val="000000" w:themeColor="text1"/>
                <w:kern w:val="0"/>
                <w:sz w:val="20"/>
                <w:szCs w:val="20"/>
              </w:rPr>
              <w:t>。</w:t>
            </w:r>
          </w:p>
        </w:tc>
      </w:tr>
      <w:tr w:rsidR="00A40F43" w:rsidRPr="005A6683" w:rsidTr="00A907C2">
        <w:trPr>
          <w:trHeight w:val="241"/>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10.2</w:t>
            </w:r>
          </w:p>
        </w:tc>
        <w:tc>
          <w:tcPr>
            <w:tcW w:w="5511" w:type="dxa"/>
            <w:tcBorders>
              <w:top w:val="single" w:sz="4" w:space="0" w:color="auto"/>
              <w:left w:val="single" w:sz="4" w:space="0" w:color="auto"/>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食品操作区域保持清洁、卫生、加工制作用水符合国家规定的标准。</w:t>
            </w:r>
          </w:p>
        </w:tc>
        <w:tc>
          <w:tcPr>
            <w:tcW w:w="5404" w:type="dxa"/>
            <w:tcBorders>
              <w:top w:val="single" w:sz="4" w:space="0" w:color="auto"/>
              <w:left w:val="single" w:sz="4" w:space="0" w:color="auto"/>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《食品安全法》第三十三条第一款第一项、第二项、第四项、第七项</w:t>
            </w:r>
            <w:r w:rsidR="00C43920" w:rsidRPr="005A6683">
              <w:rPr>
                <w:rFonts w:ascii="Times New Roman" w:hAnsi="Times New Roman"/>
                <w:color w:val="000000" w:themeColor="text1"/>
                <w:kern w:val="0"/>
                <w:sz w:val="20"/>
                <w:szCs w:val="20"/>
              </w:rPr>
              <w:t>；</w:t>
            </w:r>
          </w:p>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《生活饮用水卫生标准》（</w:t>
            </w:r>
            <w:r w:rsidRPr="005A6683">
              <w:rPr>
                <w:rFonts w:ascii="Times New Roman" w:hAnsi="Times New Roman"/>
                <w:color w:val="000000" w:themeColor="text1"/>
                <w:kern w:val="0"/>
                <w:sz w:val="20"/>
                <w:szCs w:val="20"/>
              </w:rPr>
              <w:t>GB5749-2006</w:t>
            </w:r>
            <w:r w:rsidRPr="005A6683">
              <w:rPr>
                <w:rFonts w:ascii="Times New Roman" w:hAnsi="Times New Roman"/>
                <w:color w:val="000000" w:themeColor="text1"/>
                <w:kern w:val="0"/>
                <w:sz w:val="20"/>
                <w:szCs w:val="20"/>
              </w:rPr>
              <w:t>）</w:t>
            </w:r>
            <w:r w:rsidR="00C43920" w:rsidRPr="005A6683">
              <w:rPr>
                <w:rFonts w:ascii="Times New Roman" w:hAnsi="Times New Roman"/>
                <w:color w:val="000000" w:themeColor="text1"/>
                <w:kern w:val="0"/>
                <w:sz w:val="20"/>
                <w:szCs w:val="20"/>
              </w:rPr>
              <w:t>。</w:t>
            </w:r>
          </w:p>
        </w:tc>
      </w:tr>
      <w:tr w:rsidR="00A40F43" w:rsidRPr="005A6683" w:rsidTr="00A907C2">
        <w:trPr>
          <w:trHeight w:val="567"/>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10.3</w:t>
            </w:r>
          </w:p>
        </w:tc>
        <w:tc>
          <w:tcPr>
            <w:tcW w:w="5511"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食品原料、半成品和成品盛放、贮存相互分开。</w:t>
            </w:r>
          </w:p>
        </w:tc>
        <w:tc>
          <w:tcPr>
            <w:tcW w:w="5404" w:type="dxa"/>
            <w:tcBorders>
              <w:top w:val="single" w:sz="4" w:space="0" w:color="auto"/>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《食品安全法》第三十三条</w:t>
            </w:r>
            <w:r w:rsidR="00C43920" w:rsidRPr="005A6683">
              <w:rPr>
                <w:rFonts w:ascii="Times New Roman" w:hAnsi="Times New Roman"/>
                <w:color w:val="000000" w:themeColor="text1"/>
                <w:kern w:val="0"/>
                <w:sz w:val="20"/>
                <w:szCs w:val="20"/>
              </w:rPr>
              <w:t>；</w:t>
            </w:r>
          </w:p>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《食品经营许可管理办法》第十一条</w:t>
            </w:r>
            <w:r w:rsidR="00C43920" w:rsidRPr="005A6683">
              <w:rPr>
                <w:rFonts w:ascii="Times New Roman" w:hAnsi="Times New Roman"/>
                <w:color w:val="000000" w:themeColor="text1"/>
                <w:kern w:val="0"/>
                <w:sz w:val="20"/>
                <w:szCs w:val="20"/>
              </w:rPr>
              <w:t>。</w:t>
            </w:r>
          </w:p>
        </w:tc>
      </w:tr>
      <w:tr w:rsidR="00A40F43" w:rsidRPr="005A6683" w:rsidTr="00A907C2">
        <w:trPr>
          <w:trHeight w:val="204"/>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10.4</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食品添加剂由专人负责保管、领用、登记，并有相关记录。</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《餐饮服务食品安全操作规范》（国家市场监管总局公告</w:t>
            </w:r>
            <w:r w:rsidRPr="005A6683">
              <w:rPr>
                <w:rFonts w:ascii="Times New Roman" w:hAnsi="Times New Roman"/>
                <w:color w:val="000000" w:themeColor="text1"/>
                <w:kern w:val="0"/>
                <w:sz w:val="20"/>
                <w:szCs w:val="20"/>
              </w:rPr>
              <w:t>2018</w:t>
            </w:r>
            <w:r w:rsidRPr="005A6683">
              <w:rPr>
                <w:rFonts w:ascii="Times New Roman" w:hAnsi="Times New Roman"/>
                <w:color w:val="000000" w:themeColor="text1"/>
                <w:kern w:val="0"/>
                <w:sz w:val="20"/>
                <w:szCs w:val="20"/>
              </w:rPr>
              <w:t>年第</w:t>
            </w:r>
            <w:r w:rsidRPr="005A6683">
              <w:rPr>
                <w:rFonts w:ascii="Times New Roman" w:hAnsi="Times New Roman"/>
                <w:color w:val="000000" w:themeColor="text1"/>
                <w:kern w:val="0"/>
                <w:sz w:val="20"/>
                <w:szCs w:val="20"/>
              </w:rPr>
              <w:t>12</w:t>
            </w:r>
            <w:r w:rsidRPr="005A6683">
              <w:rPr>
                <w:rFonts w:ascii="Times New Roman" w:hAnsi="Times New Roman"/>
                <w:color w:val="000000" w:themeColor="text1"/>
                <w:kern w:val="0"/>
                <w:sz w:val="20"/>
                <w:szCs w:val="20"/>
              </w:rPr>
              <w:t>号）</w:t>
            </w:r>
            <w:r w:rsidRPr="005A6683">
              <w:rPr>
                <w:rFonts w:ascii="Times New Roman" w:hAnsi="Times New Roman"/>
                <w:color w:val="000000" w:themeColor="text1"/>
                <w:kern w:val="0"/>
                <w:sz w:val="20"/>
                <w:szCs w:val="20"/>
              </w:rPr>
              <w:t>7.5</w:t>
            </w:r>
            <w:r w:rsidR="00C43920" w:rsidRPr="005A6683">
              <w:rPr>
                <w:rFonts w:ascii="Times New Roman" w:hAnsi="Times New Roman"/>
                <w:color w:val="000000" w:themeColor="text1"/>
                <w:kern w:val="0"/>
                <w:sz w:val="20"/>
                <w:szCs w:val="20"/>
              </w:rPr>
              <w:t>。</w:t>
            </w:r>
          </w:p>
        </w:tc>
      </w:tr>
      <w:tr w:rsidR="00A40F43" w:rsidRPr="005A6683" w:rsidTr="00A907C2">
        <w:trPr>
          <w:trHeight w:val="567"/>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10.5</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操作专间、专用操作场所符合相关要求。</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《食品安全法》第三十三条</w:t>
            </w:r>
            <w:r w:rsidR="00C43920" w:rsidRPr="005A6683">
              <w:rPr>
                <w:rFonts w:ascii="Times New Roman" w:hAnsi="Times New Roman"/>
                <w:color w:val="000000" w:themeColor="text1"/>
                <w:kern w:val="0"/>
                <w:sz w:val="20"/>
                <w:szCs w:val="20"/>
              </w:rPr>
              <w:t>；</w:t>
            </w:r>
          </w:p>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《食品经营许可管理办法》第十一条</w:t>
            </w:r>
            <w:r w:rsidR="00C43920" w:rsidRPr="005A6683">
              <w:rPr>
                <w:rFonts w:ascii="Times New Roman" w:hAnsi="Times New Roman"/>
                <w:color w:val="000000" w:themeColor="text1"/>
                <w:kern w:val="0"/>
                <w:sz w:val="20"/>
                <w:szCs w:val="20"/>
              </w:rPr>
              <w:t>。</w:t>
            </w:r>
          </w:p>
        </w:tc>
      </w:tr>
      <w:tr w:rsidR="00A40F43" w:rsidRPr="005A6683" w:rsidTr="00A907C2">
        <w:trPr>
          <w:trHeight w:val="567"/>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10.6</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餐厨用具按照规范进行清洗消毒。</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《餐饮服务食品安全操作规范》（国家市场监管总局公告</w:t>
            </w:r>
            <w:r w:rsidRPr="005A6683">
              <w:rPr>
                <w:rFonts w:ascii="Times New Roman" w:hAnsi="Times New Roman"/>
                <w:color w:val="000000" w:themeColor="text1"/>
                <w:kern w:val="0"/>
                <w:sz w:val="20"/>
                <w:szCs w:val="20"/>
              </w:rPr>
              <w:t>2018</w:t>
            </w:r>
            <w:r w:rsidRPr="005A6683">
              <w:rPr>
                <w:rFonts w:ascii="Times New Roman" w:hAnsi="Times New Roman"/>
                <w:color w:val="000000" w:themeColor="text1"/>
                <w:kern w:val="0"/>
                <w:sz w:val="20"/>
                <w:szCs w:val="20"/>
              </w:rPr>
              <w:t>年第</w:t>
            </w:r>
            <w:r w:rsidRPr="005A6683">
              <w:rPr>
                <w:rFonts w:ascii="Times New Roman" w:hAnsi="Times New Roman"/>
                <w:color w:val="000000" w:themeColor="text1"/>
                <w:kern w:val="0"/>
                <w:sz w:val="20"/>
                <w:szCs w:val="20"/>
              </w:rPr>
              <w:t>12</w:t>
            </w:r>
            <w:r w:rsidRPr="005A6683">
              <w:rPr>
                <w:rFonts w:ascii="Times New Roman" w:hAnsi="Times New Roman"/>
                <w:color w:val="000000" w:themeColor="text1"/>
                <w:kern w:val="0"/>
                <w:sz w:val="20"/>
                <w:szCs w:val="20"/>
              </w:rPr>
              <w:t>号）</w:t>
            </w:r>
            <w:r w:rsidRPr="005A6683">
              <w:rPr>
                <w:rFonts w:ascii="Times New Roman" w:hAnsi="Times New Roman"/>
                <w:color w:val="000000" w:themeColor="text1"/>
                <w:kern w:val="0"/>
                <w:sz w:val="20"/>
                <w:szCs w:val="20"/>
              </w:rPr>
              <w:t>5.3.1</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5.3.2</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5.3.4</w:t>
            </w:r>
            <w:r w:rsidR="00C43920" w:rsidRPr="005A6683">
              <w:rPr>
                <w:rFonts w:ascii="Times New Roman" w:hAnsi="Times New Roman"/>
                <w:color w:val="000000" w:themeColor="text1"/>
                <w:kern w:val="0"/>
                <w:sz w:val="20"/>
                <w:szCs w:val="20"/>
              </w:rPr>
              <w:t>。</w:t>
            </w:r>
          </w:p>
        </w:tc>
      </w:tr>
      <w:tr w:rsidR="00A40F43" w:rsidRPr="005A6683" w:rsidTr="00A907C2">
        <w:trPr>
          <w:trHeight w:val="567"/>
          <w:jc w:val="center"/>
        </w:trPr>
        <w:tc>
          <w:tcPr>
            <w:tcW w:w="712" w:type="dxa"/>
            <w:vMerge/>
            <w:tcBorders>
              <w:left w:val="single" w:sz="4" w:space="0" w:color="auto"/>
              <w:bottom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10.7</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现场制售食品在容器、外包装上标明食品的名称、制作日期、保质期以及销售者名称、地址、联系方式等内容。有温度要求的保质期应当以小时计。</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《食品安全法》第六十八条</w:t>
            </w:r>
            <w:r w:rsidR="00C43920" w:rsidRPr="005A6683">
              <w:rPr>
                <w:rFonts w:ascii="Times New Roman" w:hAnsi="Times New Roman"/>
                <w:color w:val="000000" w:themeColor="text1"/>
                <w:kern w:val="0"/>
                <w:sz w:val="20"/>
                <w:szCs w:val="20"/>
              </w:rPr>
              <w:t>。</w:t>
            </w:r>
          </w:p>
        </w:tc>
      </w:tr>
      <w:tr w:rsidR="00A40F43" w:rsidRPr="005A6683" w:rsidTr="00A907C2">
        <w:trPr>
          <w:trHeight w:val="405"/>
          <w:jc w:val="center"/>
        </w:trPr>
        <w:tc>
          <w:tcPr>
            <w:tcW w:w="712" w:type="dxa"/>
            <w:vMerge w:val="restart"/>
            <w:tcBorders>
              <w:top w:val="single" w:sz="4" w:space="0" w:color="auto"/>
              <w:left w:val="single" w:sz="4" w:space="0" w:color="auto"/>
              <w:right w:val="single" w:sz="4" w:space="0" w:color="auto"/>
            </w:tcBorders>
            <w:vAlign w:val="center"/>
          </w:tcPr>
          <w:p w:rsidR="00A40F43" w:rsidRPr="005A6683" w:rsidRDefault="00A40F43" w:rsidP="005A6683">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w:t>
            </w:r>
          </w:p>
        </w:tc>
        <w:tc>
          <w:tcPr>
            <w:tcW w:w="1559" w:type="dxa"/>
            <w:vMerge w:val="restart"/>
            <w:tcBorders>
              <w:top w:val="single" w:sz="4" w:space="0" w:color="auto"/>
              <w:left w:val="single" w:sz="4" w:space="0" w:color="auto"/>
              <w:right w:val="single" w:sz="4" w:space="0" w:color="auto"/>
            </w:tcBorders>
            <w:vAlign w:val="center"/>
          </w:tcPr>
          <w:p w:rsidR="00A40F43" w:rsidRPr="005A6683" w:rsidRDefault="00A40F43" w:rsidP="001C4674">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特殊食品销售</w:t>
            </w: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11.1</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保健食品、特殊医学用途配方食品、婴幼儿配方乳粉按规定注册或备案。</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《食品安全法》第七十六条</w:t>
            </w:r>
            <w:r w:rsidR="00C43920" w:rsidRPr="005A6683">
              <w:rPr>
                <w:rFonts w:ascii="Times New Roman" w:hAnsi="Times New Roman"/>
                <w:color w:val="000000" w:themeColor="text1"/>
                <w:kern w:val="0"/>
                <w:sz w:val="20"/>
                <w:szCs w:val="20"/>
              </w:rPr>
              <w:t>。</w:t>
            </w:r>
          </w:p>
        </w:tc>
      </w:tr>
      <w:tr w:rsidR="00A40F43" w:rsidRPr="005A6683" w:rsidTr="00A907C2">
        <w:trPr>
          <w:trHeight w:val="50"/>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11.2</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保健食品的标签、说明书符合规定。</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《食品安全法》第七十八条</w:t>
            </w:r>
            <w:r w:rsidR="00C43920" w:rsidRPr="005A6683">
              <w:rPr>
                <w:rFonts w:ascii="Times New Roman" w:hAnsi="Times New Roman"/>
                <w:color w:val="000000" w:themeColor="text1"/>
                <w:kern w:val="0"/>
                <w:sz w:val="20"/>
                <w:szCs w:val="20"/>
              </w:rPr>
              <w:t>。</w:t>
            </w:r>
          </w:p>
        </w:tc>
      </w:tr>
      <w:tr w:rsidR="00A40F43" w:rsidRPr="005A6683" w:rsidTr="00A907C2">
        <w:trPr>
          <w:trHeight w:val="567"/>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11.3</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经营特殊食品设专柜或专区销售，并在专柜或专区显著位置标明</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销售专区（或专柜）</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字样，提示牌为绿底白字，字体为黑体。</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《食药总局关于印发食品生产经营日常监督检查有关表格的通知》（食药监食监一【</w:t>
            </w:r>
            <w:r w:rsidRPr="005A6683">
              <w:rPr>
                <w:rFonts w:ascii="Times New Roman" w:hAnsi="Times New Roman"/>
                <w:color w:val="000000" w:themeColor="text1"/>
                <w:kern w:val="0"/>
                <w:sz w:val="20"/>
                <w:szCs w:val="20"/>
              </w:rPr>
              <w:t>2016</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58</w:t>
            </w:r>
            <w:r w:rsidRPr="005A6683">
              <w:rPr>
                <w:rFonts w:ascii="Times New Roman" w:hAnsi="Times New Roman"/>
                <w:color w:val="000000" w:themeColor="text1"/>
                <w:kern w:val="0"/>
                <w:sz w:val="20"/>
                <w:szCs w:val="20"/>
              </w:rPr>
              <w:t>号）</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表</w:t>
            </w:r>
            <w:r w:rsidRPr="005A6683">
              <w:rPr>
                <w:rFonts w:ascii="Times New Roman" w:hAnsi="Times New Roman"/>
                <w:color w:val="000000" w:themeColor="text1"/>
                <w:kern w:val="0"/>
                <w:sz w:val="20"/>
                <w:szCs w:val="20"/>
              </w:rPr>
              <w:t>1-2</w:t>
            </w:r>
            <w:r w:rsidRPr="005A6683">
              <w:rPr>
                <w:rFonts w:ascii="Times New Roman" w:hAnsi="Times New Roman"/>
                <w:color w:val="000000" w:themeColor="text1"/>
                <w:kern w:val="0"/>
                <w:sz w:val="20"/>
                <w:szCs w:val="20"/>
              </w:rPr>
              <w:t>食品销售日常监督检查要点表</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第</w:t>
            </w:r>
            <w:r w:rsidRPr="005A6683">
              <w:rPr>
                <w:rFonts w:ascii="Times New Roman" w:hAnsi="Times New Roman"/>
                <w:color w:val="000000" w:themeColor="text1"/>
                <w:kern w:val="0"/>
                <w:sz w:val="20"/>
                <w:szCs w:val="20"/>
              </w:rPr>
              <w:t>11.3</w:t>
            </w:r>
            <w:r w:rsidRPr="005A6683">
              <w:rPr>
                <w:rFonts w:ascii="Times New Roman" w:hAnsi="Times New Roman"/>
                <w:color w:val="000000" w:themeColor="text1"/>
                <w:kern w:val="0"/>
                <w:sz w:val="20"/>
                <w:szCs w:val="20"/>
              </w:rPr>
              <w:t>项</w:t>
            </w:r>
            <w:r w:rsidR="00C43920" w:rsidRPr="005A6683">
              <w:rPr>
                <w:rFonts w:ascii="Times New Roman" w:hAnsi="Times New Roman"/>
                <w:color w:val="000000" w:themeColor="text1"/>
                <w:kern w:val="0"/>
                <w:sz w:val="20"/>
                <w:szCs w:val="20"/>
              </w:rPr>
              <w:t>。</w:t>
            </w:r>
          </w:p>
        </w:tc>
      </w:tr>
      <w:tr w:rsidR="00A40F43" w:rsidRPr="005A6683" w:rsidTr="00A907C2">
        <w:trPr>
          <w:trHeight w:val="567"/>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11.4</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保健食品索取并留存批准证明文件以及企业产品质量标准。</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w:t>
            </w:r>
            <w:r w:rsidRPr="005A6683">
              <w:rPr>
                <w:rFonts w:ascii="Times New Roman" w:hAnsi="Times New Roman"/>
                <w:color w:val="000000" w:themeColor="text1"/>
                <w:kern w:val="0"/>
                <w:sz w:val="20"/>
                <w:szCs w:val="20"/>
              </w:rPr>
              <w:t>《食品安全法》第五十三条</w:t>
            </w:r>
            <w:r w:rsidR="00C43920" w:rsidRPr="005A6683">
              <w:rPr>
                <w:rFonts w:ascii="Times New Roman" w:hAnsi="Times New Roman"/>
                <w:color w:val="000000" w:themeColor="text1"/>
                <w:kern w:val="0"/>
                <w:sz w:val="20"/>
                <w:szCs w:val="20"/>
              </w:rPr>
              <w:t>；</w:t>
            </w:r>
          </w:p>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2.</w:t>
            </w:r>
            <w:r w:rsidRPr="005A6683">
              <w:rPr>
                <w:rFonts w:ascii="Times New Roman" w:hAnsi="Times New Roman"/>
                <w:color w:val="000000" w:themeColor="text1"/>
                <w:kern w:val="0"/>
                <w:sz w:val="20"/>
                <w:szCs w:val="20"/>
              </w:rPr>
              <w:t>《食药总局关于印发食品生产经营日常监督检查有关表格的通知》（食药监食监一【</w:t>
            </w:r>
            <w:r w:rsidRPr="005A6683">
              <w:rPr>
                <w:rFonts w:ascii="Times New Roman" w:hAnsi="Times New Roman"/>
                <w:color w:val="000000" w:themeColor="text1"/>
                <w:kern w:val="0"/>
                <w:sz w:val="20"/>
                <w:szCs w:val="20"/>
              </w:rPr>
              <w:t>2016</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58</w:t>
            </w:r>
            <w:r w:rsidRPr="005A6683">
              <w:rPr>
                <w:rFonts w:ascii="Times New Roman" w:hAnsi="Times New Roman"/>
                <w:color w:val="000000" w:themeColor="text1"/>
                <w:kern w:val="0"/>
                <w:sz w:val="20"/>
                <w:szCs w:val="20"/>
              </w:rPr>
              <w:t>号）</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表</w:t>
            </w:r>
            <w:r w:rsidRPr="005A6683">
              <w:rPr>
                <w:rFonts w:ascii="Times New Roman" w:hAnsi="Times New Roman"/>
                <w:color w:val="000000" w:themeColor="text1"/>
                <w:kern w:val="0"/>
                <w:sz w:val="20"/>
                <w:szCs w:val="20"/>
              </w:rPr>
              <w:t>1-2</w:t>
            </w:r>
            <w:r w:rsidRPr="005A6683">
              <w:rPr>
                <w:rFonts w:ascii="Times New Roman" w:hAnsi="Times New Roman"/>
                <w:color w:val="000000" w:themeColor="text1"/>
                <w:kern w:val="0"/>
                <w:sz w:val="20"/>
                <w:szCs w:val="20"/>
              </w:rPr>
              <w:t>食品销售日常监督检查要点表</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第</w:t>
            </w:r>
            <w:r w:rsidRPr="005A6683">
              <w:rPr>
                <w:rFonts w:ascii="Times New Roman" w:hAnsi="Times New Roman"/>
                <w:color w:val="000000" w:themeColor="text1"/>
                <w:kern w:val="0"/>
                <w:sz w:val="20"/>
                <w:szCs w:val="20"/>
              </w:rPr>
              <w:t>11.5</w:t>
            </w:r>
            <w:r w:rsidRPr="005A6683">
              <w:rPr>
                <w:rFonts w:ascii="Times New Roman" w:hAnsi="Times New Roman"/>
                <w:color w:val="000000" w:themeColor="text1"/>
                <w:kern w:val="0"/>
                <w:sz w:val="20"/>
                <w:szCs w:val="20"/>
              </w:rPr>
              <w:t>项</w:t>
            </w:r>
            <w:r w:rsidR="00C43920" w:rsidRPr="005A6683">
              <w:rPr>
                <w:rFonts w:ascii="Times New Roman" w:hAnsi="Times New Roman"/>
                <w:color w:val="000000" w:themeColor="text1"/>
                <w:kern w:val="0"/>
                <w:sz w:val="20"/>
                <w:szCs w:val="20"/>
              </w:rPr>
              <w:t>。</w:t>
            </w:r>
          </w:p>
        </w:tc>
      </w:tr>
      <w:tr w:rsidR="00A40F43" w:rsidRPr="005A6683" w:rsidTr="00A907C2">
        <w:trPr>
          <w:trHeight w:val="50"/>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11.5</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保健食品广告内容声明</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本品不能代替药物</w:t>
            </w:r>
            <w:r w:rsidRPr="005A6683">
              <w:rPr>
                <w:rFonts w:ascii="Times New Roman" w:hAnsi="Times New Roman"/>
                <w:color w:val="000000" w:themeColor="text1"/>
                <w:kern w:val="0"/>
                <w:sz w:val="20"/>
                <w:szCs w:val="20"/>
              </w:rPr>
              <w:t>”</w:t>
            </w:r>
            <w:r w:rsidRPr="005A6683">
              <w:rPr>
                <w:rFonts w:ascii="Times New Roman" w:hAnsi="Times New Roman"/>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《食品安全法》第七十三条、第七十九条</w:t>
            </w:r>
            <w:r w:rsidR="00C43920" w:rsidRPr="005A6683">
              <w:rPr>
                <w:rFonts w:ascii="Times New Roman" w:hAnsi="Times New Roman"/>
                <w:color w:val="000000" w:themeColor="text1"/>
                <w:kern w:val="0"/>
                <w:sz w:val="20"/>
                <w:szCs w:val="20"/>
              </w:rPr>
              <w:t>。</w:t>
            </w:r>
          </w:p>
        </w:tc>
      </w:tr>
      <w:tr w:rsidR="00A40F43" w:rsidRPr="005A6683" w:rsidTr="00A907C2">
        <w:trPr>
          <w:trHeight w:val="110"/>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11.6</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保健食品广告内容经生产企业所在地省（区、市）食品监管部门审查批准，取得保健食品广告批准文件</w:t>
            </w:r>
            <w:r w:rsidR="008E22F1">
              <w:rPr>
                <w:rFonts w:ascii="Times New Roman" w:hAnsi="Times New Roman" w:hint="eastAsia"/>
                <w:color w:val="000000" w:themeColor="text1"/>
                <w:kern w:val="0"/>
                <w:sz w:val="20"/>
                <w:szCs w:val="20"/>
              </w:rPr>
              <w:t>。</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《食品安全法》第七十九条</w:t>
            </w:r>
            <w:r w:rsidR="00C43920" w:rsidRPr="005A6683">
              <w:rPr>
                <w:rFonts w:ascii="Times New Roman" w:hAnsi="Times New Roman"/>
                <w:color w:val="000000" w:themeColor="text1"/>
                <w:kern w:val="0"/>
                <w:sz w:val="20"/>
                <w:szCs w:val="20"/>
              </w:rPr>
              <w:t>。</w:t>
            </w:r>
          </w:p>
        </w:tc>
      </w:tr>
      <w:tr w:rsidR="00A40F43" w:rsidRPr="005A6683" w:rsidTr="00A907C2">
        <w:trPr>
          <w:trHeight w:val="50"/>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11.7</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进口保健食品按规定注册或备案。</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《食品安全法》第七十六条</w:t>
            </w:r>
            <w:r w:rsidR="00C43920" w:rsidRPr="005A6683">
              <w:rPr>
                <w:rFonts w:ascii="Times New Roman" w:hAnsi="Times New Roman"/>
                <w:color w:val="000000" w:themeColor="text1"/>
                <w:kern w:val="0"/>
                <w:sz w:val="20"/>
                <w:szCs w:val="20"/>
              </w:rPr>
              <w:t>。</w:t>
            </w:r>
          </w:p>
        </w:tc>
      </w:tr>
      <w:tr w:rsidR="00A40F43" w:rsidRPr="005A6683" w:rsidTr="00A907C2">
        <w:trPr>
          <w:trHeight w:val="266"/>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top w:val="single" w:sz="4" w:space="0" w:color="auto"/>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single" w:sz="4" w:space="0" w:color="auto"/>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11.8</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特殊医学用途配方食品经国家市场监督管理总局注册。</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《食品安全法》第八十条第一款</w:t>
            </w:r>
            <w:r w:rsidR="00C43920" w:rsidRPr="005A6683">
              <w:rPr>
                <w:rFonts w:ascii="Times New Roman" w:hAnsi="Times New Roman"/>
                <w:color w:val="000000" w:themeColor="text1"/>
                <w:kern w:val="0"/>
                <w:sz w:val="20"/>
                <w:szCs w:val="20"/>
              </w:rPr>
              <w:t>。</w:t>
            </w:r>
          </w:p>
        </w:tc>
      </w:tr>
      <w:tr w:rsidR="00A40F43" w:rsidRPr="005A6683" w:rsidTr="00A907C2">
        <w:trPr>
          <w:trHeight w:val="266"/>
          <w:jc w:val="center"/>
        </w:trPr>
        <w:tc>
          <w:tcPr>
            <w:tcW w:w="712" w:type="dxa"/>
            <w:vMerge/>
            <w:tcBorders>
              <w:left w:val="single" w:sz="4" w:space="0" w:color="auto"/>
              <w:right w:val="single" w:sz="4" w:space="0" w:color="auto"/>
            </w:tcBorders>
            <w:vAlign w:val="center"/>
          </w:tcPr>
          <w:p w:rsidR="00A40F43" w:rsidRPr="005A6683" w:rsidRDefault="00A40F43" w:rsidP="008D3BE5">
            <w:pPr>
              <w:widowControl/>
              <w:jc w:val="center"/>
              <w:rPr>
                <w:rFonts w:ascii="Times New Roman" w:hAnsi="Times New Roman"/>
                <w:color w:val="000000" w:themeColor="text1"/>
                <w:kern w:val="0"/>
                <w:sz w:val="20"/>
                <w:szCs w:val="20"/>
              </w:rPr>
            </w:pPr>
          </w:p>
        </w:tc>
        <w:tc>
          <w:tcPr>
            <w:tcW w:w="1559" w:type="dxa"/>
            <w:vMerge/>
            <w:tcBorders>
              <w:left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11.9</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textAlignment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特殊医学用途配方食品广告符合《广告法》和其他法律法规关于药品广告管理的规定。</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《食品安全法》第八十条第二款</w:t>
            </w:r>
            <w:r w:rsidR="00C43920" w:rsidRPr="005A6683">
              <w:rPr>
                <w:rFonts w:ascii="Times New Roman" w:hAnsi="Times New Roman"/>
                <w:color w:val="000000" w:themeColor="text1"/>
                <w:kern w:val="0"/>
                <w:sz w:val="20"/>
                <w:szCs w:val="20"/>
              </w:rPr>
              <w:t>。</w:t>
            </w:r>
          </w:p>
        </w:tc>
      </w:tr>
      <w:tr w:rsidR="00A40F43" w:rsidRPr="005A6683" w:rsidTr="00A907C2">
        <w:trPr>
          <w:trHeight w:val="218"/>
          <w:jc w:val="center"/>
        </w:trPr>
        <w:tc>
          <w:tcPr>
            <w:tcW w:w="712" w:type="dxa"/>
            <w:tcBorders>
              <w:left w:val="single" w:sz="4" w:space="0" w:color="auto"/>
              <w:bottom w:val="single" w:sz="4" w:space="0" w:color="auto"/>
              <w:right w:val="single" w:sz="4" w:space="0" w:color="auto"/>
            </w:tcBorders>
            <w:vAlign w:val="center"/>
          </w:tcPr>
          <w:p w:rsidR="00A40F43" w:rsidRPr="005A6683" w:rsidRDefault="00A40F43" w:rsidP="00D508EA">
            <w:pPr>
              <w:widowControl/>
              <w:rPr>
                <w:rFonts w:ascii="Times New Roman" w:hAnsi="Times New Roman"/>
                <w:color w:val="000000" w:themeColor="text1"/>
                <w:kern w:val="0"/>
                <w:sz w:val="20"/>
                <w:szCs w:val="20"/>
              </w:rPr>
            </w:pPr>
          </w:p>
        </w:tc>
        <w:tc>
          <w:tcPr>
            <w:tcW w:w="1559" w:type="dxa"/>
            <w:vMerge/>
            <w:tcBorders>
              <w:left w:val="single" w:sz="4" w:space="0" w:color="auto"/>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A40F43" w:rsidRPr="005A6683" w:rsidRDefault="00A40F43" w:rsidP="001F69A9">
            <w:pPr>
              <w:widowControl/>
              <w:jc w:val="center"/>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11.10</w:t>
            </w:r>
          </w:p>
        </w:tc>
        <w:tc>
          <w:tcPr>
            <w:tcW w:w="5511" w:type="dxa"/>
            <w:tcBorders>
              <w:top w:val="nil"/>
              <w:left w:val="nil"/>
              <w:bottom w:val="single" w:sz="4" w:space="0" w:color="auto"/>
              <w:right w:val="single" w:sz="4" w:space="0" w:color="auto"/>
            </w:tcBorders>
            <w:vAlign w:val="center"/>
          </w:tcPr>
          <w:p w:rsidR="00A40F43" w:rsidRPr="005A6683" w:rsidRDefault="00A40F43" w:rsidP="001F69A9">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专供婴幼儿和其他特定人群的主辅食品，其标签标明主要营养成分及其含量。</w:t>
            </w:r>
          </w:p>
        </w:tc>
        <w:tc>
          <w:tcPr>
            <w:tcW w:w="5404" w:type="dxa"/>
            <w:tcBorders>
              <w:top w:val="nil"/>
              <w:left w:val="nil"/>
              <w:bottom w:val="single" w:sz="4" w:space="0" w:color="auto"/>
              <w:right w:val="single" w:sz="4" w:space="0" w:color="auto"/>
            </w:tcBorders>
            <w:vAlign w:val="center"/>
          </w:tcPr>
          <w:p w:rsidR="00A40F43" w:rsidRPr="005A6683" w:rsidRDefault="00A40F43" w:rsidP="00A05224">
            <w:pPr>
              <w:widowControl/>
              <w:jc w:val="left"/>
              <w:rPr>
                <w:rFonts w:ascii="Times New Roman" w:hAnsi="Times New Roman"/>
                <w:color w:val="000000" w:themeColor="text1"/>
                <w:kern w:val="0"/>
                <w:sz w:val="20"/>
                <w:szCs w:val="20"/>
              </w:rPr>
            </w:pPr>
            <w:r w:rsidRPr="005A6683">
              <w:rPr>
                <w:rFonts w:ascii="Times New Roman" w:hAnsi="Times New Roman"/>
                <w:color w:val="000000" w:themeColor="text1"/>
                <w:kern w:val="0"/>
                <w:sz w:val="20"/>
                <w:szCs w:val="20"/>
              </w:rPr>
              <w:t>《食品安全法》第八十一条</w:t>
            </w:r>
            <w:r w:rsidR="00C43920" w:rsidRPr="005A6683">
              <w:rPr>
                <w:rFonts w:ascii="Times New Roman" w:hAnsi="Times New Roman"/>
                <w:color w:val="000000" w:themeColor="text1"/>
                <w:kern w:val="0"/>
                <w:sz w:val="20"/>
                <w:szCs w:val="20"/>
              </w:rPr>
              <w:t>。</w:t>
            </w:r>
          </w:p>
        </w:tc>
      </w:tr>
    </w:tbl>
    <w:p w:rsidR="006952D3" w:rsidRPr="00A9144C" w:rsidRDefault="00BD7FD0">
      <w:pPr>
        <w:rPr>
          <w:rFonts w:ascii="黑体" w:eastAsia="黑体" w:hAnsi="黑体" w:cs="微软雅黑"/>
          <w:color w:val="000000" w:themeColor="text1"/>
          <w:kern w:val="0"/>
          <w:sz w:val="24"/>
          <w:szCs w:val="24"/>
          <w:lang w:val="zh-CN"/>
        </w:rPr>
      </w:pPr>
      <w:r w:rsidRPr="00BD7FD0">
        <w:rPr>
          <w:rFonts w:ascii="黑体" w:eastAsia="黑体" w:hAnsi="黑体" w:cs="微软雅黑" w:hint="eastAsia"/>
          <w:color w:val="000000" w:themeColor="text1"/>
          <w:kern w:val="0"/>
          <w:sz w:val="24"/>
          <w:szCs w:val="24"/>
          <w:lang w:val="zh-CN"/>
        </w:rPr>
        <w:t>注：</w:t>
      </w:r>
      <w:r w:rsidR="00A9144C" w:rsidRPr="00A9144C">
        <w:rPr>
          <w:rFonts w:ascii="黑体" w:eastAsia="黑体" w:hAnsi="黑体" w:cs="微软雅黑" w:hint="eastAsia"/>
          <w:color w:val="000000" w:themeColor="text1"/>
          <w:kern w:val="0"/>
          <w:sz w:val="24"/>
          <w:szCs w:val="24"/>
          <w:lang w:val="zh-CN"/>
        </w:rPr>
        <w:t>食品销售者，是指已取得《食品经营许可证》且主体业态为食品销售经营者的食品经营者。包括商场、超市、食杂店等。</w:t>
      </w:r>
    </w:p>
    <w:sectPr w:rsidR="006952D3" w:rsidRPr="00A9144C" w:rsidSect="00080E56">
      <w:footerReference w:type="default" r:id="rId8"/>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54B" w:rsidRDefault="005C054B" w:rsidP="00725097">
      <w:r>
        <w:separator/>
      </w:r>
    </w:p>
  </w:endnote>
  <w:endnote w:type="continuationSeparator" w:id="0">
    <w:p w:rsidR="005C054B" w:rsidRDefault="005C054B" w:rsidP="0072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8114"/>
      <w:docPartObj>
        <w:docPartGallery w:val="Page Numbers (Bottom of Page)"/>
        <w:docPartUnique/>
      </w:docPartObj>
    </w:sdtPr>
    <w:sdtEndPr/>
    <w:sdtContent>
      <w:p w:rsidR="00F1176A" w:rsidRDefault="00EE372F" w:rsidP="00F1176A">
        <w:pPr>
          <w:pStyle w:val="a4"/>
          <w:jc w:val="center"/>
        </w:pPr>
        <w:r>
          <w:fldChar w:fldCharType="begin"/>
        </w:r>
        <w:r>
          <w:instrText xml:space="preserve"> PAGE   \* MERGEFORMAT </w:instrText>
        </w:r>
        <w:r>
          <w:fldChar w:fldCharType="separate"/>
        </w:r>
        <w:r w:rsidR="003F3BBC" w:rsidRPr="003F3BBC">
          <w:rPr>
            <w:noProof/>
            <w:lang w:val="zh-CN"/>
          </w:rPr>
          <w:t>1</w:t>
        </w:r>
        <w:r>
          <w:rPr>
            <w:noProof/>
            <w:lang w:val="zh-CN"/>
          </w:rPr>
          <w:fldChar w:fldCharType="end"/>
        </w:r>
      </w:p>
    </w:sdtContent>
  </w:sdt>
  <w:p w:rsidR="00F1176A" w:rsidRDefault="00F117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54B" w:rsidRDefault="005C054B" w:rsidP="00725097">
      <w:r>
        <w:separator/>
      </w:r>
    </w:p>
  </w:footnote>
  <w:footnote w:type="continuationSeparator" w:id="0">
    <w:p w:rsidR="005C054B" w:rsidRDefault="005C054B" w:rsidP="00725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57D56"/>
    <w:multiLevelType w:val="hybridMultilevel"/>
    <w:tmpl w:val="173EFB6A"/>
    <w:lvl w:ilvl="0" w:tplc="7D129E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C65A31"/>
    <w:multiLevelType w:val="hybridMultilevel"/>
    <w:tmpl w:val="A952198E"/>
    <w:lvl w:ilvl="0" w:tplc="0338D6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0591"/>
    <w:rsid w:val="0000055B"/>
    <w:rsid w:val="00005990"/>
    <w:rsid w:val="0001197F"/>
    <w:rsid w:val="00016DB9"/>
    <w:rsid w:val="00035797"/>
    <w:rsid w:val="00040685"/>
    <w:rsid w:val="000411C4"/>
    <w:rsid w:val="00055714"/>
    <w:rsid w:val="00080E56"/>
    <w:rsid w:val="00080FE6"/>
    <w:rsid w:val="000A0669"/>
    <w:rsid w:val="000A466E"/>
    <w:rsid w:val="000C03F9"/>
    <w:rsid w:val="000C2F8B"/>
    <w:rsid w:val="000D1B67"/>
    <w:rsid w:val="000D2429"/>
    <w:rsid w:val="000E340C"/>
    <w:rsid w:val="000E5EAF"/>
    <w:rsid w:val="000F63DD"/>
    <w:rsid w:val="00102020"/>
    <w:rsid w:val="00111322"/>
    <w:rsid w:val="00114AA7"/>
    <w:rsid w:val="0011553E"/>
    <w:rsid w:val="00121C06"/>
    <w:rsid w:val="0012694E"/>
    <w:rsid w:val="001301BD"/>
    <w:rsid w:val="00133344"/>
    <w:rsid w:val="00137B49"/>
    <w:rsid w:val="00140AF3"/>
    <w:rsid w:val="00152BC6"/>
    <w:rsid w:val="00163019"/>
    <w:rsid w:val="00176628"/>
    <w:rsid w:val="00185211"/>
    <w:rsid w:val="001B0A79"/>
    <w:rsid w:val="001B11A0"/>
    <w:rsid w:val="001C12CA"/>
    <w:rsid w:val="001C4674"/>
    <w:rsid w:val="001C570A"/>
    <w:rsid w:val="001D00EF"/>
    <w:rsid w:val="001F3B9F"/>
    <w:rsid w:val="001F69A9"/>
    <w:rsid w:val="0021105F"/>
    <w:rsid w:val="002112E3"/>
    <w:rsid w:val="00223BB6"/>
    <w:rsid w:val="00224429"/>
    <w:rsid w:val="00246892"/>
    <w:rsid w:val="002659F4"/>
    <w:rsid w:val="00267932"/>
    <w:rsid w:val="00271697"/>
    <w:rsid w:val="002800B6"/>
    <w:rsid w:val="0028099E"/>
    <w:rsid w:val="00285C1E"/>
    <w:rsid w:val="002964C8"/>
    <w:rsid w:val="002B4F89"/>
    <w:rsid w:val="002D03AB"/>
    <w:rsid w:val="002E36A1"/>
    <w:rsid w:val="003129EA"/>
    <w:rsid w:val="003168E1"/>
    <w:rsid w:val="003255CB"/>
    <w:rsid w:val="00333545"/>
    <w:rsid w:val="00345E9F"/>
    <w:rsid w:val="003544F9"/>
    <w:rsid w:val="00362C8F"/>
    <w:rsid w:val="003637E8"/>
    <w:rsid w:val="0037406B"/>
    <w:rsid w:val="00381FD6"/>
    <w:rsid w:val="00391378"/>
    <w:rsid w:val="003A19FC"/>
    <w:rsid w:val="003B6FCF"/>
    <w:rsid w:val="003C3920"/>
    <w:rsid w:val="003D1074"/>
    <w:rsid w:val="003E32E6"/>
    <w:rsid w:val="003E6853"/>
    <w:rsid w:val="003E78BC"/>
    <w:rsid w:val="003E7F9B"/>
    <w:rsid w:val="003F3BBC"/>
    <w:rsid w:val="00412AC6"/>
    <w:rsid w:val="00420C2E"/>
    <w:rsid w:val="004311C3"/>
    <w:rsid w:val="004379EF"/>
    <w:rsid w:val="00444E51"/>
    <w:rsid w:val="00460628"/>
    <w:rsid w:val="00476D86"/>
    <w:rsid w:val="00477BB0"/>
    <w:rsid w:val="00487934"/>
    <w:rsid w:val="00492CF6"/>
    <w:rsid w:val="0049567F"/>
    <w:rsid w:val="004A0FA4"/>
    <w:rsid w:val="004A4B92"/>
    <w:rsid w:val="004A795E"/>
    <w:rsid w:val="004C6438"/>
    <w:rsid w:val="004D7352"/>
    <w:rsid w:val="004E5C82"/>
    <w:rsid w:val="004F1717"/>
    <w:rsid w:val="004F7724"/>
    <w:rsid w:val="00500E87"/>
    <w:rsid w:val="00502CD0"/>
    <w:rsid w:val="00522384"/>
    <w:rsid w:val="00526338"/>
    <w:rsid w:val="00534827"/>
    <w:rsid w:val="00540041"/>
    <w:rsid w:val="00553A0B"/>
    <w:rsid w:val="00571F65"/>
    <w:rsid w:val="005777EF"/>
    <w:rsid w:val="0058039C"/>
    <w:rsid w:val="005848B6"/>
    <w:rsid w:val="00594AA2"/>
    <w:rsid w:val="005A23F2"/>
    <w:rsid w:val="005A6683"/>
    <w:rsid w:val="005C054B"/>
    <w:rsid w:val="005E2238"/>
    <w:rsid w:val="005E3E22"/>
    <w:rsid w:val="005E4B4C"/>
    <w:rsid w:val="005F4B00"/>
    <w:rsid w:val="00604242"/>
    <w:rsid w:val="00605B0D"/>
    <w:rsid w:val="00616EF7"/>
    <w:rsid w:val="00622B67"/>
    <w:rsid w:val="00624121"/>
    <w:rsid w:val="00625E8F"/>
    <w:rsid w:val="00631670"/>
    <w:rsid w:val="00633633"/>
    <w:rsid w:val="006374F3"/>
    <w:rsid w:val="006404C6"/>
    <w:rsid w:val="00652EC3"/>
    <w:rsid w:val="00660591"/>
    <w:rsid w:val="00660A82"/>
    <w:rsid w:val="0066430A"/>
    <w:rsid w:val="006737B1"/>
    <w:rsid w:val="0067531C"/>
    <w:rsid w:val="00675A09"/>
    <w:rsid w:val="0067701F"/>
    <w:rsid w:val="00685D42"/>
    <w:rsid w:val="00691E0E"/>
    <w:rsid w:val="006952D3"/>
    <w:rsid w:val="006B4AED"/>
    <w:rsid w:val="006E0996"/>
    <w:rsid w:val="006E3488"/>
    <w:rsid w:val="006E5402"/>
    <w:rsid w:val="006E54EC"/>
    <w:rsid w:val="006F4A45"/>
    <w:rsid w:val="006F51FB"/>
    <w:rsid w:val="006F52B7"/>
    <w:rsid w:val="007042A2"/>
    <w:rsid w:val="00705CF0"/>
    <w:rsid w:val="00717BD3"/>
    <w:rsid w:val="00720D7D"/>
    <w:rsid w:val="00725097"/>
    <w:rsid w:val="007268AE"/>
    <w:rsid w:val="00732F0D"/>
    <w:rsid w:val="00750BA4"/>
    <w:rsid w:val="007511AB"/>
    <w:rsid w:val="0076742A"/>
    <w:rsid w:val="00767F61"/>
    <w:rsid w:val="00772C04"/>
    <w:rsid w:val="007746DF"/>
    <w:rsid w:val="0078015F"/>
    <w:rsid w:val="00793A37"/>
    <w:rsid w:val="00794C0A"/>
    <w:rsid w:val="007C0155"/>
    <w:rsid w:val="007D0A86"/>
    <w:rsid w:val="007D61E0"/>
    <w:rsid w:val="007E37CC"/>
    <w:rsid w:val="007E4524"/>
    <w:rsid w:val="007E4CF9"/>
    <w:rsid w:val="007F631F"/>
    <w:rsid w:val="008062EA"/>
    <w:rsid w:val="00811191"/>
    <w:rsid w:val="008248A3"/>
    <w:rsid w:val="008256E0"/>
    <w:rsid w:val="008312B0"/>
    <w:rsid w:val="00837353"/>
    <w:rsid w:val="00847D55"/>
    <w:rsid w:val="00862ABC"/>
    <w:rsid w:val="008709C5"/>
    <w:rsid w:val="00873F20"/>
    <w:rsid w:val="0089592C"/>
    <w:rsid w:val="00896794"/>
    <w:rsid w:val="008A3EB0"/>
    <w:rsid w:val="008B77B4"/>
    <w:rsid w:val="008D23E8"/>
    <w:rsid w:val="008D3BE5"/>
    <w:rsid w:val="008D4FA4"/>
    <w:rsid w:val="008E22F1"/>
    <w:rsid w:val="008F54CE"/>
    <w:rsid w:val="008F7381"/>
    <w:rsid w:val="008F7547"/>
    <w:rsid w:val="00927A3E"/>
    <w:rsid w:val="00934AC9"/>
    <w:rsid w:val="00961620"/>
    <w:rsid w:val="00963D12"/>
    <w:rsid w:val="0096601F"/>
    <w:rsid w:val="009753CB"/>
    <w:rsid w:val="009766A6"/>
    <w:rsid w:val="00985EEE"/>
    <w:rsid w:val="00986BE0"/>
    <w:rsid w:val="009940DB"/>
    <w:rsid w:val="009A4546"/>
    <w:rsid w:val="009B0BB6"/>
    <w:rsid w:val="009C69AF"/>
    <w:rsid w:val="009C6CBC"/>
    <w:rsid w:val="009D1357"/>
    <w:rsid w:val="009E7CA2"/>
    <w:rsid w:val="009F1AE6"/>
    <w:rsid w:val="00A05224"/>
    <w:rsid w:val="00A219A1"/>
    <w:rsid w:val="00A37923"/>
    <w:rsid w:val="00A40F43"/>
    <w:rsid w:val="00A5467C"/>
    <w:rsid w:val="00A64903"/>
    <w:rsid w:val="00A7720F"/>
    <w:rsid w:val="00A85AC2"/>
    <w:rsid w:val="00A907C2"/>
    <w:rsid w:val="00A9144C"/>
    <w:rsid w:val="00AA0DCC"/>
    <w:rsid w:val="00AA3D30"/>
    <w:rsid w:val="00AB4061"/>
    <w:rsid w:val="00AD68BE"/>
    <w:rsid w:val="00AE38FC"/>
    <w:rsid w:val="00AF409A"/>
    <w:rsid w:val="00AF7EAA"/>
    <w:rsid w:val="00B05DA2"/>
    <w:rsid w:val="00B1198F"/>
    <w:rsid w:val="00B2623A"/>
    <w:rsid w:val="00B2626F"/>
    <w:rsid w:val="00B33458"/>
    <w:rsid w:val="00B52BCF"/>
    <w:rsid w:val="00B65D95"/>
    <w:rsid w:val="00B82FEE"/>
    <w:rsid w:val="00B900C1"/>
    <w:rsid w:val="00B92853"/>
    <w:rsid w:val="00B94DFA"/>
    <w:rsid w:val="00B94F04"/>
    <w:rsid w:val="00B959E5"/>
    <w:rsid w:val="00B972BE"/>
    <w:rsid w:val="00BA4F52"/>
    <w:rsid w:val="00BA6734"/>
    <w:rsid w:val="00BA6A18"/>
    <w:rsid w:val="00BB7B73"/>
    <w:rsid w:val="00BD2E52"/>
    <w:rsid w:val="00BD7F8B"/>
    <w:rsid w:val="00BD7FD0"/>
    <w:rsid w:val="00C048EE"/>
    <w:rsid w:val="00C061D8"/>
    <w:rsid w:val="00C12994"/>
    <w:rsid w:val="00C138FB"/>
    <w:rsid w:val="00C33477"/>
    <w:rsid w:val="00C3571D"/>
    <w:rsid w:val="00C42C9F"/>
    <w:rsid w:val="00C43920"/>
    <w:rsid w:val="00C44F99"/>
    <w:rsid w:val="00C4553A"/>
    <w:rsid w:val="00C7593A"/>
    <w:rsid w:val="00C84833"/>
    <w:rsid w:val="00C860D7"/>
    <w:rsid w:val="00C926E6"/>
    <w:rsid w:val="00C94B53"/>
    <w:rsid w:val="00CA3165"/>
    <w:rsid w:val="00CA76B6"/>
    <w:rsid w:val="00CB1E11"/>
    <w:rsid w:val="00CB7E07"/>
    <w:rsid w:val="00CC7BD5"/>
    <w:rsid w:val="00CE0B0E"/>
    <w:rsid w:val="00CE1A24"/>
    <w:rsid w:val="00CE448F"/>
    <w:rsid w:val="00CE6089"/>
    <w:rsid w:val="00D13D10"/>
    <w:rsid w:val="00D2626E"/>
    <w:rsid w:val="00D508EA"/>
    <w:rsid w:val="00D566E0"/>
    <w:rsid w:val="00D72537"/>
    <w:rsid w:val="00D8351F"/>
    <w:rsid w:val="00DC73C1"/>
    <w:rsid w:val="00DE694A"/>
    <w:rsid w:val="00DF247C"/>
    <w:rsid w:val="00DF3D42"/>
    <w:rsid w:val="00DF4A2F"/>
    <w:rsid w:val="00E069C7"/>
    <w:rsid w:val="00E06AD6"/>
    <w:rsid w:val="00E078C4"/>
    <w:rsid w:val="00E17D16"/>
    <w:rsid w:val="00E41E3E"/>
    <w:rsid w:val="00E6221E"/>
    <w:rsid w:val="00E650B6"/>
    <w:rsid w:val="00E709BE"/>
    <w:rsid w:val="00EA15F3"/>
    <w:rsid w:val="00EB3213"/>
    <w:rsid w:val="00EB5428"/>
    <w:rsid w:val="00EB5A9F"/>
    <w:rsid w:val="00EB714D"/>
    <w:rsid w:val="00EB7160"/>
    <w:rsid w:val="00EE372F"/>
    <w:rsid w:val="00EE5BA0"/>
    <w:rsid w:val="00EF06E5"/>
    <w:rsid w:val="00F05DF8"/>
    <w:rsid w:val="00F1176A"/>
    <w:rsid w:val="00F125BA"/>
    <w:rsid w:val="00F211D9"/>
    <w:rsid w:val="00F31F06"/>
    <w:rsid w:val="00F4086B"/>
    <w:rsid w:val="00F40FB3"/>
    <w:rsid w:val="00F44B71"/>
    <w:rsid w:val="00F5017F"/>
    <w:rsid w:val="00F544BA"/>
    <w:rsid w:val="00F5557F"/>
    <w:rsid w:val="00F60AC0"/>
    <w:rsid w:val="00F807B5"/>
    <w:rsid w:val="00FB5163"/>
    <w:rsid w:val="00FB5EA5"/>
    <w:rsid w:val="00FC1621"/>
    <w:rsid w:val="00FC2EBE"/>
    <w:rsid w:val="00FD418F"/>
    <w:rsid w:val="00FE74A0"/>
    <w:rsid w:val="00FE7648"/>
    <w:rsid w:val="00FF3421"/>
    <w:rsid w:val="00FF72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97"/>
    <w:pPr>
      <w:widowControl w:val="0"/>
      <w:jc w:val="both"/>
    </w:pPr>
    <w:rPr>
      <w:rFonts w:ascii="仿宋_GB2312" w:eastAsia="仿宋_GB2312" w:hAnsi="华文中宋"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0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25097"/>
    <w:rPr>
      <w:sz w:val="18"/>
      <w:szCs w:val="18"/>
    </w:rPr>
  </w:style>
  <w:style w:type="paragraph" w:styleId="a4">
    <w:name w:val="footer"/>
    <w:basedOn w:val="a"/>
    <w:link w:val="Char0"/>
    <w:uiPriority w:val="99"/>
    <w:unhideWhenUsed/>
    <w:rsid w:val="007250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25097"/>
    <w:rPr>
      <w:sz w:val="18"/>
      <w:szCs w:val="18"/>
    </w:rPr>
  </w:style>
  <w:style w:type="paragraph" w:styleId="a5">
    <w:name w:val="Balloon Text"/>
    <w:basedOn w:val="a"/>
    <w:link w:val="Char1"/>
    <w:uiPriority w:val="99"/>
    <w:semiHidden/>
    <w:unhideWhenUsed/>
    <w:rsid w:val="000E340C"/>
    <w:rPr>
      <w:sz w:val="18"/>
      <w:szCs w:val="18"/>
    </w:rPr>
  </w:style>
  <w:style w:type="character" w:customStyle="1" w:styleId="Char1">
    <w:name w:val="批注框文本 Char"/>
    <w:basedOn w:val="a0"/>
    <w:link w:val="a5"/>
    <w:uiPriority w:val="99"/>
    <w:semiHidden/>
    <w:rsid w:val="000E340C"/>
    <w:rPr>
      <w:rFonts w:ascii="仿宋_GB2312" w:eastAsia="仿宋_GB2312" w:hAnsi="华文中宋" w:cs="Times New Roman"/>
      <w:sz w:val="18"/>
      <w:szCs w:val="18"/>
    </w:rPr>
  </w:style>
  <w:style w:type="paragraph" w:styleId="a6">
    <w:name w:val="List Paragraph"/>
    <w:basedOn w:val="a"/>
    <w:uiPriority w:val="34"/>
    <w:qFormat/>
    <w:rsid w:val="00DC73C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97"/>
    <w:pPr>
      <w:widowControl w:val="0"/>
      <w:jc w:val="both"/>
    </w:pPr>
    <w:rPr>
      <w:rFonts w:ascii="仿宋_GB2312" w:eastAsia="仿宋_GB2312" w:hAnsi="华文中宋"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0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25097"/>
    <w:rPr>
      <w:sz w:val="18"/>
      <w:szCs w:val="18"/>
    </w:rPr>
  </w:style>
  <w:style w:type="paragraph" w:styleId="a4">
    <w:name w:val="footer"/>
    <w:basedOn w:val="a"/>
    <w:link w:val="Char0"/>
    <w:uiPriority w:val="99"/>
    <w:unhideWhenUsed/>
    <w:rsid w:val="007250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25097"/>
    <w:rPr>
      <w:sz w:val="18"/>
      <w:szCs w:val="18"/>
    </w:rPr>
  </w:style>
  <w:style w:type="paragraph" w:styleId="a5">
    <w:name w:val="Balloon Text"/>
    <w:basedOn w:val="a"/>
    <w:link w:val="Char1"/>
    <w:uiPriority w:val="99"/>
    <w:semiHidden/>
    <w:unhideWhenUsed/>
    <w:rsid w:val="000E340C"/>
    <w:rPr>
      <w:sz w:val="18"/>
      <w:szCs w:val="18"/>
    </w:rPr>
  </w:style>
  <w:style w:type="character" w:customStyle="1" w:styleId="Char1">
    <w:name w:val="批注框文本 Char"/>
    <w:basedOn w:val="a0"/>
    <w:link w:val="a5"/>
    <w:uiPriority w:val="99"/>
    <w:semiHidden/>
    <w:rsid w:val="000E340C"/>
    <w:rPr>
      <w:rFonts w:ascii="仿宋_GB2312" w:eastAsia="仿宋_GB2312" w:hAnsi="华文中宋" w:cs="Times New Roman"/>
      <w:sz w:val="18"/>
      <w:szCs w:val="18"/>
    </w:rPr>
  </w:style>
  <w:style w:type="paragraph" w:styleId="a6">
    <w:name w:val="List Paragraph"/>
    <w:basedOn w:val="a"/>
    <w:uiPriority w:val="34"/>
    <w:qFormat/>
    <w:rsid w:val="00DC73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霍廉</dc:creator>
  <cp:lastModifiedBy>王治</cp:lastModifiedBy>
  <cp:revision>2</cp:revision>
  <cp:lastPrinted>2020-07-09T00:57:00Z</cp:lastPrinted>
  <dcterms:created xsi:type="dcterms:W3CDTF">2020-07-10T08:11:00Z</dcterms:created>
  <dcterms:modified xsi:type="dcterms:W3CDTF">2020-07-10T08:11:00Z</dcterms:modified>
</cp:coreProperties>
</file>