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hint="default" w:ascii="仿宋" w:hAnsi="仿宋" w:eastAsia="仿宋"/>
          <w:sz w:val="32"/>
          <w:szCs w:val="32"/>
          <w:lang w:val="en"/>
        </w:rPr>
        <w:t>3</w:t>
      </w:r>
      <w:r>
        <w:rPr>
          <w:rFonts w:hint="eastAsia" w:ascii="仿宋" w:hAnsi="仿宋" w:eastAsia="仿宋"/>
          <w:sz w:val="32"/>
          <w:szCs w:val="32"/>
        </w:rPr>
        <w:t>：</w:t>
      </w:r>
    </w:p>
    <w:p>
      <w:pPr>
        <w:spacing w:before="156" w:beforeLines="50" w:after="156" w:afterLines="50"/>
        <w:jc w:val="center"/>
        <w:outlineLvl w:val="0"/>
        <w:rPr>
          <w:sz w:val="36"/>
          <w:szCs w:val="36"/>
        </w:rPr>
      </w:pPr>
      <w:bookmarkStart w:id="0" w:name="_Toc30757"/>
      <w:bookmarkStart w:id="1" w:name="_Toc22707"/>
      <w:r>
        <w:rPr>
          <w:rFonts w:hint="eastAsia" w:ascii="黑体" w:hAnsi="黑体" w:eastAsia="黑体"/>
          <w:sz w:val="36"/>
          <w:szCs w:val="36"/>
        </w:rPr>
        <w:t>关于实施企业标准“领跑者”制度的工作方案（试行）</w:t>
      </w:r>
      <w:bookmarkEnd w:id="0"/>
      <w:bookmarkEnd w:id="1"/>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为落实《天津市深化商事制度改革进一步为企业松绑减负激发企业活力若干措施》（津政办规〔2020〕23号）和《天津市标准化委员会办公室关于印发&lt;实施企业标准“领跑者”制度行动计划&gt;的通知》（津标</w:t>
      </w:r>
      <w:bookmarkStart w:id="23" w:name="_GoBack"/>
      <w:bookmarkEnd w:id="23"/>
      <w:r>
        <w:rPr>
          <w:rFonts w:hint="eastAsia" w:ascii="仿宋" w:hAnsi="仿宋" w:eastAsia="仿宋"/>
          <w:sz w:val="32"/>
          <w:szCs w:val="32"/>
        </w:rPr>
        <w:t>委办发〔2021〕1号）要求，强化企业标准引领，树立行业标杆，促进天津市全面质量提升，推动建立天津市企业标准“领跑者”制度，制定本工作方案。</w:t>
      </w:r>
    </w:p>
    <w:p>
      <w:pPr>
        <w:adjustRightInd w:val="0"/>
        <w:snapToGrid w:val="0"/>
        <w:spacing w:line="360" w:lineRule="auto"/>
        <w:ind w:firstLine="640" w:firstLineChars="200"/>
        <w:outlineLvl w:val="0"/>
        <w:rPr>
          <w:rFonts w:ascii="黑体" w:hAnsi="黑体" w:eastAsia="黑体"/>
          <w:sz w:val="32"/>
          <w:szCs w:val="32"/>
        </w:rPr>
      </w:pPr>
      <w:bookmarkStart w:id="2" w:name="_Toc31871"/>
      <w:bookmarkStart w:id="3" w:name="_Toc19462"/>
      <w:r>
        <w:rPr>
          <w:rFonts w:hint="eastAsia" w:ascii="黑体" w:hAnsi="黑体" w:eastAsia="黑体"/>
          <w:sz w:val="32"/>
          <w:szCs w:val="32"/>
        </w:rPr>
        <w:t>一、基本思路</w:t>
      </w:r>
      <w:bookmarkEnd w:id="2"/>
      <w:bookmarkEnd w:id="3"/>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遵循需求导向、公开公平、创新驱动、企业主体和规范引导的原则，以企业产品和服务标准自我声明公开为基础，发挥市场主导作用，鼓励检验检测及标准化技术机构、行业协会、产业联盟、平台型企业等第三方评估机构开展企业标准水平评估，发布企业标准排行榜，确定企业标准领跑者。建立激励机制，</w:t>
      </w:r>
      <w:r>
        <w:rPr>
          <w:rFonts w:hint="eastAsia" w:ascii="仿宋_GB2312" w:hAnsi="仿宋_GB2312" w:eastAsia="仿宋_GB2312" w:cs="仿宋_GB2312"/>
          <w:sz w:val="32"/>
          <w:szCs w:val="32"/>
        </w:rPr>
        <w:t>鼓励企业提高产品和服务标准水平，以标准优势巩固技术优势，以标准领跑带动企业和产业领跑，增强产品和服务竞争力，</w:t>
      </w:r>
      <w:r>
        <w:rPr>
          <w:rFonts w:hint="eastAsia" w:ascii="仿宋" w:hAnsi="仿宋" w:eastAsia="仿宋"/>
          <w:sz w:val="32"/>
          <w:szCs w:val="32"/>
        </w:rPr>
        <w:t>让广大消费者享受更好的产品和服务</w:t>
      </w:r>
      <w:r>
        <w:rPr>
          <w:rFonts w:hint="eastAsia" w:ascii="仿宋_GB2312" w:hAnsi="仿宋_GB2312" w:eastAsia="仿宋_GB2312" w:cs="仿宋_GB2312"/>
          <w:sz w:val="32"/>
          <w:szCs w:val="32"/>
        </w:rPr>
        <w:t>。</w:t>
      </w:r>
    </w:p>
    <w:p>
      <w:pPr>
        <w:adjustRightInd w:val="0"/>
        <w:snapToGrid w:val="0"/>
        <w:spacing w:line="360" w:lineRule="auto"/>
        <w:ind w:firstLine="640" w:firstLineChars="200"/>
        <w:outlineLvl w:val="0"/>
        <w:rPr>
          <w:rFonts w:ascii="黑体" w:hAnsi="黑体" w:eastAsia="黑体"/>
          <w:sz w:val="32"/>
          <w:szCs w:val="32"/>
        </w:rPr>
      </w:pPr>
      <w:bookmarkStart w:id="4" w:name="_Toc16614"/>
      <w:bookmarkStart w:id="5" w:name="_Toc17331"/>
      <w:r>
        <w:rPr>
          <w:rFonts w:hint="eastAsia" w:ascii="黑体" w:hAnsi="黑体" w:eastAsia="黑体"/>
          <w:sz w:val="32"/>
          <w:szCs w:val="32"/>
        </w:rPr>
        <w:t>二、职责分工</w:t>
      </w:r>
      <w:bookmarkEnd w:id="4"/>
      <w:bookmarkEnd w:id="5"/>
    </w:p>
    <w:p>
      <w:pPr>
        <w:widowControl/>
        <w:adjustRightInd w:val="0"/>
        <w:snapToGrid w:val="0"/>
        <w:spacing w:line="360" w:lineRule="auto"/>
        <w:ind w:firstLine="642"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1.工作机构</w:t>
      </w:r>
    </w:p>
    <w:p>
      <w:pPr>
        <w:widowControl/>
        <w:adjustRightInd w:val="0"/>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市标准化研究院作为企业标准“领跑者”的工作机构，紧密围绕市市场监管委发布的年度重点实施领域，公开征集企业标准“领跑者”评估机构和评估方案；组织相关领域专家对评估方案进行评审，确定评估机构，并</w:t>
      </w:r>
      <w:r>
        <w:rPr>
          <w:rFonts w:hint="eastAsia" w:ascii="仿宋_GB2312" w:hAnsi="仿宋_GB2312" w:eastAsia="仿宋_GB2312" w:cs="仿宋_GB2312"/>
          <w:color w:val="000000"/>
          <w:kern w:val="0"/>
          <w:sz w:val="31"/>
          <w:szCs w:val="31"/>
          <w:lang w:bidi="ar"/>
        </w:rPr>
        <w:t>向社会公示</w:t>
      </w:r>
      <w:r>
        <w:rPr>
          <w:rFonts w:hint="eastAsia" w:ascii="仿宋" w:hAnsi="仿宋" w:eastAsia="仿宋"/>
          <w:color w:val="000000" w:themeColor="text1"/>
          <w:sz w:val="32"/>
          <w:szCs w:val="32"/>
          <w14:textFill>
            <w14:solidFill>
              <w14:schemeClr w14:val="tx1"/>
            </w14:solidFill>
          </w14:textFill>
        </w:rPr>
        <w:t>；对评估机构进行动态管理；为制定政策、编制评估方案等提供技术支撑。</w:t>
      </w:r>
    </w:p>
    <w:p>
      <w:pPr>
        <w:widowControl/>
        <w:adjustRightInd w:val="0"/>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市市场监管委网站（http://scjg.tj.gov.cn/）为天津市企业标准“领跑者”工作信息发布平台。</w:t>
      </w:r>
    </w:p>
    <w:p>
      <w:pPr>
        <w:widowControl/>
        <w:adjustRightInd w:val="0"/>
        <w:snapToGrid w:val="0"/>
        <w:spacing w:line="360" w:lineRule="auto"/>
        <w:ind w:firstLine="642"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2.评估机构</w:t>
      </w:r>
    </w:p>
    <w:p>
      <w:pPr>
        <w:widowControl/>
        <w:adjustRightInd w:val="0"/>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估机构应是在天津市行政区域内注册并具有独立法人资格的标准化技术机构、科研机构、行业协会、检测机构、认证机构、咨询服务机构等，充分了解行业情况和相关标准化工作。鼓励全国性行业协会商会驻津分会积极承担评估机构的工作。评估机构是开展企业标准“领跑者”评估工作的主体，工作内容包括：编制天津市企业标准“领跑者”评估方案；依据评估方案开展企业标准“领跑者”评估工作，并发布企业标准“领跑者”名单；对企业标准“领跑者”及其产品或服务标准信息实施动态管理。评估机构应当与被评估企业无利益或竞争关系，具备承担发布结果法律责任的能力，不得向企业收取任何费用。</w:t>
      </w:r>
    </w:p>
    <w:p>
      <w:pPr>
        <w:adjustRightInd w:val="0"/>
        <w:snapToGrid w:val="0"/>
        <w:spacing w:line="360" w:lineRule="auto"/>
        <w:ind w:firstLine="640" w:firstLineChars="200"/>
        <w:outlineLvl w:val="0"/>
        <w:rPr>
          <w:rFonts w:ascii="黑体" w:hAnsi="黑体" w:eastAsia="黑体"/>
          <w:sz w:val="32"/>
          <w:szCs w:val="32"/>
        </w:rPr>
      </w:pPr>
      <w:bookmarkStart w:id="6" w:name="_Toc18619"/>
      <w:bookmarkStart w:id="7" w:name="_Toc11695"/>
      <w:r>
        <w:rPr>
          <w:rFonts w:hint="eastAsia" w:ascii="黑体" w:hAnsi="黑体" w:eastAsia="黑体"/>
          <w:sz w:val="32"/>
          <w:szCs w:val="32"/>
        </w:rPr>
        <w:t>三、实施程序</w:t>
      </w:r>
      <w:bookmarkEnd w:id="6"/>
      <w:bookmarkEnd w:id="7"/>
    </w:p>
    <w:p>
      <w:pPr>
        <w:widowControl/>
        <w:adjustRightInd w:val="0"/>
        <w:snapToGrid w:val="0"/>
        <w:spacing w:line="360" w:lineRule="auto"/>
        <w:ind w:firstLine="642" w:firstLineChars="200"/>
        <w:jc w:val="left"/>
        <w:rPr>
          <w:rFonts w:ascii="仿宋" w:hAnsi="仿宋" w:eastAsia="仿宋"/>
          <w:b/>
          <w:bCs/>
          <w:color w:val="000000" w:themeColor="text1"/>
          <w:sz w:val="32"/>
          <w:szCs w:val="32"/>
          <w14:textFill>
            <w14:solidFill>
              <w14:schemeClr w14:val="tx1"/>
            </w14:solidFill>
          </w14:textFill>
        </w:rPr>
      </w:pPr>
      <w:bookmarkStart w:id="8" w:name="_Toc7174"/>
      <w:r>
        <w:rPr>
          <w:rFonts w:hint="eastAsia" w:ascii="仿宋" w:hAnsi="仿宋" w:eastAsia="仿宋"/>
          <w:b/>
          <w:bCs/>
          <w:color w:val="000000" w:themeColor="text1"/>
          <w:sz w:val="32"/>
          <w:szCs w:val="32"/>
          <w14:textFill>
            <w14:solidFill>
              <w14:schemeClr w14:val="tx1"/>
            </w14:solidFill>
          </w14:textFill>
        </w:rPr>
        <w:t>（一）征集评估机构和评估方案</w:t>
      </w:r>
      <w:bookmarkEnd w:id="8"/>
    </w:p>
    <w:p>
      <w:pPr>
        <w:widowControl/>
        <w:adjustRightInd w:val="0"/>
        <w:snapToGrid w:val="0"/>
        <w:spacing w:line="360" w:lineRule="auto"/>
        <w:ind w:firstLine="642"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1.广泛征集 </w:t>
      </w:r>
    </w:p>
    <w:p>
      <w:pPr>
        <w:widowControl/>
        <w:adjustRightInd w:val="0"/>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工作机构围绕年度企业标准“领跑者”重点实施领域，面向有关专业技术机构，公开征集评估机构及评估方案。</w:t>
      </w:r>
    </w:p>
    <w:p>
      <w:pPr>
        <w:widowControl/>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估机构应结合自身优势，基于不同产品和服务的特点，以企业标准自我声明的相关信息为基础，合理确定领跑者核心指标，科学建立“领跑者”评估方法，编制评估方案。（评估方案模板见附件2，具体内容可参照企业标准领跑者管理信息平台中评估方案编制指南编写。https://www.qybzlp.com/）</w:t>
      </w:r>
    </w:p>
    <w:p>
      <w:pPr>
        <w:adjustRightInd w:val="0"/>
        <w:snapToGrid w:val="0"/>
        <w:spacing w:line="360" w:lineRule="auto"/>
        <w:ind w:firstLine="642"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2.方案评审 </w:t>
      </w:r>
    </w:p>
    <w:p>
      <w:pPr>
        <w:widowControl/>
        <w:adjustRightInd w:val="0"/>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工作机构组织开展企业标准“领跑者”评估方案的评审工作，评审包括形式审查和专家评审。工作机构负责评估方案的形式审查，并形成初审意见。未通过形式审查的不再进行专家评审。</w:t>
      </w:r>
    </w:p>
    <w:p>
      <w:pPr>
        <w:widowControl/>
        <w:adjustRightInd w:val="0"/>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工作机构组织相关领域专家组成评审专家组，每个领域的方案评审专家应不少于五人，并且评审专家不得为方案编制单位人员。评审专家组根据产品所属领域，按照企业标准“领跑者”评估方案</w:t>
      </w:r>
      <w:r>
        <w:rPr>
          <w:rFonts w:hint="eastAsia" w:ascii="仿宋" w:hAnsi="仿宋" w:eastAsia="仿宋"/>
          <w:sz w:val="32"/>
          <w:szCs w:val="32"/>
        </w:rPr>
        <w:t>评审要求</w:t>
      </w:r>
      <w:r>
        <w:rPr>
          <w:rFonts w:hint="eastAsia" w:ascii="仿宋" w:hAnsi="仿宋" w:eastAsia="仿宋"/>
          <w:color w:val="000000" w:themeColor="text1"/>
          <w:sz w:val="32"/>
          <w:szCs w:val="32"/>
          <w14:textFill>
            <w14:solidFill>
              <w14:schemeClr w14:val="tx1"/>
            </w14:solidFill>
          </w14:textFill>
        </w:rPr>
        <w:t>，从产品和服务类别可行性、指标选取科学性、评估方法和程序公正性、评估机构及人员权威性等方面开展具体评审，并形成评审意见。</w:t>
      </w:r>
    </w:p>
    <w:p>
      <w:pPr>
        <w:widowControl/>
        <w:adjustRightInd w:val="0"/>
        <w:snapToGrid w:val="0"/>
        <w:spacing w:line="360" w:lineRule="auto"/>
        <w:ind w:firstLine="642"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3.公示和公布评估机构及评估方案</w:t>
      </w:r>
    </w:p>
    <w:p>
      <w:pPr>
        <w:adjustRightInd w:val="0"/>
        <w:snapToGrid w:val="0"/>
        <w:spacing w:line="360" w:lineRule="auto"/>
        <w:ind w:firstLine="640" w:firstLineChars="200"/>
        <w:rPr>
          <w:rFonts w:ascii="仿宋_GB2312" w:hAnsi="仿宋_GB2312" w:eastAsia="仿宋_GB2312" w:cs="仿宋_GB2312"/>
          <w:color w:val="000000"/>
          <w:kern w:val="0"/>
          <w:sz w:val="31"/>
          <w:szCs w:val="31"/>
          <w:lang w:bidi="ar"/>
        </w:rPr>
      </w:pPr>
      <w:r>
        <w:rPr>
          <w:rFonts w:hint="eastAsia" w:ascii="仿宋" w:hAnsi="仿宋" w:eastAsia="仿宋"/>
          <w:color w:val="000000" w:themeColor="text1"/>
          <w:sz w:val="32"/>
          <w:szCs w:val="32"/>
          <w14:textFill>
            <w14:solidFill>
              <w14:schemeClr w14:val="tx1"/>
            </w14:solidFill>
          </w14:textFill>
        </w:rPr>
        <w:t>工作机构对通过评审的评估机构和评估方案进行公示，公示期不少于 5个工作日。公示期间无异议的，由工作机构公布评估方案及评估机构名单；公示期有异议由工作机构提请专家组商定并给出处理意见。</w:t>
      </w:r>
    </w:p>
    <w:p>
      <w:pPr>
        <w:widowControl/>
        <w:adjustRightInd w:val="0"/>
        <w:snapToGrid w:val="0"/>
        <w:spacing w:line="360" w:lineRule="auto"/>
        <w:ind w:firstLine="642"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（二）开展企业标准“领跑者”评估 </w:t>
      </w:r>
    </w:p>
    <w:p>
      <w:pPr>
        <w:adjustRightInd w:val="0"/>
        <w:snapToGrid w:val="0"/>
        <w:spacing w:line="360" w:lineRule="auto"/>
        <w:ind w:firstLine="642" w:firstLineChars="200"/>
        <w:outlineLvl w:val="2"/>
        <w:rPr>
          <w:rFonts w:ascii="仿宋_GB2312" w:hAnsi="仿宋_GB2312" w:eastAsia="仿宋_GB2312" w:cs="仿宋_GB2312"/>
          <w:b/>
          <w:bCs/>
          <w:color w:val="000000"/>
          <w:kern w:val="0"/>
          <w:sz w:val="31"/>
          <w:szCs w:val="31"/>
          <w:lang w:bidi="ar"/>
        </w:rPr>
      </w:pPr>
      <w:r>
        <w:rPr>
          <w:rFonts w:hint="eastAsia" w:ascii="仿宋" w:hAnsi="仿宋" w:eastAsia="仿宋"/>
          <w:b/>
          <w:bCs/>
          <w:color w:val="000000" w:themeColor="text1"/>
          <w:sz w:val="32"/>
          <w:szCs w:val="32"/>
          <w14:textFill>
            <w14:solidFill>
              <w14:schemeClr w14:val="tx1"/>
            </w14:solidFill>
          </w14:textFill>
        </w:rPr>
        <w:t>1.确定</w:t>
      </w:r>
      <w:r>
        <w:rPr>
          <w:rFonts w:hint="eastAsia" w:ascii="仿宋_GB2312" w:hAnsi="仿宋_GB2312" w:eastAsia="仿宋_GB2312" w:cs="仿宋_GB2312"/>
          <w:b/>
          <w:bCs/>
          <w:color w:val="000000"/>
          <w:kern w:val="0"/>
          <w:sz w:val="31"/>
          <w:szCs w:val="31"/>
          <w:lang w:bidi="ar"/>
        </w:rPr>
        <w:t>评估对象</w:t>
      </w:r>
    </w:p>
    <w:p>
      <w:pPr>
        <w:adjustRightInd w:val="0"/>
        <w:snapToGrid w:val="0"/>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企业标准“领跑者”评估对象为企业标准信息公共服务平台（ </w:t>
      </w:r>
      <w:r>
        <w:fldChar w:fldCharType="begin"/>
      </w:r>
      <w:r>
        <w:instrText xml:space="preserve"> HYPERLINK "http://www.qybz.org.cn中声明公开的产品或服务企业标准。" </w:instrText>
      </w:r>
      <w:r>
        <w:fldChar w:fldCharType="separate"/>
      </w:r>
      <w:r>
        <w:rPr>
          <w:rFonts w:hint="eastAsia" w:ascii="仿宋_GB2312" w:hAnsi="仿宋_GB2312" w:eastAsia="仿宋_GB2312" w:cs="仿宋_GB2312"/>
          <w:color w:val="000000"/>
          <w:kern w:val="0"/>
          <w:sz w:val="31"/>
          <w:szCs w:val="31"/>
          <w:lang w:bidi="ar"/>
        </w:rPr>
        <w:t>http://www.cpbz.gov.cn/）中，天津市行政区域内注册的企业所声明公开的企业标准，现行有效且</w:t>
      </w:r>
      <w:r>
        <w:rPr>
          <w:rFonts w:hint="eastAsia" w:ascii="Times New Roman" w:hAnsi="Times New Roman" w:eastAsia="仿宋_GB2312"/>
          <w:sz w:val="32"/>
          <w:szCs w:val="32"/>
        </w:rPr>
        <w:t>实施至少3个月以上</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fldChar w:fldCharType="end"/>
      </w:r>
    </w:p>
    <w:p>
      <w:pPr>
        <w:adjustRightInd w:val="0"/>
        <w:snapToGrid w:val="0"/>
        <w:spacing w:line="360" w:lineRule="auto"/>
        <w:ind w:firstLine="620" w:firstLineChars="200"/>
        <w:rPr>
          <w:rFonts w:ascii="仿宋" w:hAnsi="仿宋" w:eastAsia="仿宋"/>
          <w:color w:val="FF0000"/>
          <w:sz w:val="32"/>
          <w:szCs w:val="32"/>
        </w:rPr>
      </w:pPr>
      <w:r>
        <w:rPr>
          <w:rFonts w:hint="eastAsia" w:ascii="仿宋_GB2312" w:hAnsi="仿宋_GB2312" w:eastAsia="仿宋_GB2312" w:cs="仿宋_GB2312"/>
          <w:color w:val="000000"/>
          <w:kern w:val="0"/>
          <w:sz w:val="31"/>
          <w:szCs w:val="31"/>
          <w:lang w:bidi="ar"/>
        </w:rPr>
        <w:t>企业标准“领跑者”应当具备下列条件：</w:t>
      </w:r>
    </w:p>
    <w:p>
      <w:pPr>
        <w:adjustRightInd w:val="0"/>
        <w:snapToGrid w:val="0"/>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（1）在天津市注册的企业；</w:t>
      </w:r>
    </w:p>
    <w:p>
      <w:pPr>
        <w:adjustRightInd w:val="0"/>
        <w:snapToGrid w:val="0"/>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（2）企业标准严于国家标准、行业标准，并达到国际先进水平或国内领先水平；</w:t>
      </w:r>
    </w:p>
    <w:p>
      <w:pPr>
        <w:adjustRightInd w:val="0"/>
        <w:snapToGrid w:val="0"/>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（3）按照自我声明公开标准生产的产品或提供的服务实现规模化、产业化，市场占有率较高，实施效益好；</w:t>
      </w:r>
    </w:p>
    <w:p>
      <w:pPr>
        <w:adjustRightInd w:val="0"/>
        <w:snapToGrid w:val="0"/>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（4）近三年内未发生重大产品（服务）质量、安全健康、环境保护等事故。</w:t>
      </w:r>
    </w:p>
    <w:p>
      <w:pPr>
        <w:adjustRightInd w:val="0"/>
        <w:snapToGrid w:val="0"/>
        <w:spacing w:line="360" w:lineRule="auto"/>
        <w:ind w:firstLine="622"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b/>
          <w:bCs/>
          <w:color w:val="000000"/>
          <w:kern w:val="0"/>
          <w:sz w:val="31"/>
          <w:szCs w:val="31"/>
          <w:lang w:bidi="ar"/>
        </w:rPr>
        <w:t>2.合规性判定</w:t>
      </w:r>
    </w:p>
    <w:p>
      <w:pPr>
        <w:adjustRightInd w:val="0"/>
        <w:snapToGrid w:val="0"/>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判定企业标准是否属于所评估领域的产品标准，企标编号是否符合标准化法及相关法律、法规及文件的规定，企标文本是否全文公开，是否规范，是否基本符合GB/T 1.1的规定。存在以上不合规的企业标准将不进入下一阶段。</w:t>
      </w:r>
    </w:p>
    <w:p>
      <w:pPr>
        <w:adjustRightInd w:val="0"/>
        <w:snapToGrid w:val="0"/>
        <w:spacing w:line="360" w:lineRule="auto"/>
        <w:ind w:firstLine="622" w:firstLineChars="200"/>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3.公示参评企业标准信息</w:t>
      </w:r>
    </w:p>
    <w:p>
      <w:pPr>
        <w:adjustRightInd w:val="0"/>
        <w:snapToGrid w:val="0"/>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公示参评企业标准相关信息，包括：企业名称、企业标准名称、企业标准编号、企业注册地所在区。公示期间不愿或不适宜参加企业标准“领跑者”评估的企业，经沟通确认后将不参加评估。</w:t>
      </w:r>
    </w:p>
    <w:p>
      <w:pPr>
        <w:adjustRightInd w:val="0"/>
        <w:snapToGrid w:val="0"/>
        <w:spacing w:line="360" w:lineRule="auto"/>
        <w:ind w:firstLine="622" w:firstLineChars="200"/>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4.开展评估工作</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评估工作分为初评和复评两个阶段。</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初评阶段：由评估机构按照评估方案，对公示后的企业标准进行评估，形成企业标准“领跑者”复评阶段入围名单。</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复评阶段：入围企业标准“领跑者”复评阶段的企业，向评估机构提交其产品或服务的相关证明材料，包括但不限于：</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（1）企业标准符合性证明；</w:t>
      </w:r>
    </w:p>
    <w:p>
      <w:pPr>
        <w:adjustRightInd w:val="0"/>
        <w:snapToGrid w:val="0"/>
        <w:spacing w:line="360" w:lineRule="auto"/>
        <w:ind w:left="622" w:leftChars="296"/>
        <w:rPr>
          <w:rFonts w:ascii="仿宋_GB2312" w:eastAsia="仿宋_GB2312"/>
          <w:sz w:val="32"/>
          <w:szCs w:val="32"/>
        </w:rPr>
      </w:pPr>
      <w:r>
        <w:rPr>
          <w:rFonts w:hint="eastAsia" w:ascii="仿宋_GB2312" w:hAnsi="仿宋_GB2312" w:eastAsia="仿宋_GB2312" w:cs="仿宋_GB2312"/>
          <w:color w:val="000000"/>
          <w:kern w:val="0"/>
          <w:sz w:val="31"/>
          <w:szCs w:val="31"/>
          <w:lang w:bidi="ar"/>
        </w:rPr>
        <w:t>（2）规模化、产业化程度及市场占有率、实施效益等</w:t>
      </w:r>
      <w:r>
        <w:rPr>
          <w:rFonts w:hint="eastAsia" w:ascii="仿宋_GB2312" w:eastAsia="仿宋_GB2312"/>
          <w:sz w:val="32"/>
          <w:szCs w:val="32"/>
        </w:rPr>
        <w:t>。（3）关于所提供资料及数据真实性的承诺书。</w:t>
      </w:r>
    </w:p>
    <w:p>
      <w:pPr>
        <w:adjustRightInd w:val="0"/>
        <w:snapToGrid w:val="0"/>
        <w:spacing w:line="360" w:lineRule="auto"/>
        <w:ind w:firstLine="640" w:firstLineChars="200"/>
        <w:rPr>
          <w:rFonts w:ascii="仿宋_GB2312" w:hAnsi="仿宋_GB2312" w:eastAsia="仿宋_GB2312" w:cs="仿宋_GB2312"/>
          <w:color w:val="000000"/>
          <w:kern w:val="0"/>
          <w:sz w:val="31"/>
          <w:szCs w:val="31"/>
          <w:lang w:bidi="ar"/>
        </w:rPr>
      </w:pPr>
      <w:r>
        <w:rPr>
          <w:rFonts w:hint="eastAsia" w:ascii="仿宋_GB2312" w:eastAsia="仿宋_GB2312"/>
          <w:sz w:val="32"/>
          <w:szCs w:val="32"/>
        </w:rPr>
        <w:t>评估机构根据企业提交的资料，</w:t>
      </w:r>
      <w:r>
        <w:rPr>
          <w:rFonts w:hint="eastAsia" w:ascii="仿宋_GB2312" w:hAnsi="仿宋_GB2312" w:eastAsia="仿宋_GB2312" w:cs="仿宋_GB2312"/>
          <w:color w:val="000000"/>
          <w:kern w:val="0"/>
          <w:sz w:val="31"/>
          <w:szCs w:val="31"/>
          <w:lang w:bidi="ar"/>
        </w:rPr>
        <w:t>进行评估。结合初评阶段的结果，形成最终企业标准“领跑者”入围名单。</w:t>
      </w:r>
    </w:p>
    <w:p>
      <w:pPr>
        <w:adjustRightInd w:val="0"/>
        <w:snapToGrid w:val="0"/>
        <w:spacing w:line="360" w:lineRule="auto"/>
        <w:ind w:firstLine="622" w:firstLineChars="200"/>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（三）公示和发布</w:t>
      </w:r>
      <w:r>
        <w:rPr>
          <w:rFonts w:hint="eastAsia" w:ascii="仿宋_GB2312" w:eastAsia="仿宋_GB2312"/>
          <w:b/>
          <w:bCs/>
          <w:sz w:val="32"/>
          <w:szCs w:val="32"/>
        </w:rPr>
        <w:t>企业标准“领跑者”名单</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评估机构同入榜企业充分沟通并征得其同意后，按照时限要求将企业标准“领跑者”评估结果提交给工作机构汇总。工作机构对评估结果进行审查及公示，公示时间一般不少于10个工作日。公示无异议，发布企业标准“领跑者”名单。 </w:t>
      </w:r>
    </w:p>
    <w:p>
      <w:pPr>
        <w:adjustRightInd w:val="0"/>
        <w:snapToGrid w:val="0"/>
        <w:spacing w:line="360" w:lineRule="auto"/>
        <w:ind w:firstLine="640" w:firstLineChars="200"/>
        <w:outlineLvl w:val="0"/>
        <w:rPr>
          <w:rFonts w:ascii="黑体" w:hAnsi="黑体" w:eastAsia="黑体"/>
          <w:sz w:val="32"/>
          <w:szCs w:val="32"/>
        </w:rPr>
      </w:pPr>
      <w:bookmarkStart w:id="9" w:name="_Toc28178"/>
      <w:bookmarkStart w:id="10" w:name="_Toc24657"/>
      <w:r>
        <w:rPr>
          <w:rFonts w:hint="eastAsia" w:ascii="黑体" w:hAnsi="黑体" w:eastAsia="黑体"/>
          <w:sz w:val="32"/>
          <w:szCs w:val="32"/>
        </w:rPr>
        <w:t>四、动态管理</w:t>
      </w:r>
      <w:bookmarkEnd w:id="9"/>
      <w:bookmarkEnd w:id="10"/>
    </w:p>
    <w:p>
      <w:pPr>
        <w:widowControl/>
        <w:adjustRightInd w:val="0"/>
        <w:snapToGrid w:val="0"/>
        <w:spacing w:line="360" w:lineRule="auto"/>
        <w:ind w:firstLine="642" w:firstLineChars="200"/>
        <w:jc w:val="left"/>
        <w:outlineLvl w:val="1"/>
        <w:rPr>
          <w:rFonts w:ascii="仿宋" w:hAnsi="仿宋" w:eastAsia="仿宋"/>
          <w:b/>
          <w:bCs/>
          <w:color w:val="000000" w:themeColor="text1"/>
          <w:sz w:val="32"/>
          <w:szCs w:val="32"/>
          <w14:textFill>
            <w14:solidFill>
              <w14:schemeClr w14:val="tx1"/>
            </w14:solidFill>
          </w14:textFill>
        </w:rPr>
      </w:pPr>
      <w:bookmarkStart w:id="11" w:name="_Toc14908"/>
      <w:bookmarkStart w:id="12" w:name="_Toc10694"/>
      <w:r>
        <w:rPr>
          <w:rFonts w:hint="eastAsia" w:ascii="仿宋" w:hAnsi="仿宋" w:eastAsia="仿宋"/>
          <w:b/>
          <w:bCs/>
          <w:color w:val="000000" w:themeColor="text1"/>
          <w:sz w:val="32"/>
          <w:szCs w:val="32"/>
          <w14:textFill>
            <w14:solidFill>
              <w14:schemeClr w14:val="tx1"/>
            </w14:solidFill>
          </w14:textFill>
        </w:rPr>
        <w:t>(一）评估机构退出机制</w:t>
      </w:r>
      <w:bookmarkEnd w:id="11"/>
      <w:bookmarkEnd w:id="12"/>
    </w:p>
    <w:p>
      <w:pPr>
        <w:widowControl/>
        <w:adjustRightInd w:val="0"/>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在企业标准“领跑者”评估工作中，相关机构或个人出现违规收费、徇私舞弊、滥用职权等诚信与公正问题，或由于其他原因不再承担企业标准领跑者评估工作的，工作机构应取消该评估机构。</w:t>
      </w:r>
    </w:p>
    <w:p>
      <w:pPr>
        <w:adjustRightInd w:val="0"/>
        <w:snapToGrid w:val="0"/>
        <w:spacing w:line="360" w:lineRule="auto"/>
        <w:ind w:firstLine="642" w:firstLineChars="200"/>
        <w:outlineLvl w:val="1"/>
        <w:rPr>
          <w:rFonts w:ascii="仿宋" w:hAnsi="仿宋" w:eastAsia="仿宋"/>
          <w:b/>
          <w:bCs/>
          <w:color w:val="000000" w:themeColor="text1"/>
          <w:sz w:val="32"/>
          <w:szCs w:val="32"/>
          <w14:textFill>
            <w14:solidFill>
              <w14:schemeClr w14:val="tx1"/>
            </w14:solidFill>
          </w14:textFill>
        </w:rPr>
      </w:pPr>
      <w:bookmarkStart w:id="13" w:name="_Toc19669"/>
      <w:bookmarkStart w:id="14" w:name="_Toc28473"/>
      <w:r>
        <w:rPr>
          <w:rFonts w:hint="eastAsia" w:ascii="仿宋" w:hAnsi="仿宋" w:eastAsia="仿宋"/>
          <w:b/>
          <w:bCs/>
          <w:color w:val="000000" w:themeColor="text1"/>
          <w:sz w:val="32"/>
          <w:szCs w:val="32"/>
          <w14:textFill>
            <w14:solidFill>
              <w14:schemeClr w14:val="tx1"/>
            </w14:solidFill>
          </w14:textFill>
        </w:rPr>
        <w:t>（二）“领跑者”退出机制</w:t>
      </w:r>
      <w:bookmarkEnd w:id="13"/>
      <w:bookmarkEnd w:id="14"/>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获得“领跑者”称号的企业出现下列情况之一，评估机构应取消其“领跑者”称号：</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（1）企业生产装备、工艺等发生重大变化且严重影响产品性能的；</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（2）企业标准发生更新且核心指标水平出现降低的；</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（3）出现重大环保安全事故和产品质量问题的；</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（4）产品抽检发现达不到公开标准水平的；</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（5）发生侵犯知识产权行为的；</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（6）通过弄虚作假入选企业标准“领跑者”或存在其他诚信问题的；</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（7）由于其他原因须退出“领跑者”榜单的。</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被取消“领跑者”称号的企业予以公示，同时报有关监管部门，并纳入企业信用体系，且三年内不再纳入“领跑者”评估，不得继续享受企业标准“领跑者”制度相关的优惠政策。</w:t>
      </w:r>
    </w:p>
    <w:p>
      <w:pPr>
        <w:adjustRightInd w:val="0"/>
        <w:snapToGrid w:val="0"/>
        <w:spacing w:line="360" w:lineRule="auto"/>
        <w:ind w:firstLine="640" w:firstLineChars="200"/>
        <w:outlineLvl w:val="0"/>
        <w:rPr>
          <w:rFonts w:ascii="黑体" w:hAnsi="黑体" w:eastAsia="黑体"/>
          <w:color w:val="000000" w:themeColor="text1"/>
          <w:sz w:val="32"/>
          <w:szCs w:val="32"/>
          <w14:textFill>
            <w14:solidFill>
              <w14:schemeClr w14:val="tx1"/>
            </w14:solidFill>
          </w14:textFill>
        </w:rPr>
      </w:pPr>
      <w:bookmarkStart w:id="15" w:name="_Toc4827"/>
      <w:bookmarkStart w:id="16" w:name="_Toc31796"/>
      <w:r>
        <w:rPr>
          <w:rFonts w:hint="eastAsia" w:ascii="黑体" w:hAnsi="黑体" w:eastAsia="黑体"/>
          <w:color w:val="000000" w:themeColor="text1"/>
          <w:sz w:val="32"/>
          <w:szCs w:val="32"/>
          <w14:textFill>
            <w14:solidFill>
              <w14:schemeClr w14:val="tx1"/>
            </w14:solidFill>
          </w14:textFill>
        </w:rPr>
        <w:t>五、宣传推广</w:t>
      </w:r>
      <w:bookmarkEnd w:id="15"/>
      <w:bookmarkEnd w:id="16"/>
    </w:p>
    <w:p>
      <w:pPr>
        <w:adjustRightInd w:val="0"/>
        <w:snapToGrid w:val="0"/>
        <w:spacing w:line="360" w:lineRule="auto"/>
        <w:ind w:firstLine="642" w:firstLineChars="200"/>
        <w:outlineLvl w:val="1"/>
        <w:rPr>
          <w:rFonts w:ascii="仿宋" w:hAnsi="仿宋" w:eastAsia="仿宋"/>
          <w:b/>
          <w:color w:val="000000" w:themeColor="text1"/>
          <w:sz w:val="32"/>
          <w:szCs w:val="32"/>
          <w14:textFill>
            <w14:solidFill>
              <w14:schemeClr w14:val="tx1"/>
            </w14:solidFill>
          </w14:textFill>
        </w:rPr>
      </w:pPr>
      <w:bookmarkStart w:id="17" w:name="_Toc30376"/>
      <w:bookmarkStart w:id="18" w:name="_Toc25929"/>
      <w:r>
        <w:rPr>
          <w:rFonts w:hint="eastAsia" w:ascii="仿宋" w:hAnsi="仿宋" w:eastAsia="仿宋"/>
          <w:b/>
          <w:color w:val="000000" w:themeColor="text1"/>
          <w:sz w:val="32"/>
          <w:szCs w:val="32"/>
          <w14:textFill>
            <w14:solidFill>
              <w14:schemeClr w14:val="tx1"/>
            </w14:solidFill>
          </w14:textFill>
        </w:rPr>
        <w:t>（一）加大宣传力度</w:t>
      </w:r>
      <w:bookmarkEnd w:id="17"/>
      <w:bookmarkEnd w:id="18"/>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单位应当利用电视、纸媒、网络及新媒体等资源，形成优势互补、多方协作的企业标准“领跑者”的宣传机制，宣传普及企业产品和服务标准自我声明公开、企业标准“领跑者”制度等知识，营造良好的企业标准化工作氛围。在年度质量月、世界标准日期间，举办企业标准“领跑者”发布会、宣讲会等宣传活动，增强消费者对企业标准“领跑者”的认可度和满意度。</w:t>
      </w:r>
    </w:p>
    <w:p>
      <w:pPr>
        <w:adjustRightInd w:val="0"/>
        <w:snapToGrid w:val="0"/>
        <w:spacing w:line="360" w:lineRule="auto"/>
        <w:ind w:firstLine="642" w:firstLineChars="200"/>
        <w:outlineLvl w:val="1"/>
        <w:rPr>
          <w:rFonts w:ascii="仿宋" w:hAnsi="仿宋" w:eastAsia="仿宋"/>
          <w:b/>
          <w:color w:val="000000" w:themeColor="text1"/>
          <w:sz w:val="32"/>
          <w:szCs w:val="32"/>
          <w14:textFill>
            <w14:solidFill>
              <w14:schemeClr w14:val="tx1"/>
            </w14:solidFill>
          </w14:textFill>
        </w:rPr>
      </w:pPr>
      <w:bookmarkStart w:id="19" w:name="_Toc27025"/>
      <w:bookmarkStart w:id="20" w:name="_Toc32076"/>
      <w:r>
        <w:rPr>
          <w:rFonts w:hint="eastAsia" w:ascii="仿宋" w:hAnsi="仿宋" w:eastAsia="仿宋"/>
          <w:b/>
          <w:color w:val="000000" w:themeColor="text1"/>
          <w:sz w:val="32"/>
          <w:szCs w:val="32"/>
          <w14:textFill>
            <w14:solidFill>
              <w14:schemeClr w14:val="tx1"/>
            </w14:solidFill>
          </w14:textFill>
        </w:rPr>
        <w:t>（二）促进“领跑者”产品和服务推广</w:t>
      </w:r>
      <w:bookmarkEnd w:id="19"/>
      <w:bookmarkEnd w:id="20"/>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单位应当支持市场、商场、超市、旅游商品专卖店等流通企业在显著位置开设企业标准“领跑者”产品销售专区，并积极开展促销活动。组织电商和平台型企业与标准领跑企业开展对接，开设专区，促进企业标准“领跑者”产品和服务的销售。不断丰富产品和服务种类，拓展企业标准“领跑者”消费市场影响力。</w:t>
      </w:r>
    </w:p>
    <w:p>
      <w:pPr>
        <w:adjustRightInd w:val="0"/>
        <w:snapToGrid w:val="0"/>
        <w:spacing w:line="360" w:lineRule="auto"/>
        <w:ind w:firstLine="642" w:firstLineChars="200"/>
        <w:outlineLvl w:val="1"/>
        <w:rPr>
          <w:rFonts w:ascii="仿宋" w:hAnsi="仿宋" w:eastAsia="仿宋"/>
          <w:b/>
          <w:color w:val="000000" w:themeColor="text1"/>
          <w:sz w:val="32"/>
          <w:szCs w:val="32"/>
          <w14:textFill>
            <w14:solidFill>
              <w14:schemeClr w14:val="tx1"/>
            </w14:solidFill>
          </w14:textFill>
        </w:rPr>
      </w:pPr>
      <w:bookmarkStart w:id="21" w:name="_Toc21240"/>
      <w:bookmarkStart w:id="22" w:name="_Toc4815"/>
      <w:r>
        <w:rPr>
          <w:rFonts w:hint="eastAsia" w:ascii="仿宋" w:hAnsi="仿宋" w:eastAsia="仿宋"/>
          <w:b/>
          <w:color w:val="000000" w:themeColor="text1"/>
          <w:sz w:val="32"/>
          <w:szCs w:val="32"/>
          <w14:textFill>
            <w14:solidFill>
              <w14:schemeClr w14:val="tx1"/>
            </w14:solidFill>
          </w14:textFill>
        </w:rPr>
        <w:t>（三）发挥消费者作用</w:t>
      </w:r>
      <w:bookmarkEnd w:id="21"/>
      <w:bookmarkEnd w:id="22"/>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发挥消费者协会桥梁纽带作用，让消费者充分参与企业标准“领跑者”重点领域建议、评估核心指标确定、全过程监督等工作。评估机构在编制评估方案过程中，应积极吸纳消费者的意见和建议，合理确定消费者关注度高的核心指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731435"/>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32"/>
    <w:rsid w:val="000306F2"/>
    <w:rsid w:val="00087084"/>
    <w:rsid w:val="000B2C49"/>
    <w:rsid w:val="000E128A"/>
    <w:rsid w:val="000F2A98"/>
    <w:rsid w:val="000F6954"/>
    <w:rsid w:val="001042A2"/>
    <w:rsid w:val="0011068E"/>
    <w:rsid w:val="00115B46"/>
    <w:rsid w:val="00124387"/>
    <w:rsid w:val="001307C3"/>
    <w:rsid w:val="00143847"/>
    <w:rsid w:val="00161F58"/>
    <w:rsid w:val="00177B15"/>
    <w:rsid w:val="00187F21"/>
    <w:rsid w:val="001A5014"/>
    <w:rsid w:val="001B4870"/>
    <w:rsid w:val="001C032A"/>
    <w:rsid w:val="001D4C29"/>
    <w:rsid w:val="001F157F"/>
    <w:rsid w:val="00237A57"/>
    <w:rsid w:val="00244C37"/>
    <w:rsid w:val="00250805"/>
    <w:rsid w:val="00261C14"/>
    <w:rsid w:val="0027117F"/>
    <w:rsid w:val="0027743A"/>
    <w:rsid w:val="00287F2A"/>
    <w:rsid w:val="002A14A0"/>
    <w:rsid w:val="002A4995"/>
    <w:rsid w:val="002D7AA7"/>
    <w:rsid w:val="002F2009"/>
    <w:rsid w:val="003161A3"/>
    <w:rsid w:val="00325E23"/>
    <w:rsid w:val="00372730"/>
    <w:rsid w:val="00377DD4"/>
    <w:rsid w:val="003B4415"/>
    <w:rsid w:val="003B7176"/>
    <w:rsid w:val="003C3B91"/>
    <w:rsid w:val="004414E9"/>
    <w:rsid w:val="0044568C"/>
    <w:rsid w:val="0049060F"/>
    <w:rsid w:val="00494026"/>
    <w:rsid w:val="004959F4"/>
    <w:rsid w:val="004A2A87"/>
    <w:rsid w:val="004A4D32"/>
    <w:rsid w:val="004B0754"/>
    <w:rsid w:val="004E6789"/>
    <w:rsid w:val="004E7EA6"/>
    <w:rsid w:val="004F52AF"/>
    <w:rsid w:val="00542032"/>
    <w:rsid w:val="005425E5"/>
    <w:rsid w:val="00554239"/>
    <w:rsid w:val="00567491"/>
    <w:rsid w:val="00574E08"/>
    <w:rsid w:val="00581199"/>
    <w:rsid w:val="0059039D"/>
    <w:rsid w:val="00591990"/>
    <w:rsid w:val="00593120"/>
    <w:rsid w:val="00597E98"/>
    <w:rsid w:val="005B1EA2"/>
    <w:rsid w:val="005B74D2"/>
    <w:rsid w:val="005C4FFD"/>
    <w:rsid w:val="005D7094"/>
    <w:rsid w:val="00605672"/>
    <w:rsid w:val="00616DE2"/>
    <w:rsid w:val="00627AB0"/>
    <w:rsid w:val="006309E0"/>
    <w:rsid w:val="0064212D"/>
    <w:rsid w:val="006945B2"/>
    <w:rsid w:val="00696D2E"/>
    <w:rsid w:val="006A2F2B"/>
    <w:rsid w:val="006B7B7A"/>
    <w:rsid w:val="006C643F"/>
    <w:rsid w:val="006D2D52"/>
    <w:rsid w:val="006E0996"/>
    <w:rsid w:val="006E4B50"/>
    <w:rsid w:val="00742399"/>
    <w:rsid w:val="00780021"/>
    <w:rsid w:val="007827BC"/>
    <w:rsid w:val="007836C9"/>
    <w:rsid w:val="0079590C"/>
    <w:rsid w:val="007A5FAE"/>
    <w:rsid w:val="007B3A5B"/>
    <w:rsid w:val="007B7918"/>
    <w:rsid w:val="0081382E"/>
    <w:rsid w:val="00824E88"/>
    <w:rsid w:val="008544EB"/>
    <w:rsid w:val="008736A0"/>
    <w:rsid w:val="00881707"/>
    <w:rsid w:val="008C0F9A"/>
    <w:rsid w:val="008F5229"/>
    <w:rsid w:val="00910E26"/>
    <w:rsid w:val="009327E3"/>
    <w:rsid w:val="009C4946"/>
    <w:rsid w:val="009D30A5"/>
    <w:rsid w:val="009D6AA5"/>
    <w:rsid w:val="009E6E46"/>
    <w:rsid w:val="00A61855"/>
    <w:rsid w:val="00AD1B67"/>
    <w:rsid w:val="00AD3A69"/>
    <w:rsid w:val="00AD3FEA"/>
    <w:rsid w:val="00B14915"/>
    <w:rsid w:val="00B17E99"/>
    <w:rsid w:val="00B240E8"/>
    <w:rsid w:val="00B31726"/>
    <w:rsid w:val="00B52576"/>
    <w:rsid w:val="00B83015"/>
    <w:rsid w:val="00B95ABB"/>
    <w:rsid w:val="00BB5E00"/>
    <w:rsid w:val="00C024F0"/>
    <w:rsid w:val="00C65B40"/>
    <w:rsid w:val="00C719B8"/>
    <w:rsid w:val="00C7555D"/>
    <w:rsid w:val="00CD025E"/>
    <w:rsid w:val="00CE1BEA"/>
    <w:rsid w:val="00D23714"/>
    <w:rsid w:val="00D27457"/>
    <w:rsid w:val="00D43E93"/>
    <w:rsid w:val="00D507CE"/>
    <w:rsid w:val="00D62511"/>
    <w:rsid w:val="00D67771"/>
    <w:rsid w:val="00DA05F8"/>
    <w:rsid w:val="00DA0969"/>
    <w:rsid w:val="00DB4385"/>
    <w:rsid w:val="00DE120D"/>
    <w:rsid w:val="00E22B47"/>
    <w:rsid w:val="00E6417A"/>
    <w:rsid w:val="00E76BB2"/>
    <w:rsid w:val="00E8109A"/>
    <w:rsid w:val="00E91FE3"/>
    <w:rsid w:val="00E933EC"/>
    <w:rsid w:val="00EB7EF3"/>
    <w:rsid w:val="00EC6597"/>
    <w:rsid w:val="00EE4001"/>
    <w:rsid w:val="00F052AA"/>
    <w:rsid w:val="00F15916"/>
    <w:rsid w:val="00F248F2"/>
    <w:rsid w:val="00F66140"/>
    <w:rsid w:val="00F9190E"/>
    <w:rsid w:val="00F962EF"/>
    <w:rsid w:val="00FB3317"/>
    <w:rsid w:val="00FF35D6"/>
    <w:rsid w:val="01710A3A"/>
    <w:rsid w:val="06C72195"/>
    <w:rsid w:val="0A043060"/>
    <w:rsid w:val="0A8F7F7F"/>
    <w:rsid w:val="0C1F1255"/>
    <w:rsid w:val="0DFC14DC"/>
    <w:rsid w:val="107B2EF8"/>
    <w:rsid w:val="122C3C03"/>
    <w:rsid w:val="135C1E0B"/>
    <w:rsid w:val="13A97A63"/>
    <w:rsid w:val="162E3826"/>
    <w:rsid w:val="176F449D"/>
    <w:rsid w:val="17DE6F99"/>
    <w:rsid w:val="17F97916"/>
    <w:rsid w:val="19866D31"/>
    <w:rsid w:val="1A842A84"/>
    <w:rsid w:val="1AB645EB"/>
    <w:rsid w:val="1C460FB8"/>
    <w:rsid w:val="1EE50157"/>
    <w:rsid w:val="1F71287A"/>
    <w:rsid w:val="1FD94D3A"/>
    <w:rsid w:val="20747B3E"/>
    <w:rsid w:val="20EF19FD"/>
    <w:rsid w:val="21CB2EB7"/>
    <w:rsid w:val="21DA2012"/>
    <w:rsid w:val="21FF3C26"/>
    <w:rsid w:val="240512C5"/>
    <w:rsid w:val="2480583D"/>
    <w:rsid w:val="248E31C0"/>
    <w:rsid w:val="27ED63C6"/>
    <w:rsid w:val="28987432"/>
    <w:rsid w:val="2A105E15"/>
    <w:rsid w:val="2CAB1FF6"/>
    <w:rsid w:val="31C1002A"/>
    <w:rsid w:val="327A4783"/>
    <w:rsid w:val="3828415D"/>
    <w:rsid w:val="38827F68"/>
    <w:rsid w:val="39772FB4"/>
    <w:rsid w:val="3A5C5361"/>
    <w:rsid w:val="3EBC32CF"/>
    <w:rsid w:val="3F2E753C"/>
    <w:rsid w:val="3FFE04FE"/>
    <w:rsid w:val="4472344E"/>
    <w:rsid w:val="45C90998"/>
    <w:rsid w:val="49BC046B"/>
    <w:rsid w:val="4CA468B7"/>
    <w:rsid w:val="50E379FA"/>
    <w:rsid w:val="51373801"/>
    <w:rsid w:val="53A65558"/>
    <w:rsid w:val="558B0559"/>
    <w:rsid w:val="55CD6272"/>
    <w:rsid w:val="58285073"/>
    <w:rsid w:val="59D1512D"/>
    <w:rsid w:val="5C224C54"/>
    <w:rsid w:val="5E367200"/>
    <w:rsid w:val="5EFBE88B"/>
    <w:rsid w:val="5FAB2C96"/>
    <w:rsid w:val="612D284F"/>
    <w:rsid w:val="634A5554"/>
    <w:rsid w:val="67702AE4"/>
    <w:rsid w:val="69D97E73"/>
    <w:rsid w:val="6A043A67"/>
    <w:rsid w:val="6AC6532E"/>
    <w:rsid w:val="6CFA287D"/>
    <w:rsid w:val="7180015B"/>
    <w:rsid w:val="73E718BB"/>
    <w:rsid w:val="74006D98"/>
    <w:rsid w:val="7446357C"/>
    <w:rsid w:val="760A35C2"/>
    <w:rsid w:val="775769E8"/>
    <w:rsid w:val="7AD734A4"/>
    <w:rsid w:val="B68FBA69"/>
    <w:rsid w:val="B8FBE98B"/>
    <w:rsid w:val="CCFB074A"/>
    <w:rsid w:val="E9A797C0"/>
    <w:rsid w:val="EDC7474C"/>
    <w:rsid w:val="F6DDE07E"/>
    <w:rsid w:val="F9F993D6"/>
    <w:rsid w:val="FB7F0907"/>
    <w:rsid w:val="FBEFECC3"/>
    <w:rsid w:val="FF77E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8">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19">
    <w:name w:val="fontstyle01"/>
    <w:basedOn w:val="10"/>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3024</Words>
  <Characters>211</Characters>
  <Lines>1</Lines>
  <Paragraphs>6</Paragraphs>
  <TotalTime>25</TotalTime>
  <ScaleCrop>false</ScaleCrop>
  <LinksUpToDate>false</LinksUpToDate>
  <CharactersWithSpaces>3229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2021-10-25T10:52:00Z</dcterms:created>
  <dc:creator>赵美焕</dc:creator>
  <cp:lastModifiedBy>scw</cp:lastModifiedBy>
  <dcterms:modified xsi:type="dcterms:W3CDTF">2021-11-12T09:11:49Z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