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FB8" w:rsidRDefault="00D70FB8" w:rsidP="00D70FB8">
      <w:pPr>
        <w:spacing w:line="560" w:lineRule="exact"/>
        <w:jc w:val="center"/>
        <w:rPr>
          <w:rFonts w:ascii="方正小标宋简体" w:eastAsia="方正小标宋简体" w:cs="方正小标宋简体"/>
          <w:spacing w:val="-12"/>
          <w:sz w:val="44"/>
          <w:szCs w:val="44"/>
        </w:rPr>
      </w:pPr>
      <w:r>
        <w:rPr>
          <w:rFonts w:ascii="方正小标宋简体" w:eastAsia="方正小标宋简体" w:cs="方正小标宋简体" w:hint="eastAsia"/>
          <w:spacing w:val="-12"/>
          <w:sz w:val="44"/>
          <w:szCs w:val="44"/>
        </w:rPr>
        <w:t>部分不合格项目的小知识</w:t>
      </w:r>
    </w:p>
    <w:p w:rsidR="00727AEF" w:rsidRPr="00E016C1" w:rsidRDefault="00727AEF" w:rsidP="008F1D43">
      <w:pPr>
        <w:pStyle w:val="a7"/>
        <w:ind w:left="420" w:firstLineChars="0" w:firstLine="0"/>
        <w:rPr>
          <w:rFonts w:ascii="黑体" w:eastAsia="黑体" w:hAnsi="黑体" w:cs="黑体"/>
          <w:spacing w:val="-12"/>
          <w:sz w:val="36"/>
          <w:szCs w:val="36"/>
        </w:rPr>
      </w:pPr>
      <w:r w:rsidRPr="00E016C1">
        <w:rPr>
          <w:rFonts w:ascii="黑体" w:eastAsia="黑体" w:hAnsi="黑体" w:cs="黑体" w:hint="eastAsia"/>
          <w:spacing w:val="-12"/>
          <w:sz w:val="36"/>
          <w:szCs w:val="36"/>
        </w:rPr>
        <w:t xml:space="preserve">　一</w:t>
      </w:r>
      <w:r w:rsidR="00D70FB8" w:rsidRPr="00E016C1">
        <w:rPr>
          <w:rFonts w:ascii="黑体" w:eastAsia="黑体" w:hAnsi="黑体" w:cs="黑体" w:hint="eastAsia"/>
          <w:spacing w:val="-12"/>
          <w:sz w:val="36"/>
          <w:szCs w:val="36"/>
        </w:rPr>
        <w:t>、</w:t>
      </w:r>
      <w:r w:rsidR="00F921B4" w:rsidRPr="00E016C1">
        <w:rPr>
          <w:rFonts w:ascii="黑体" w:eastAsia="黑体" w:hAnsi="黑体" w:cs="黑体" w:hint="eastAsia"/>
          <w:spacing w:val="-12"/>
          <w:sz w:val="36"/>
          <w:szCs w:val="36"/>
        </w:rPr>
        <w:t>氯氟氰菊酯和高效氯氟氰菊酯</w:t>
      </w:r>
    </w:p>
    <w:p w:rsidR="00735B96" w:rsidRPr="008F1D43" w:rsidRDefault="00727AEF" w:rsidP="008F1D43">
      <w:pPr>
        <w:ind w:firstLineChars="100" w:firstLine="210"/>
        <w:rPr>
          <w:rFonts w:ascii="仿宋_GB2312" w:eastAsia="仿宋_GB2312" w:hAnsi="Calibri" w:cs="仿宋_GB2312" w:hint="eastAsia"/>
          <w:kern w:val="0"/>
          <w:sz w:val="32"/>
          <w:szCs w:val="32"/>
        </w:rPr>
      </w:pPr>
      <w:r>
        <w:rPr>
          <w:rFonts w:hint="eastAsia"/>
          <w:color w:val="333333"/>
        </w:rPr>
        <w:t xml:space="preserve">　</w:t>
      </w:r>
      <w:r w:rsidRPr="00E016C1">
        <w:rPr>
          <w:rFonts w:hint="eastAsia"/>
          <w:color w:val="333333"/>
          <w:sz w:val="32"/>
          <w:szCs w:val="32"/>
        </w:rPr>
        <w:t xml:space="preserve">　</w:t>
      </w:r>
      <w:r w:rsidR="00F921B4" w:rsidRPr="008F1D43">
        <w:rPr>
          <w:rFonts w:ascii="仿宋_GB2312" w:eastAsia="仿宋_GB2312" w:hAnsi="Calibri" w:cs="仿宋_GB2312" w:hint="eastAsia"/>
          <w:kern w:val="0"/>
          <w:sz w:val="32"/>
          <w:szCs w:val="32"/>
        </w:rPr>
        <w:t>氯氟氰菊酯和高效氯氟氰菊酯互为异构体，是一种新型的菊酯类杀虫剂。</w:t>
      </w:r>
      <w:r w:rsidR="00036099" w:rsidRPr="008F1D43">
        <w:rPr>
          <w:rFonts w:ascii="仿宋_GB2312" w:eastAsia="仿宋_GB2312" w:hAnsi="Calibri" w:cs="仿宋_GB2312" w:hint="eastAsia"/>
          <w:kern w:val="0"/>
          <w:sz w:val="32"/>
          <w:szCs w:val="32"/>
        </w:rPr>
        <w:t>农产品中检出氯氟氰菊酯和高效氯氟氰菊酯的可能原因为农户超量使用氯氟氰菊酯和高效氯氟氰菊酯农药进行病虫害防治。</w:t>
      </w:r>
      <w:r w:rsidR="00036099" w:rsidRPr="008F1D43">
        <w:rPr>
          <w:rFonts w:ascii="仿宋_GB2312" w:eastAsia="仿宋_GB2312" w:cs="仿宋_GB2312" w:hint="eastAsia"/>
          <w:kern w:val="0"/>
          <w:sz w:val="32"/>
          <w:szCs w:val="32"/>
        </w:rPr>
        <w:t>《食品安全国家标准 食品中农药大残留限量》</w:t>
      </w:r>
      <w:r w:rsidR="00036099" w:rsidRPr="008F1D43">
        <w:rPr>
          <w:rFonts w:ascii="仿宋_GB2312" w:eastAsia="仿宋_GB2312" w:hAnsi="Calibri" w:cs="仿宋_GB2312" w:hint="eastAsia"/>
          <w:kern w:val="0"/>
          <w:sz w:val="32"/>
          <w:szCs w:val="32"/>
        </w:rPr>
        <w:t>（GB 2763-2019）</w:t>
      </w:r>
      <w:r w:rsidR="00036099" w:rsidRPr="008F1D43">
        <w:rPr>
          <w:rFonts w:ascii="仿宋_GB2312" w:eastAsia="仿宋_GB2312" w:cs="仿宋_GB2312" w:hint="eastAsia"/>
          <w:kern w:val="0"/>
          <w:sz w:val="32"/>
          <w:szCs w:val="32"/>
        </w:rPr>
        <w:t>规定氯氟氰菊酯和高效氯氟氰菊酯为限量使用的农药。</w:t>
      </w:r>
      <w:r w:rsidR="00F921B4" w:rsidRPr="008F1D43">
        <w:rPr>
          <w:rFonts w:ascii="仿宋_GB2312" w:eastAsia="仿宋_GB2312" w:hAnsi="Calibri" w:cs="仿宋_GB2312" w:hint="eastAsia"/>
          <w:kern w:val="0"/>
          <w:sz w:val="32"/>
          <w:szCs w:val="32"/>
        </w:rPr>
        <w:t>香芹</w:t>
      </w:r>
      <w:r w:rsidR="00735B96" w:rsidRPr="008F1D43">
        <w:rPr>
          <w:rFonts w:ascii="仿宋_GB2312" w:eastAsia="仿宋_GB2312" w:hAnsi="Calibri" w:cs="仿宋_GB2312" w:hint="eastAsia"/>
          <w:kern w:val="0"/>
          <w:sz w:val="32"/>
          <w:szCs w:val="32"/>
        </w:rPr>
        <w:t>中</w:t>
      </w:r>
      <w:r w:rsidR="00F921B4" w:rsidRPr="008F1D43">
        <w:rPr>
          <w:rFonts w:ascii="仿宋_GB2312" w:eastAsia="仿宋_GB2312" w:hAnsi="Calibri" w:cs="仿宋_GB2312" w:hint="eastAsia"/>
          <w:kern w:val="0"/>
          <w:sz w:val="32"/>
          <w:szCs w:val="32"/>
        </w:rPr>
        <w:t>氯氟氰菊酯和高效氯氟氰菊酯</w:t>
      </w:r>
      <w:r w:rsidR="00735B96" w:rsidRPr="008F1D43">
        <w:rPr>
          <w:rFonts w:ascii="仿宋_GB2312" w:eastAsia="仿宋_GB2312" w:hAnsi="Calibri" w:cs="仿宋_GB2312" w:hint="eastAsia"/>
          <w:kern w:val="0"/>
          <w:sz w:val="32"/>
          <w:szCs w:val="32"/>
        </w:rPr>
        <w:t>的最大残留限量为</w:t>
      </w:r>
      <w:r w:rsidR="00F921B4" w:rsidRPr="008F1D43">
        <w:rPr>
          <w:rFonts w:ascii="仿宋_GB2312" w:eastAsia="仿宋_GB2312" w:hAnsi="Calibri" w:cs="仿宋_GB2312" w:hint="eastAsia"/>
          <w:kern w:val="0"/>
          <w:sz w:val="32"/>
          <w:szCs w:val="32"/>
        </w:rPr>
        <w:t>0.5</w:t>
      </w:r>
      <w:r w:rsidR="00735B96" w:rsidRPr="008F1D43">
        <w:rPr>
          <w:rFonts w:ascii="仿宋_GB2312" w:eastAsia="仿宋_GB2312" w:hAnsi="Calibri" w:cs="仿宋_GB2312" w:hint="eastAsia"/>
          <w:kern w:val="0"/>
          <w:sz w:val="32"/>
          <w:szCs w:val="32"/>
        </w:rPr>
        <w:t>mg/kg。</w:t>
      </w:r>
    </w:p>
    <w:p w:rsidR="00DB7AD1" w:rsidRPr="00E016C1" w:rsidRDefault="00DB7AD1" w:rsidP="008F1D43">
      <w:pPr>
        <w:ind w:firstLineChars="200" w:firstLine="672"/>
        <w:rPr>
          <w:rFonts w:ascii="黑体" w:eastAsia="黑体" w:hAnsi="黑体" w:cs="黑体"/>
          <w:spacing w:val="-12"/>
          <w:sz w:val="36"/>
          <w:szCs w:val="36"/>
        </w:rPr>
      </w:pPr>
      <w:r w:rsidRPr="00E016C1">
        <w:rPr>
          <w:rFonts w:ascii="黑体" w:eastAsia="黑体" w:hAnsi="黑体" w:cs="黑体" w:hint="eastAsia"/>
          <w:spacing w:val="-12"/>
          <w:sz w:val="36"/>
          <w:szCs w:val="36"/>
        </w:rPr>
        <w:t>二、过氧化值</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1.什么是过氧化值</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过氧化值是表示油脂和脂肪酸等被氧化程度的一种指标，常用于判断食品是否已被氧化而变质。通过检测以油脂、脂肪为原料制作的食品的过氧化值，能够判断其质量和变质的程度。</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一般来说，过氧化值越高其酸败程度越高。通俗而言，过氧化值就是食品标准中设定的允许食品氧化的最高限值，超过该值，食品则不合格。</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2.过氧化值超标的危害：</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①口感、气味的改变和营养价值的流失;</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②食品严重变质时所产生的醛、酮、酸等会破坏脂溶性维生素，导致肠胃不适、腹泻，甚至损害肝脏;</w:t>
      </w:r>
      <w:r w:rsidRPr="00E016C1">
        <w:rPr>
          <w:rFonts w:ascii="仿宋_GB2312" w:eastAsia="仿宋_GB2312" w:hint="eastAsia"/>
          <w:color w:val="333333"/>
          <w:sz w:val="32"/>
          <w:szCs w:val="32"/>
        </w:rPr>
        <w:br/>
      </w:r>
      <w:r w:rsidR="00E016C1">
        <w:rPr>
          <w:rFonts w:ascii="仿宋_GB2312" w:eastAsia="仿宋_GB2312" w:hint="eastAsia"/>
          <w:color w:val="333333"/>
          <w:sz w:val="32"/>
          <w:szCs w:val="32"/>
        </w:rPr>
        <w:lastRenderedPageBreak/>
        <w:t xml:space="preserve">    </w:t>
      </w:r>
      <w:r w:rsidRPr="00E016C1">
        <w:rPr>
          <w:rFonts w:ascii="仿宋_GB2312" w:eastAsia="仿宋_GB2312" w:hint="eastAsia"/>
          <w:color w:val="333333"/>
          <w:sz w:val="32"/>
          <w:szCs w:val="32"/>
        </w:rPr>
        <w:t>③长期食用过氧化值超标的食物会加剧心血管、肿瘤等慢性疾病。</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3.企业如何控制过氧化值：</w:t>
      </w:r>
      <w:bookmarkStart w:id="0" w:name="_GoBack"/>
      <w:bookmarkEnd w:id="0"/>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食品生产过程中常见的因素，如食品原料本身、温度、水分、氧气与光照等，都会影响食品的过氧化值，因此食品企业需要有针对性地控制过氧化值的上升。</w:t>
      </w:r>
    </w:p>
    <w:p w:rsidR="00DB7AD1" w:rsidRPr="00E016C1" w:rsidRDefault="00EC541C" w:rsidP="008F1D43">
      <w:pPr>
        <w:ind w:left="640"/>
        <w:rPr>
          <w:rFonts w:ascii="仿宋_GB2312" w:eastAsia="仿宋_GB2312" w:hint="eastAsia"/>
          <w:color w:val="333333"/>
          <w:sz w:val="32"/>
          <w:szCs w:val="32"/>
        </w:rPr>
      </w:pPr>
      <w:r>
        <w:rPr>
          <w:rFonts w:ascii="仿宋_GB2312" w:eastAsia="仿宋_GB2312" w:hint="eastAsia"/>
          <w:color w:val="333333"/>
          <w:sz w:val="32"/>
          <w:szCs w:val="32"/>
        </w:rPr>
        <w:t>加</w:t>
      </w:r>
      <w:r w:rsidR="00DB7AD1" w:rsidRPr="00E016C1">
        <w:rPr>
          <w:rFonts w:ascii="仿宋_GB2312" w:eastAsia="仿宋_GB2312" w:hint="eastAsia"/>
          <w:color w:val="333333"/>
          <w:sz w:val="32"/>
          <w:szCs w:val="32"/>
        </w:rPr>
        <w:t>强原料管理:</w:t>
      </w:r>
    </w:p>
    <w:p w:rsidR="00DB7AD1" w:rsidRPr="00E016C1" w:rsidRDefault="00EC541C" w:rsidP="008F1D43">
      <w:pPr>
        <w:ind w:leftChars="76" w:left="160" w:firstLineChars="200" w:firstLine="640"/>
        <w:rPr>
          <w:rFonts w:ascii="仿宋_GB2312" w:eastAsia="仿宋_GB2312" w:hint="eastAsia"/>
          <w:color w:val="333333"/>
          <w:sz w:val="32"/>
          <w:szCs w:val="32"/>
        </w:rPr>
      </w:pPr>
      <w:r>
        <w:rPr>
          <w:rFonts w:ascii="仿宋_GB2312" w:eastAsia="仿宋_GB2312"/>
          <w:color w:val="333333"/>
          <w:sz w:val="32"/>
          <w:szCs w:val="32"/>
        </w:rPr>
        <w:fldChar w:fldCharType="begin"/>
      </w:r>
      <w:r>
        <w:rPr>
          <w:rFonts w:ascii="仿宋_GB2312" w:eastAsia="仿宋_GB2312"/>
          <w:color w:val="333333"/>
          <w:sz w:val="32"/>
          <w:szCs w:val="32"/>
        </w:rPr>
        <w:instrText xml:space="preserve"> </w:instrText>
      </w:r>
      <w:r>
        <w:rPr>
          <w:rFonts w:ascii="仿宋_GB2312" w:eastAsia="仿宋_GB2312" w:hint="eastAsia"/>
          <w:color w:val="333333"/>
          <w:sz w:val="32"/>
          <w:szCs w:val="32"/>
        </w:rPr>
        <w:instrText>= 1 \* GB3</w:instrText>
      </w:r>
      <w:r>
        <w:rPr>
          <w:rFonts w:ascii="仿宋_GB2312" w:eastAsia="仿宋_GB2312"/>
          <w:color w:val="333333"/>
          <w:sz w:val="32"/>
          <w:szCs w:val="32"/>
        </w:rPr>
        <w:instrText xml:space="preserve"> </w:instrText>
      </w:r>
      <w:r>
        <w:rPr>
          <w:rFonts w:ascii="仿宋_GB2312" w:eastAsia="仿宋_GB2312"/>
          <w:color w:val="333333"/>
          <w:sz w:val="32"/>
          <w:szCs w:val="32"/>
        </w:rPr>
        <w:fldChar w:fldCharType="separate"/>
      </w:r>
      <w:r>
        <w:rPr>
          <w:rFonts w:ascii="仿宋_GB2312" w:eastAsia="仿宋_GB2312" w:hint="eastAsia"/>
          <w:noProof/>
          <w:color w:val="333333"/>
          <w:sz w:val="32"/>
          <w:szCs w:val="32"/>
        </w:rPr>
        <w:t>①</w:t>
      </w:r>
      <w:r>
        <w:rPr>
          <w:rFonts w:ascii="仿宋_GB2312" w:eastAsia="仿宋_GB2312"/>
          <w:color w:val="333333"/>
          <w:sz w:val="32"/>
          <w:szCs w:val="32"/>
        </w:rPr>
        <w:fldChar w:fldCharType="end"/>
      </w:r>
      <w:r w:rsidR="00DB7AD1" w:rsidRPr="00E016C1">
        <w:rPr>
          <w:rFonts w:ascii="仿宋_GB2312" w:eastAsia="仿宋_GB2312" w:hint="eastAsia"/>
          <w:color w:val="333333"/>
          <w:sz w:val="32"/>
          <w:szCs w:val="32"/>
        </w:rPr>
        <w:t>加强对进厂油脂原料的检测，确保进厂油脂合格。鉴于当前市场环境复杂，存在不法商贩加碱调低酸价及混掺其他劣质油脂等情况，油脂的新鲜度和质量评价不应只包括酸价和过氧化值，还应包括硫代巴比妥值(TBA)、丙二醛、克雷斯定性试验及脂肪酸含量检测等，企业应结合以上各种指标综合判断油脂的新鲜度和质量。</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②生产过程控制:</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在生产过程中，为防止食品中的油脂酸败，可以根据需要适当添加抗氧化剂一-天然抗氧化剂包括维生素E、维生素C，合成抗氧化剂包括乙氧基喹啉、BHT和BHA等。此外，在使用抗氧化剂的同时加入具有协同作用的增效剂能够加强抗氧化剂的抗氧化效果。抗氧化剂增效剂包括酒石酸、柠檬酸、乳酸、延胡索酸、苹果酸、依地酸(EDTA)等，其作用是增强抗氧化剂的效能，有助于增强阻滞氧化反应的抗氧化剂的效力，也可与某些金属离子络合，对促进氧化的金属离子</w:t>
      </w:r>
      <w:r w:rsidRPr="00E016C1">
        <w:rPr>
          <w:rFonts w:ascii="仿宋_GB2312" w:eastAsia="仿宋_GB2312" w:hint="eastAsia"/>
          <w:color w:val="333333"/>
          <w:sz w:val="32"/>
          <w:szCs w:val="32"/>
        </w:rPr>
        <w:lastRenderedPageBreak/>
        <w:t>起钝化作用。同时，企业在使用抗氧化剂时应保持加工过程的卫生安全，防止有毒、有害成分混入而引入新的风险。</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③加强储存管理:</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油脂及含油率高的原料对温度、光线、氧气较为敏感，油脂贮存应注意避光，即在阴凉处保存为宜。盛油的容器要尽量使用深颜色的金属容器，且容器的内壁需要经过特殊处理以防止油脂与活性金属材料(铁锈等)发生化学反应，油脂贮存温度以15-25C为宜。油桶在油脂用完后应彻底清洗、干燥后再加入新油，以防陈油中的氧化性物质污染新油。</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fldChar w:fldCharType="begin"/>
      </w:r>
      <w:r w:rsidRPr="00E016C1">
        <w:rPr>
          <w:rFonts w:ascii="仿宋_GB2312" w:eastAsia="仿宋_GB2312" w:hint="eastAsia"/>
          <w:color w:val="333333"/>
          <w:sz w:val="32"/>
          <w:szCs w:val="32"/>
        </w:rPr>
        <w:instrText xml:space="preserve"> = 4 \* GB3 \* MERGEFORMAT </w:instrText>
      </w:r>
      <w:r w:rsidRPr="00E016C1">
        <w:rPr>
          <w:rFonts w:ascii="仿宋_GB2312" w:eastAsia="仿宋_GB2312" w:hint="eastAsia"/>
          <w:color w:val="333333"/>
          <w:sz w:val="32"/>
          <w:szCs w:val="32"/>
        </w:rPr>
        <w:fldChar w:fldCharType="separate"/>
      </w:r>
      <w:r w:rsidRPr="00E016C1">
        <w:rPr>
          <w:rFonts w:ascii="仿宋_GB2312" w:eastAsia="仿宋_GB2312" w:hint="eastAsia"/>
          <w:color w:val="333333"/>
          <w:sz w:val="32"/>
          <w:szCs w:val="32"/>
        </w:rPr>
        <w:t>④</w:t>
      </w:r>
      <w:r w:rsidRPr="00E016C1">
        <w:rPr>
          <w:rFonts w:ascii="仿宋_GB2312" w:eastAsia="仿宋_GB2312" w:hint="eastAsia"/>
          <w:color w:val="333333"/>
          <w:sz w:val="32"/>
          <w:szCs w:val="32"/>
        </w:rPr>
        <w:fldChar w:fldCharType="end"/>
      </w:r>
      <w:r w:rsidRPr="00E016C1">
        <w:rPr>
          <w:rFonts w:ascii="仿宋_GB2312" w:eastAsia="仿宋_GB2312" w:hint="eastAsia"/>
          <w:color w:val="333333"/>
          <w:sz w:val="32"/>
          <w:szCs w:val="32"/>
        </w:rPr>
        <w:t>其他控制措施：</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除以上控制手段外，加工后的产品还要合理储存，如控制仓库的温度、湿度、光照等环境条件，尽可能降低食品中油脂的酸败进程。在销售过程中也要加强相关的管理，注意运输及贮存条件的控制，防止因操作失误而导致食品腐败变质。</w:t>
      </w:r>
    </w:p>
    <w:p w:rsidR="00DB7AD1" w:rsidRPr="00E016C1" w:rsidRDefault="00DB7AD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油脂总是处于不断氧化的过程中，因此，在实际生产储存过程中，应定期对库存原料、成品的化学指标进行检测，以判断其氧化程度和使用的先后顺序，防止已经腐败变质的产品流入市场。</w:t>
      </w:r>
    </w:p>
    <w:p w:rsidR="002F5521" w:rsidRPr="00EC541C" w:rsidRDefault="00DB7AD1" w:rsidP="008F1D43">
      <w:pPr>
        <w:ind w:firstLineChars="200" w:firstLine="672"/>
        <w:rPr>
          <w:rFonts w:ascii="黑体" w:eastAsia="黑体" w:hAnsi="黑体" w:cs="黑体" w:hint="eastAsia"/>
          <w:spacing w:val="-12"/>
          <w:sz w:val="36"/>
          <w:szCs w:val="36"/>
        </w:rPr>
      </w:pPr>
      <w:r w:rsidRPr="00EC541C">
        <w:rPr>
          <w:rFonts w:ascii="黑体" w:eastAsia="黑体" w:hAnsi="黑体" w:cs="黑体" w:hint="eastAsia"/>
          <w:spacing w:val="-12"/>
          <w:sz w:val="36"/>
          <w:szCs w:val="36"/>
        </w:rPr>
        <w:t>三、</w:t>
      </w:r>
      <w:r w:rsidR="002F5521" w:rsidRPr="00EC541C">
        <w:rPr>
          <w:rFonts w:ascii="黑体" w:eastAsia="黑体" w:hAnsi="黑体" w:cs="黑体" w:hint="eastAsia"/>
          <w:spacing w:val="-12"/>
          <w:sz w:val="36"/>
          <w:szCs w:val="36"/>
        </w:rPr>
        <w:t>氟虫腈</w:t>
      </w:r>
    </w:p>
    <w:p w:rsidR="002F5521" w:rsidRPr="00E016C1" w:rsidRDefault="002F552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氟虫腈是一种苯基吡唑类杀虫剂，对害虫以胃毒作用为主，兼有触杀和一定的内吸作用。《食品安全国家标准</w:t>
      </w:r>
      <w:r w:rsidRPr="00E016C1">
        <w:rPr>
          <w:rFonts w:eastAsia="仿宋_GB2312" w:hint="eastAsia"/>
          <w:color w:val="333333"/>
          <w:sz w:val="32"/>
          <w:szCs w:val="32"/>
        </w:rPr>
        <w:t> </w:t>
      </w:r>
      <w:r w:rsidRPr="00E016C1">
        <w:rPr>
          <w:rFonts w:ascii="仿宋_GB2312" w:eastAsia="仿宋_GB2312" w:hint="eastAsia"/>
          <w:color w:val="333333"/>
          <w:sz w:val="32"/>
          <w:szCs w:val="32"/>
        </w:rPr>
        <w:t>食品</w:t>
      </w:r>
      <w:r w:rsidRPr="00E016C1">
        <w:rPr>
          <w:rFonts w:ascii="仿宋_GB2312" w:eastAsia="仿宋_GB2312" w:hint="eastAsia"/>
          <w:color w:val="333333"/>
          <w:sz w:val="32"/>
          <w:szCs w:val="32"/>
        </w:rPr>
        <w:lastRenderedPageBreak/>
        <w:t>中农药最大残留限量》（GB 2763—2019）中规定，氟虫腈在叶菜类蔬菜中的最大残留限量值为0.02mg/kg。</w:t>
      </w:r>
    </w:p>
    <w:p w:rsidR="002F5521" w:rsidRPr="00E016C1" w:rsidRDefault="002F552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氟虫腈是一种杀虫药，它对害虫以胃毒作用为主，欧盟法律规定，氟虫腈不得用于人类食品产业链中的畜禽，人一旦误食，如果量小还好，只会出现头昏、头痛、乏力、面色苍白、呕吐、多汗、流涎、瞳孔缩小、视力模糊等症状，总的来说只会让人感觉不舒服；如果误食氟虫腈量大，可能会导致肝肾损害，需及时就医。</w:t>
      </w:r>
    </w:p>
    <w:p w:rsidR="002F5521" w:rsidRPr="00E016C1" w:rsidRDefault="002F552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氟虫腈超标的主要原因可能是种植过程中为控制植物病虫害超量使用或不遵循休药期规定</w:t>
      </w:r>
    </w:p>
    <w:p w:rsidR="002F5521" w:rsidRPr="00EC541C" w:rsidRDefault="002F5521" w:rsidP="008F1D43">
      <w:pPr>
        <w:ind w:firstLineChars="200" w:firstLine="672"/>
        <w:rPr>
          <w:rFonts w:ascii="黑体" w:eastAsia="黑体" w:hAnsi="黑体" w:cs="黑体" w:hint="eastAsia"/>
          <w:spacing w:val="-12"/>
          <w:sz w:val="36"/>
          <w:szCs w:val="36"/>
        </w:rPr>
      </w:pPr>
      <w:r w:rsidRPr="00EC541C">
        <w:rPr>
          <w:rFonts w:ascii="黑体" w:eastAsia="黑体" w:hAnsi="黑体" w:cs="黑体" w:hint="eastAsia"/>
          <w:spacing w:val="-12"/>
          <w:sz w:val="36"/>
          <w:szCs w:val="36"/>
        </w:rPr>
        <w:t>四、磺胺类（总量）</w:t>
      </w:r>
    </w:p>
    <w:p w:rsidR="002F5521" w:rsidRPr="00E016C1" w:rsidRDefault="002F552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磺胺类（总量）是合成广谱抑菌药，对大多数革兰氏阳性和革兰氏阴性细菌有效。对于治疗禽类球虫病和鸡白细胞虫病疗效较好。《动物性食品中兽药最高残留限量》（农业部公告第235号）规定，磺胺类在鸡蛋中不得检出。</w:t>
      </w:r>
    </w:p>
    <w:p w:rsidR="002F5521" w:rsidRPr="00E016C1" w:rsidRDefault="002F552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长期摄入磺胺类（总量）超标的动物性食品，可能导致泌尿系统和肝脏损伤，以及过敏反应等。</w:t>
      </w:r>
    </w:p>
    <w:p w:rsidR="002F5521" w:rsidRPr="00E016C1" w:rsidRDefault="002F552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磺胺类（总量）超标可能是养殖过程中，没有严格遵守停药期规定。</w:t>
      </w:r>
    </w:p>
    <w:p w:rsidR="00EC541C" w:rsidRDefault="002F5521" w:rsidP="008F1D43">
      <w:pPr>
        <w:ind w:firstLineChars="200" w:firstLine="672"/>
        <w:rPr>
          <w:rFonts w:ascii="黑体" w:eastAsia="黑体" w:hAnsi="黑体" w:cs="黑体" w:hint="eastAsia"/>
          <w:spacing w:val="-12"/>
          <w:sz w:val="36"/>
          <w:szCs w:val="36"/>
        </w:rPr>
      </w:pPr>
      <w:r w:rsidRPr="00EC541C">
        <w:rPr>
          <w:rFonts w:ascii="黑体" w:eastAsia="黑体" w:hAnsi="黑体" w:cs="黑体" w:hint="eastAsia"/>
          <w:spacing w:val="-12"/>
          <w:sz w:val="36"/>
          <w:szCs w:val="36"/>
        </w:rPr>
        <w:t>五、</w:t>
      </w:r>
      <w:r w:rsidR="00E016C1" w:rsidRPr="00EC541C">
        <w:rPr>
          <w:rFonts w:ascii="黑体" w:eastAsia="黑体" w:hAnsi="黑体" w:cs="黑体" w:hint="eastAsia"/>
          <w:spacing w:val="-12"/>
          <w:sz w:val="36"/>
          <w:szCs w:val="36"/>
        </w:rPr>
        <w:t>镉（以Cd计）</w:t>
      </w:r>
    </w:p>
    <w:p w:rsidR="00E016C1" w:rsidRPr="00EC541C" w:rsidRDefault="00E016C1" w:rsidP="008F1D43">
      <w:pPr>
        <w:ind w:firstLineChars="200" w:firstLine="640"/>
        <w:rPr>
          <w:rFonts w:ascii="黑体" w:eastAsia="黑体" w:hAnsi="黑体" w:cs="黑体" w:hint="eastAsia"/>
          <w:spacing w:val="-12"/>
          <w:sz w:val="36"/>
          <w:szCs w:val="36"/>
        </w:rPr>
      </w:pPr>
      <w:r w:rsidRPr="00E016C1">
        <w:rPr>
          <w:rFonts w:ascii="仿宋_GB2312" w:eastAsia="仿宋_GB2312" w:hint="eastAsia"/>
          <w:color w:val="333333"/>
          <w:sz w:val="32"/>
          <w:szCs w:val="32"/>
        </w:rPr>
        <w:t>《食品安全国家标准 食品中污染物限量》（GB 2762-2017）中规定，镉（以Cd计）在鲜、冻水产动物的双</w:t>
      </w:r>
      <w:r w:rsidRPr="00E016C1">
        <w:rPr>
          <w:rFonts w:ascii="仿宋_GB2312" w:eastAsia="仿宋_GB2312" w:hint="eastAsia"/>
          <w:color w:val="333333"/>
          <w:sz w:val="32"/>
          <w:szCs w:val="32"/>
        </w:rPr>
        <w:lastRenderedPageBreak/>
        <w:t>壳类中最大限量为2.0mg/kg。造成该产品不合格的原因极大可能是水产品养殖过程中水质环境中镉元素的富集，镉就富集在了水产品中。</w:t>
      </w:r>
    </w:p>
    <w:p w:rsidR="00E016C1" w:rsidRPr="00E016C1" w:rsidRDefault="00E016C1" w:rsidP="008F1D43">
      <w:pPr>
        <w:ind w:firstLineChars="200" w:firstLine="640"/>
        <w:rPr>
          <w:rFonts w:ascii="仿宋_GB2312" w:eastAsia="仿宋_GB2312" w:hint="eastAsia"/>
          <w:color w:val="333333"/>
          <w:sz w:val="32"/>
          <w:szCs w:val="32"/>
        </w:rPr>
      </w:pPr>
      <w:r w:rsidRPr="00E016C1">
        <w:rPr>
          <w:rFonts w:ascii="仿宋_GB2312" w:eastAsia="仿宋_GB2312" w:hint="eastAsia"/>
          <w:color w:val="333333"/>
          <w:sz w:val="32"/>
          <w:szCs w:val="32"/>
        </w:rPr>
        <w:t>镉对人体的危害主要是慢性蓄积性，长期大量摄入镉含量超标的食品可能导致肝、肾蓄积并造成疾病，还可能造成骨骼损伤等。</w:t>
      </w:r>
    </w:p>
    <w:p w:rsidR="004C3C1B" w:rsidRPr="00E016C1" w:rsidRDefault="004C3C1B" w:rsidP="004C3C1B">
      <w:pPr>
        <w:spacing w:line="360" w:lineRule="auto"/>
        <w:ind w:firstLineChars="200" w:firstLine="640"/>
        <w:jc w:val="left"/>
        <w:rPr>
          <w:rFonts w:ascii="仿宋_GB2312" w:eastAsia="仿宋_GB2312"/>
          <w:sz w:val="32"/>
        </w:rPr>
      </w:pPr>
    </w:p>
    <w:p w:rsidR="00727AEF" w:rsidRPr="00735B96" w:rsidRDefault="00727AEF" w:rsidP="00D70FB8">
      <w:pPr>
        <w:pStyle w:val="a3"/>
        <w:spacing w:before="0" w:beforeAutospacing="0" w:after="0" w:afterAutospacing="0"/>
        <w:jc w:val="both"/>
        <w:rPr>
          <w:rFonts w:ascii="仿宋_GB2312" w:eastAsia="仿宋_GB2312" w:hAnsi="Calibri" w:cs="Calibri"/>
          <w:kern w:val="2"/>
          <w:sz w:val="32"/>
          <w:szCs w:val="21"/>
        </w:rPr>
      </w:pPr>
    </w:p>
    <w:p w:rsidR="004C3C1B" w:rsidRPr="00727AEF" w:rsidRDefault="00727AEF" w:rsidP="004C3C1B">
      <w:pPr>
        <w:pStyle w:val="a3"/>
        <w:spacing w:before="0" w:beforeAutospacing="0" w:after="0" w:afterAutospacing="0"/>
        <w:jc w:val="both"/>
        <w:rPr>
          <w:rFonts w:ascii="仿宋_GB2312" w:eastAsia="仿宋_GB2312" w:hAnsi="Calibri" w:cs="Calibri"/>
          <w:kern w:val="2"/>
          <w:sz w:val="32"/>
          <w:szCs w:val="21"/>
        </w:rPr>
      </w:pPr>
      <w:r w:rsidRPr="00727AEF">
        <w:rPr>
          <w:rFonts w:ascii="仿宋_GB2312" w:eastAsia="仿宋_GB2312" w:hAnsi="Calibri" w:cs="Calibri" w:hint="eastAsia"/>
          <w:kern w:val="2"/>
          <w:sz w:val="32"/>
          <w:szCs w:val="21"/>
        </w:rPr>
        <w:t xml:space="preserve">　</w:t>
      </w:r>
    </w:p>
    <w:p w:rsidR="005A4156" w:rsidRPr="00727AEF" w:rsidRDefault="005A4156" w:rsidP="00D70FB8">
      <w:pPr>
        <w:pStyle w:val="a3"/>
        <w:spacing w:before="0" w:beforeAutospacing="0" w:after="0" w:afterAutospacing="0"/>
        <w:jc w:val="both"/>
        <w:rPr>
          <w:rFonts w:ascii="仿宋_GB2312" w:eastAsia="仿宋_GB2312" w:hAnsi="Calibri" w:cs="Calibri"/>
          <w:kern w:val="2"/>
          <w:sz w:val="32"/>
          <w:szCs w:val="21"/>
        </w:rPr>
      </w:pPr>
    </w:p>
    <w:sectPr w:rsidR="005A4156" w:rsidRPr="00727AEF" w:rsidSect="001815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6525" w:rsidRDefault="002B6525" w:rsidP="00D70FB8">
      <w:r>
        <w:separator/>
      </w:r>
    </w:p>
  </w:endnote>
  <w:endnote w:type="continuationSeparator" w:id="1">
    <w:p w:rsidR="002B6525" w:rsidRDefault="002B6525" w:rsidP="00D70F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6525" w:rsidRDefault="002B6525" w:rsidP="00D70FB8">
      <w:r>
        <w:separator/>
      </w:r>
    </w:p>
  </w:footnote>
  <w:footnote w:type="continuationSeparator" w:id="1">
    <w:p w:rsidR="002B6525" w:rsidRDefault="002B6525" w:rsidP="00D70F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E6C53"/>
    <w:multiLevelType w:val="hybridMultilevel"/>
    <w:tmpl w:val="15745088"/>
    <w:lvl w:ilvl="0" w:tplc="7958BC36">
      <w:start w:val="1"/>
      <w:numFmt w:val="decimalEnclosedCircle"/>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7AEF"/>
    <w:rsid w:val="0002486E"/>
    <w:rsid w:val="00036099"/>
    <w:rsid w:val="0018159D"/>
    <w:rsid w:val="002A78E9"/>
    <w:rsid w:val="002B6525"/>
    <w:rsid w:val="002F5521"/>
    <w:rsid w:val="003025A8"/>
    <w:rsid w:val="004C3C1B"/>
    <w:rsid w:val="004C6542"/>
    <w:rsid w:val="00551677"/>
    <w:rsid w:val="005868FB"/>
    <w:rsid w:val="005A4156"/>
    <w:rsid w:val="00634A54"/>
    <w:rsid w:val="00676D58"/>
    <w:rsid w:val="0069074E"/>
    <w:rsid w:val="006E2D46"/>
    <w:rsid w:val="00727AEF"/>
    <w:rsid w:val="00735B96"/>
    <w:rsid w:val="007F739A"/>
    <w:rsid w:val="00871951"/>
    <w:rsid w:val="00886C4F"/>
    <w:rsid w:val="008F1D43"/>
    <w:rsid w:val="00A26F87"/>
    <w:rsid w:val="00B14053"/>
    <w:rsid w:val="00BD365D"/>
    <w:rsid w:val="00C63458"/>
    <w:rsid w:val="00D062F3"/>
    <w:rsid w:val="00D70FB8"/>
    <w:rsid w:val="00DB7AD1"/>
    <w:rsid w:val="00E016C1"/>
    <w:rsid w:val="00EC541C"/>
    <w:rsid w:val="00F921B4"/>
    <w:rsid w:val="00FD68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0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27AE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27AEF"/>
    <w:rPr>
      <w:b/>
      <w:bCs/>
    </w:rPr>
  </w:style>
  <w:style w:type="paragraph" w:styleId="a5">
    <w:name w:val="header"/>
    <w:basedOn w:val="a"/>
    <w:link w:val="Char"/>
    <w:uiPriority w:val="99"/>
    <w:unhideWhenUsed/>
    <w:rsid w:val="00D70F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70FB8"/>
    <w:rPr>
      <w:sz w:val="18"/>
      <w:szCs w:val="18"/>
    </w:rPr>
  </w:style>
  <w:style w:type="paragraph" w:styleId="a6">
    <w:name w:val="footer"/>
    <w:basedOn w:val="a"/>
    <w:link w:val="Char0"/>
    <w:uiPriority w:val="99"/>
    <w:unhideWhenUsed/>
    <w:rsid w:val="00D70FB8"/>
    <w:pPr>
      <w:tabs>
        <w:tab w:val="center" w:pos="4153"/>
        <w:tab w:val="right" w:pos="8306"/>
      </w:tabs>
      <w:snapToGrid w:val="0"/>
      <w:jc w:val="left"/>
    </w:pPr>
    <w:rPr>
      <w:sz w:val="18"/>
      <w:szCs w:val="18"/>
    </w:rPr>
  </w:style>
  <w:style w:type="character" w:customStyle="1" w:styleId="Char0">
    <w:name w:val="页脚 Char"/>
    <w:basedOn w:val="a0"/>
    <w:link w:val="a6"/>
    <w:uiPriority w:val="99"/>
    <w:rsid w:val="00D70FB8"/>
    <w:rPr>
      <w:sz w:val="18"/>
      <w:szCs w:val="18"/>
    </w:rPr>
  </w:style>
  <w:style w:type="paragraph" w:styleId="a7">
    <w:name w:val="List Paragraph"/>
    <w:basedOn w:val="a"/>
    <w:uiPriority w:val="34"/>
    <w:qFormat/>
    <w:rsid w:val="00D70FB8"/>
    <w:pPr>
      <w:ind w:firstLineChars="200" w:firstLine="420"/>
    </w:pPr>
    <w:rPr>
      <w:rFonts w:ascii="Calibri" w:eastAsia="宋体" w:hAnsi="Calibri" w:cs="Calibri"/>
      <w:szCs w:val="21"/>
    </w:rPr>
  </w:style>
</w:styles>
</file>

<file path=word/webSettings.xml><?xml version="1.0" encoding="utf-8"?>
<w:webSettings xmlns:r="http://schemas.openxmlformats.org/officeDocument/2006/relationships" xmlns:w="http://schemas.openxmlformats.org/wordprocessingml/2006/main">
  <w:divs>
    <w:div w:id="16516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Pages>
  <Words>309</Words>
  <Characters>1767</Characters>
  <Application>Microsoft Office Word</Application>
  <DocSecurity>0</DocSecurity>
  <Lines>14</Lines>
  <Paragraphs>4</Paragraphs>
  <ScaleCrop>false</ScaleCrop>
  <Company>Microsoft</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Xiaoying</dc:creator>
  <cp:lastModifiedBy>吴尚</cp:lastModifiedBy>
  <cp:revision>3</cp:revision>
  <cp:lastPrinted>2019-09-17T08:40:00Z</cp:lastPrinted>
  <dcterms:created xsi:type="dcterms:W3CDTF">2021-08-06T02:48:00Z</dcterms:created>
  <dcterms:modified xsi:type="dcterms:W3CDTF">2021-08-06T07:19:00Z</dcterms:modified>
</cp:coreProperties>
</file>