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ascii="Times New Roman" w:hAnsi="Times New Roman" w:eastAsia="方正小标宋简体" w:cs="方正小标宋简体"/>
          <w:color w:val="000000"/>
          <w:kern w:val="2"/>
          <w:sz w:val="44"/>
          <w:szCs w:val="44"/>
        </w:rPr>
      </w:pPr>
      <w:r>
        <w:rPr>
          <w:rFonts w:hint="eastAsia" w:ascii="Times New Roman" w:hAnsi="Times New Roman" w:eastAsia="方正小标宋简体" w:cs="方正小标宋简体"/>
          <w:bCs/>
          <w:color w:val="000000"/>
          <w:kern w:val="2"/>
          <w:sz w:val="44"/>
          <w:szCs w:val="44"/>
        </w:rPr>
        <w:t>天津市和平区市场监督管理局</w:t>
      </w:r>
    </w:p>
    <w:p>
      <w:pPr>
        <w:widowControl w:val="0"/>
        <w:adjustRightInd/>
        <w:snapToGrid/>
        <w:spacing w:after="0" w:line="640" w:lineRule="exact"/>
        <w:jc w:val="center"/>
        <w:rPr>
          <w:rFonts w:ascii="Times New Roman" w:hAnsi="Times New Roman" w:eastAsia="方正小标宋简体" w:cs="方正小标宋简体"/>
          <w:bCs/>
          <w:color w:val="000000"/>
          <w:kern w:val="2"/>
          <w:sz w:val="44"/>
          <w:szCs w:val="44"/>
        </w:rPr>
      </w:pPr>
      <w:r>
        <w:rPr>
          <w:rFonts w:hint="eastAsia" w:ascii="Times New Roman" w:hAnsi="Times New Roman" w:eastAsia="方正小标宋简体" w:cs="方正小标宋简体"/>
          <w:bCs/>
          <w:color w:val="000000"/>
          <w:kern w:val="2"/>
          <w:sz w:val="44"/>
          <w:szCs w:val="44"/>
        </w:rPr>
        <w:t>行政处罚决定书</w:t>
      </w:r>
    </w:p>
    <w:p>
      <w:pPr>
        <w:widowControl w:val="0"/>
        <w:adjustRightInd/>
        <w:spacing w:after="0" w:line="520" w:lineRule="exact"/>
        <w:jc w:val="center"/>
        <w:rPr>
          <w:rFonts w:ascii="Times New Roman" w:hAnsi="Times New Roman" w:eastAsia="仿宋_GB2312" w:cs="仿宋"/>
          <w:color w:val="000000"/>
          <w:kern w:val="2"/>
          <w:sz w:val="32"/>
          <w:szCs w:val="32"/>
        </w:rPr>
      </w:pPr>
      <w:r>
        <w:rPr>
          <w:rFonts w:ascii="Times New Roman" w:hAnsi="Times New Roman" w:eastAsia="仿宋_GB2312" w:cs="仿宋"/>
          <w:color w:val="000000"/>
          <w:kern w:val="2"/>
          <w:sz w:val="32"/>
          <w:szCs w:val="32"/>
        </w:rPr>
        <w:pict>
          <v:shape id="_x0000_s1029" o:spid="_x0000_s1029" o:spt="32" type="#_x0000_t32" style="position:absolute;left:0pt;margin-left:2pt;margin-top:1638pt;height:0.1pt;width:453.7pt;z-index:251659264;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v:path arrowok="t"/>
            <v:fill on="f" focussize="0,0"/>
            <v:stroke weight="1.5pt" endcap="square"/>
            <v:imagedata o:title=""/>
            <o:lock v:ext="edit"/>
          </v:shape>
        </w:pict>
      </w:r>
      <w:r>
        <w:rPr>
          <w:rFonts w:hint="eastAsia" w:ascii="Times New Roman" w:hAnsi="Times New Roman" w:eastAsia="仿宋_GB2312" w:cs="仿宋"/>
          <w:color w:val="000000"/>
          <w:kern w:val="2"/>
          <w:sz w:val="32"/>
          <w:szCs w:val="32"/>
          <w:u w:val="single"/>
        </w:rPr>
        <w:t>津</w:t>
      </w:r>
      <w:r>
        <w:rPr>
          <w:rFonts w:hint="eastAsia" w:ascii="Times New Roman" w:hAnsi="Times New Roman" w:eastAsia="仿宋_GB2312" w:cs="仿宋"/>
          <w:color w:val="000000"/>
          <w:kern w:val="2"/>
          <w:sz w:val="32"/>
          <w:szCs w:val="32"/>
        </w:rPr>
        <w:t>市监</w:t>
      </w:r>
      <w:r>
        <w:rPr>
          <w:rFonts w:hint="eastAsia" w:ascii="Times New Roman" w:hAnsi="Times New Roman" w:eastAsia="仿宋_GB2312" w:cs="仿宋"/>
          <w:color w:val="000000"/>
          <w:kern w:val="2"/>
          <w:sz w:val="32"/>
          <w:szCs w:val="32"/>
          <w:u w:val="single"/>
        </w:rPr>
        <w:t>和罚</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lang w:val="en-US" w:eastAsia="zh-CN"/>
        </w:rPr>
        <w:t>2021</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lang w:val="en-US" w:eastAsia="zh-CN"/>
        </w:rPr>
        <w:t>201</w:t>
      </w:r>
      <w:r>
        <w:rPr>
          <w:rFonts w:hint="eastAsia" w:ascii="Times New Roman" w:hAnsi="Times New Roman" w:eastAsia="仿宋_GB2312" w:cs="仿宋"/>
          <w:color w:val="000000"/>
          <w:kern w:val="2"/>
          <w:sz w:val="32"/>
          <w:szCs w:val="32"/>
        </w:rPr>
        <w:t>号</w:t>
      </w:r>
    </w:p>
    <w:p>
      <w:pPr>
        <w:widowControl w:val="0"/>
        <w:adjustRightInd/>
        <w:snapToGrid/>
        <w:spacing w:after="0" w:line="520" w:lineRule="exact"/>
        <w:jc w:val="both"/>
        <w:rPr>
          <w:rFonts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w:t>
      </w:r>
      <w:bookmarkStart w:id="0" w:name="_GoBack"/>
      <w:r>
        <w:rPr>
          <w:rFonts w:hint="eastAsia" w:ascii="仿宋_GB2312" w:hAnsi="仿宋_GB2312" w:eastAsia="仿宋_GB2312" w:cs="仿宋_GB2312"/>
          <w:sz w:val="32"/>
          <w:szCs w:val="32"/>
          <w:lang w:val="en-US" w:eastAsia="zh-CN"/>
        </w:rPr>
        <w:t>天津市和平区徐思梅鞋店</w:t>
      </w:r>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统一社会信用代码：92120101L64526514W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住所：天津市和平区滨江道与山西路交口麦购休闲广场5-207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经营者：徐思梅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身份证（其他有效证件）号码：120113197107020826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联系电话：15822603518  其他联系方式：无                </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联系地址：天津市红桥区双环路朝春里2院42号</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执法人员于2021年3月27日到天津市和平区滨江道与山西路交口麦购休闲广场5-207进行现场检查，现场查获标称“GUCCI”上衣6件、裤子3条，“CHANEL”裤子19条、上衣2件、帽子1顶、鞋子1双，“PRADA”帽子4顶、上衣1件、裤子1条，“BURBERRY”上衣2件，“NIKE”鞋子1双，“Adidas”鞋子3双，“DIOR”上衣1件、裤子1件，“zegna”上衣3件，“LV”上衣2件。当事人现场无法提供上述涉案商品的合法取得证明，上述商品涉嫌为假冒商品，我局执法人员依照《中华人民共和国行政处罚法》第三十七条第二款之规定，当场对上述商品实施先行登记保存。当事人涉嫌销售侵权商品的行为违反了《中华人民共和国商标法》第五十七条第（三）项的规定，于当日予以立案调查。</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经查询，“</w:t>
      </w:r>
      <w:r>
        <w:rPr>
          <w:rFonts w:hint="eastAsia" w:ascii="仿宋_GB2312" w:hAnsi="仿宋_GB2312" w:eastAsia="仿宋_GB2312" w:cs="仿宋_GB2312"/>
          <w:sz w:val="32"/>
          <w:szCs w:val="32"/>
          <w:lang w:val="en-US" w:eastAsia="zh-CN"/>
        </w:rPr>
        <w:drawing>
          <wp:inline distT="0" distB="0" distL="114300" distR="114300">
            <wp:extent cx="621665" cy="252730"/>
            <wp:effectExtent l="0" t="0" r="6985" b="13970"/>
            <wp:docPr id="1" name="图片 1" descr="360截图202104291633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10429163346515"/>
                    <pic:cNvPicPr>
                      <a:picLocks noChangeAspect="1"/>
                    </pic:cNvPicPr>
                  </pic:nvPicPr>
                  <pic:blipFill>
                    <a:blip r:embed="rId5"/>
                    <a:stretch>
                      <a:fillRect/>
                    </a:stretch>
                  </pic:blipFill>
                  <pic:spPr>
                    <a:xfrm>
                      <a:off x="0" y="0"/>
                      <a:ext cx="621665" cy="25273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”商标系古乔古希股份公司在第25类商品上使用的商标，注册号177033，“</w:t>
      </w:r>
      <w:r>
        <w:rPr>
          <w:rFonts w:hint="eastAsia" w:ascii="仿宋_GB2312" w:hAnsi="仿宋_GB2312" w:eastAsia="仿宋_GB2312" w:cs="仿宋_GB2312"/>
          <w:sz w:val="32"/>
          <w:szCs w:val="32"/>
          <w:lang w:val="en-US" w:eastAsia="zh-CN"/>
        </w:rPr>
        <w:drawing>
          <wp:inline distT="0" distB="0" distL="114300" distR="114300">
            <wp:extent cx="335280" cy="238125"/>
            <wp:effectExtent l="0" t="0" r="7620" b="9525"/>
            <wp:docPr id="3" name="图片 2" descr="360截图2021050809595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60截图20210508095956742"/>
                    <pic:cNvPicPr>
                      <a:picLocks noChangeAspect="1"/>
                    </pic:cNvPicPr>
                  </pic:nvPicPr>
                  <pic:blipFill>
                    <a:blip r:embed="rId6"/>
                    <a:stretch>
                      <a:fillRect/>
                    </a:stretch>
                  </pic:blipFill>
                  <pic:spPr>
                    <a:xfrm>
                      <a:off x="0" y="0"/>
                      <a:ext cx="335280" cy="23812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”商标系古乔古希股份公司在第25类商品上使用的商标，注册号937179，“CHANEL”商标系香奈儿股份有限公司在第25类商品上使用的商标，注册号75979，“</w:t>
      </w:r>
      <w:r>
        <w:rPr>
          <w:rFonts w:hint="eastAsia" w:ascii="仿宋_GB2312" w:hAnsi="仿宋_GB2312" w:eastAsia="仿宋_GB2312" w:cs="仿宋_GB2312"/>
          <w:sz w:val="32"/>
          <w:szCs w:val="32"/>
          <w:lang w:val="en-US" w:eastAsia="zh-CN"/>
        </w:rPr>
        <w:drawing>
          <wp:inline distT="0" distB="0" distL="114300" distR="114300">
            <wp:extent cx="269875" cy="201295"/>
            <wp:effectExtent l="0" t="0" r="15875" b="8255"/>
            <wp:docPr id="4" name="图片 3" descr="微信截图_2021042916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截图_20210429162741"/>
                    <pic:cNvPicPr>
                      <a:picLocks noChangeAspect="1"/>
                    </pic:cNvPicPr>
                  </pic:nvPicPr>
                  <pic:blipFill>
                    <a:blip r:embed="rId7"/>
                    <a:stretch>
                      <a:fillRect/>
                    </a:stretch>
                  </pic:blipFill>
                  <pic:spPr>
                    <a:xfrm>
                      <a:off x="0" y="0"/>
                      <a:ext cx="269875" cy="20129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香奈儿股份有限公司在第25类商品上使用的商标，注册号768908，“PRADA”商标系普拉达有限公司在第25类商品上使用的商标，注册号1260952，“BURBERRY”商标系勃贝雷有限公司在第25类商品上使用的商标，注册号75130，“</w:t>
      </w:r>
      <w:r>
        <w:rPr>
          <w:rFonts w:hint="eastAsia" w:ascii="仿宋_GB2312" w:hAnsi="仿宋_GB2312" w:eastAsia="仿宋_GB2312" w:cs="仿宋_GB2312"/>
          <w:sz w:val="32"/>
          <w:szCs w:val="32"/>
          <w:lang w:val="en-US" w:eastAsia="zh-CN"/>
        </w:rPr>
        <w:drawing>
          <wp:inline distT="0" distB="0" distL="114300" distR="114300">
            <wp:extent cx="316230" cy="175260"/>
            <wp:effectExtent l="0" t="0" r="7620" b="15240"/>
            <wp:docPr id="2" name="图片 4" descr="微信截图_2021041710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截图_20210417105913"/>
                    <pic:cNvPicPr>
                      <a:picLocks noChangeAspect="1"/>
                    </pic:cNvPicPr>
                  </pic:nvPicPr>
                  <pic:blipFill>
                    <a:blip r:embed="rId8"/>
                    <a:stretch>
                      <a:fillRect/>
                    </a:stretch>
                  </pic:blipFill>
                  <pic:spPr>
                    <a:xfrm>
                      <a:off x="0" y="0"/>
                      <a:ext cx="316230" cy="17526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”商标系耐克创新有限合伙公司在25类商品上使用的商标，注册号为855786，“ADIDAS”商标系阿达达斯有限公司在25类商品上使用的商标，注册号为75360,“Dior”商标系CHRISTIAN DIOR COUTURE在25类商品上使用的商标，注册号为G610601，“ZEGNA”商标系康恩泰有限公司在第25类商品上使用的商标，注册号969347，“</w:t>
      </w:r>
      <w:r>
        <w:rPr>
          <w:rFonts w:hint="eastAsia" w:ascii="仿宋_GB2312" w:hAnsi="仿宋_GB2312" w:eastAsia="仿宋_GB2312" w:cs="仿宋_GB2312"/>
          <w:sz w:val="32"/>
          <w:szCs w:val="32"/>
          <w:lang w:val="en-US" w:eastAsia="zh-CN"/>
        </w:rPr>
        <w:drawing>
          <wp:inline distT="0" distB="0" distL="114300" distR="114300">
            <wp:extent cx="244475" cy="246380"/>
            <wp:effectExtent l="0" t="0" r="3175" b="1270"/>
            <wp:docPr id="5" name="图片 5" descr="微信截图_2021012117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10121171645"/>
                    <pic:cNvPicPr>
                      <a:picLocks noChangeAspect="1"/>
                    </pic:cNvPicPr>
                  </pic:nvPicPr>
                  <pic:blipFill>
                    <a:blip r:embed="rId9"/>
                    <a:stretch>
                      <a:fillRect/>
                    </a:stretch>
                  </pic:blipFill>
                  <pic:spPr>
                    <a:xfrm>
                      <a:off x="0" y="0"/>
                      <a:ext cx="244475" cy="24638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 xml:space="preserve">”商标系路易威登马利蒂在第25类商品上使用的商标，注册号241029，上述商标均在有效期内。   </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经调查，当事人经营的上述商品是广州十三行商场购进的，后在店内销售。进货时留有票据，但不能说明合法来源及提供者。</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比对，当事人销售的上述商品的标识与商标权利人注册的商标相同，当事人无法提供商标授权等相关材料，进货渠道不符合商业惯例，综上所述，我局依据《商标侵权判断标准》第十三条、第十四条的规定，判定以上商品属侵犯注册商标专用权的产品。经领导批准，我局执法人员依据《中华人民共和国商标法》第六十二条第一款第（四）项的规定，对上述商品进行了扣押。</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GUCCI”上衣购进了6件、购进价格为55元/件，售价80元/件、没有销售；“GUCCI”裤子购进了4条、购进价格为75元/条，销售了1条、售价100元/条；“CHANEL”裤子购进了1条、购进价格为75元/条，售价100元/条、没有销售；“CHANEL”上衣购进了3件、购进价格为55元/件，销售了1件、售价80元/件；“CHANEL”帽子购进了2顶、购进价格为15元/顶，销售了1顶、售价20元/顶；“CHANEL”鞋子购进了1双、购进价格为55元/双，售价150元/双、没有销售；“PRADA”帽子购进了4顶、购进价格为15元/顶，售价20元/顶、没有销售；“PRADA”上衣购进了1件、购进价格为55元/件，售价80元/件、没有销售；“PRADA”裤子购进了1条、购进价格为75元/条，售价100元/条、没有销售；“BURBERRY”上衣购进了2件、购进价格为55元/件，售价80元/件、没有销售；“NIKE”鞋子购进了1双、购进价格为85元/双，售价150元/双、没有销售；“Adidas”鞋子购进了4双、购进价格分别为85元/双，销售了1双、售价150元/双；“DIOR”上衣购进了1件、购进价格为55元/件，售价80元/件、没有销售；“DIOR”裤子购进了1件、购进价格分别为75元/条，售价100元/条、没有销售；“zegna”上衣购进了3件、购进价格为55元/件，售价80元/件、没有销售；“LV”上衣购进了2件、购进价格为55元/件，售价80元/件、没有销售。当事人上述行为满足侵犯注册商标专用权行为的构成要件，因此我局认定当事人的行为构成了销售侵犯注册商标专用权商品的违法行为。违法经营额为3160元。</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1.执法人员2021年3月27日、2021年4月1日现场检查时制作的现场检查笔录各一份，现场照片16张；</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2.当事人提供的营业执照复印件一份，经营者身份证复印件一份；</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3.执法人员于2021年4月7日对当事人制作的询问调查笔录一份，进货记录复印件1张，销售记录截图4张；</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4.经当事人签字确认的涉案产品违法经营额计算表一份，情况说明一份；</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5.商标注册证截图11张，商品官网售价截图24张；</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6．其他相关材料。</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2021年5月20日，本机关向当事人送达了《行政处罚告知书》，告知了拟作出行政处罚的事实、理由、依据及处罚内容，在执法人员进行行政处罚告知后，当事人未提出陈述、申辩。                                                                                                        </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当事人的行为构成了《中华人民共和国商标法》第五十七条第（三）项“有下列行为之一的，均属侵犯注册商标专用权：（三）销售侵犯注册商标专用权的商品的；”所指的违法行为。</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由裁量理由等其他需要说明的事项：鉴于当事人在我局执法人员现场检查后意识到自己的违法行为并立即改正，在调查中积极配合我局调查。根据《中华人民共和国行政处罚法》第二十七条第一款第（一）项和第（四）项“当事人有下列情形之一的，应当依法从轻或者减轻行政处罚：</w:t>
      </w:r>
      <w:r>
        <w:rPr>
          <w:rFonts w:hint="eastAsia" w:ascii="仿宋_GB2312" w:hAnsi="仿宋_GB2312" w:eastAsia="仿宋_GB2312" w:cs="仿宋_GB2312"/>
          <w:sz w:val="32"/>
          <w:szCs w:val="32"/>
          <w:lang w:val="zh-CN" w:eastAsia="zh-CN"/>
        </w:rPr>
        <w:t>（一）主动消除或者减轻违法行为危害后果的；和</w:t>
      </w:r>
      <w:r>
        <w:rPr>
          <w:rFonts w:hint="eastAsia" w:ascii="仿宋_GB2312" w:hAnsi="仿宋_GB2312" w:eastAsia="仿宋_GB2312" w:cs="仿宋_GB2312"/>
          <w:sz w:val="32"/>
          <w:szCs w:val="32"/>
          <w:lang w:val="en-US" w:eastAsia="zh-CN"/>
        </w:rPr>
        <w:t>（四）其他依法从轻或者减轻行政处罚的。”的规定，从轻处罚。</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责令当事人立即停止上述违法行为，对当事人给予如下行政处罚：一、没收侵权商品33件（“GUCCI”上衣6件、裤子3条，“CHANEL”裤子1条、上衣2件、帽子1顶、鞋子1双，“PRADA”帽子4顶、上衣1件、裤子1条，“BURBERRY”上衣2件，“NIKE”鞋子1双，“Adidas”鞋子3双，“DIOR”上衣1件、裤子1件，“zegna”上衣3件，“LV”上衣2件）；二、侵权行为处罚款6000元，上缴财政。</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自收到本决定书之日起十五日内将罚款缴至市场监督管理机关罚款代收机构（中国工商银行天津市分行、中国银行天津市分行、中国建设银行天津市分行、天津银行、中国光大银行天津分行、浙商银行股份有限公司天津分行所属网点）。逾期不缴纳罚没款的，根据《中华人民共和国行政处罚法》第五十一条第一项的规定，每日按罚款数额的百分之三加处罚款，并将依法申请人民法院强制执行。</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如当事人不服本处罚决定，可在收到本处罚决定书之日起六十日内，向天津市知识产权局或者天津市和平区人民政府申请复议，也可在收到本处罚决定书之日起六个月内依法向天津市和平区人民法院提起诉讼。</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依据《企业信息公示暂行条例》等有关规定，本机关将通过市场主体信用信息公示系统、门户网站、专业网站等公示行政处罚信息。如公示的行政处罚信息不准确，当事人可以申请本机关予以更正。</w:t>
      </w: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00" w:lineRule="exact"/>
        <w:ind w:left="3520" w:leftChars="1600" w:firstLine="320" w:firstLineChars="1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00" w:lineRule="exact"/>
        <w:ind w:left="5439" w:leftChars="1745" w:hanging="1600" w:hangingChars="5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00" w:lineRule="exact"/>
        <w:ind w:left="5439" w:leftChars="1745" w:hanging="1600" w:hangingChars="5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00" w:lineRule="exact"/>
        <w:ind w:left="5439" w:leftChars="1745" w:hanging="1600" w:hangingChars="500"/>
        <w:textAlignment w:val="auto"/>
        <w:rPr>
          <w:rFonts w:hint="eastAsia" w:ascii="仿宋_GB2312" w:hAnsi="仿宋" w:eastAsia="仿宋_GB2312"/>
          <w:color w:val="000000"/>
          <w:sz w:val="32"/>
          <w:szCs w:val="32"/>
          <w:lang w:val="en-US" w:eastAsia="zh-CN"/>
        </w:rPr>
      </w:pPr>
      <w:r>
        <w:rPr>
          <w:rFonts w:hint="eastAsia" w:ascii="仿宋_GB2312" w:hAnsi="仿宋" w:eastAsia="仿宋_GB2312"/>
          <w:sz w:val="32"/>
          <w:szCs w:val="32"/>
        </w:rPr>
        <w:t xml:space="preserve">天津市和平区市场监督管理局 </w:t>
      </w:r>
      <w:r>
        <w:rPr>
          <w:rFonts w:hint="eastAsia" w:ascii="仿宋_GB2312" w:hAnsi="仿宋"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spacing w:after="0" w:line="500" w:lineRule="exact"/>
        <w:ind w:left="5436" w:leftChars="2180" w:hanging="640" w:hanging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31</w:t>
      </w:r>
      <w:r>
        <w:rPr>
          <w:rFonts w:hint="eastAsia" w:ascii="仿宋_GB2312" w:hAnsi="仿宋" w:eastAsia="仿宋_GB2312"/>
          <w:color w:val="000000"/>
          <w:sz w:val="32"/>
          <w:szCs w:val="32"/>
        </w:rPr>
        <w:t>日</w:t>
      </w:r>
    </w:p>
    <w:p>
      <w:pPr>
        <w:keepNext w:val="0"/>
        <w:keepLines w:val="0"/>
        <w:pageBreakBefore w:val="0"/>
        <w:kinsoku/>
        <w:wordWrap/>
        <w:overflowPunct/>
        <w:topLinePunct w:val="0"/>
        <w:autoSpaceDE/>
        <w:autoSpaceDN/>
        <w:bidi w:val="0"/>
        <w:spacing w:after="0" w:line="500" w:lineRule="exact"/>
        <w:ind w:left="5439" w:leftChars="1745" w:hanging="1600" w:hangingChars="500"/>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ascii="黑体" w:hAnsi="黑体" w:eastAsia="黑体" w:cs="黑体"/>
          <w:color w:val="000000"/>
          <w:kern w:val="2"/>
          <w:sz w:val="28"/>
          <w:szCs w:val="28"/>
        </w:rPr>
      </w:pPr>
      <w:r>
        <w:rPr>
          <w:rFonts w:hint="eastAsia" w:ascii="黑体" w:hAnsi="黑体" w:eastAsia="黑体" w:cs="黑体"/>
          <w:color w:val="000000"/>
          <w:kern w:val="2"/>
          <w:sz w:val="30"/>
          <w:szCs w:val="30"/>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ascii="Times New Roman" w:hAnsi="Times New Roman" w:eastAsia="仿宋_GB2312" w:cs="仿宋"/>
          <w:bCs/>
          <w:color w:val="000000"/>
          <w:kern w:val="2"/>
          <w:sz w:val="32"/>
          <w:szCs w:val="32"/>
        </w:rPr>
      </w:pPr>
      <w:r>
        <w:rPr>
          <w:rFonts w:ascii="Times New Roman" w:hAnsi="Times New Roman" w:eastAsia="仿宋_GB2312" w:cs="Times New Roman"/>
          <w:kern w:val="2"/>
          <w:sz w:val="32"/>
          <w:szCs w:val="24"/>
        </w:rPr>
        <w:pict>
          <v:line id="_x0000_s1031" o:spid="_x0000_s1031" o:spt="20" style="position:absolute;left:0pt;margin-left:-9.1pt;margin-top:13.5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p>
    <w:p>
      <w:pPr>
        <w:keepNext w:val="0"/>
        <w:keepLines w:val="0"/>
        <w:pageBreakBefore w:val="0"/>
        <w:kinsoku/>
        <w:wordWrap/>
        <w:overflowPunct/>
        <w:topLinePunct w:val="0"/>
        <w:autoSpaceDE/>
        <w:autoSpaceDN/>
        <w:bidi w:val="0"/>
        <w:spacing w:after="0" w:line="500" w:lineRule="exact"/>
        <w:textAlignment w:val="auto"/>
      </w:pPr>
      <w:r>
        <w:rPr>
          <w:rFonts w:ascii="Times New Roman" w:hAnsi="Times New Roman" w:eastAsia="仿宋_GB2312" w:cs="仿宋"/>
          <w:bCs/>
          <w:color w:val="000000"/>
          <w:kern w:val="2"/>
          <w:sz w:val="32"/>
          <w:szCs w:val="32"/>
        </w:rPr>
        <w:pict>
          <v:line id="_x0000_s1030" o:spid="_x0000_s103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v:path arrowok="t"/>
            <v:fill focussize="0,0"/>
            <v:stroke weight="0.737007874015748pt" endcap="square"/>
            <v:imagedata o:title=""/>
            <o:lock v:ext="edit"/>
          </v:line>
        </w:pict>
      </w:r>
      <w:r>
        <w:rPr>
          <w:rFonts w:hint="eastAsia" w:ascii="Times New Roman" w:hAnsi="Times New Roman" w:eastAsia="仿宋_GB2312" w:cs="仿宋"/>
          <w:color w:val="000000"/>
          <w:kern w:val="2"/>
          <w:sz w:val="32"/>
          <w:szCs w:val="32"/>
        </w:rPr>
        <w:t>本文书一式</w:t>
      </w:r>
      <w:r>
        <w:rPr>
          <w:rFonts w:hint="eastAsia" w:ascii="Times New Roman" w:hAnsi="Times New Roman" w:eastAsia="仿宋_GB2312" w:cs="仿宋"/>
          <w:color w:val="000000"/>
          <w:kern w:val="2"/>
          <w:sz w:val="32"/>
          <w:szCs w:val="32"/>
          <w:u w:val="single"/>
        </w:rPr>
        <w:t>两</w:t>
      </w:r>
      <w:r>
        <w:rPr>
          <w:rFonts w:hint="eastAsia" w:ascii="Times New Roman" w:hAnsi="Times New Roman" w:eastAsia="仿宋_GB2312" w:cs="仿宋"/>
          <w:color w:val="000000"/>
          <w:kern w:val="2"/>
          <w:sz w:val="32"/>
          <w:szCs w:val="32"/>
        </w:rPr>
        <w:t>份，</w:t>
      </w:r>
      <w:r>
        <w:rPr>
          <w:rFonts w:hint="eastAsia" w:ascii="Times New Roman" w:hAnsi="Times New Roman" w:eastAsia="仿宋_GB2312" w:cs="仿宋"/>
          <w:color w:val="000000"/>
          <w:kern w:val="2"/>
          <w:sz w:val="32"/>
          <w:szCs w:val="32"/>
          <w:u w:val="single"/>
        </w:rPr>
        <w:t>一</w:t>
      </w:r>
      <w:r>
        <w:rPr>
          <w:rFonts w:hint="eastAsia" w:ascii="Times New Roman" w:hAnsi="Times New Roman" w:eastAsia="仿宋_GB2312" w:cs="仿宋"/>
          <w:color w:val="000000"/>
          <w:kern w:val="2"/>
          <w:sz w:val="32"/>
          <w:szCs w:val="32"/>
        </w:rPr>
        <w:t>份送达，一份归档。</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43DDB"/>
    <w:rsid w:val="00056636"/>
    <w:rsid w:val="0007642B"/>
    <w:rsid w:val="00096447"/>
    <w:rsid w:val="001076CB"/>
    <w:rsid w:val="001553C3"/>
    <w:rsid w:val="00176384"/>
    <w:rsid w:val="00192FF0"/>
    <w:rsid w:val="001B5876"/>
    <w:rsid w:val="001B7462"/>
    <w:rsid w:val="00213289"/>
    <w:rsid w:val="0022181C"/>
    <w:rsid w:val="00292989"/>
    <w:rsid w:val="002B3275"/>
    <w:rsid w:val="002D351B"/>
    <w:rsid w:val="003205D2"/>
    <w:rsid w:val="00323B43"/>
    <w:rsid w:val="0033049C"/>
    <w:rsid w:val="003438FD"/>
    <w:rsid w:val="003B2856"/>
    <w:rsid w:val="003B7218"/>
    <w:rsid w:val="003D37D8"/>
    <w:rsid w:val="003E36D1"/>
    <w:rsid w:val="0041530D"/>
    <w:rsid w:val="00426133"/>
    <w:rsid w:val="0043473B"/>
    <w:rsid w:val="004358AB"/>
    <w:rsid w:val="004A73E0"/>
    <w:rsid w:val="004F2D47"/>
    <w:rsid w:val="00556FD3"/>
    <w:rsid w:val="005832C1"/>
    <w:rsid w:val="00593849"/>
    <w:rsid w:val="005D0B53"/>
    <w:rsid w:val="005F0D84"/>
    <w:rsid w:val="00692C93"/>
    <w:rsid w:val="00793561"/>
    <w:rsid w:val="007959DF"/>
    <w:rsid w:val="0084384F"/>
    <w:rsid w:val="008B7726"/>
    <w:rsid w:val="008C0F12"/>
    <w:rsid w:val="00A458C1"/>
    <w:rsid w:val="00AC5EE2"/>
    <w:rsid w:val="00B67AC5"/>
    <w:rsid w:val="00B81760"/>
    <w:rsid w:val="00BA6CCC"/>
    <w:rsid w:val="00C73E6C"/>
    <w:rsid w:val="00CE051F"/>
    <w:rsid w:val="00D31D50"/>
    <w:rsid w:val="00D334F1"/>
    <w:rsid w:val="00D42A1F"/>
    <w:rsid w:val="00DB18AE"/>
    <w:rsid w:val="00DB62EA"/>
    <w:rsid w:val="00DD474B"/>
    <w:rsid w:val="00DD6803"/>
    <w:rsid w:val="00E1430E"/>
    <w:rsid w:val="00E27BB9"/>
    <w:rsid w:val="00E57F7F"/>
    <w:rsid w:val="00E857AA"/>
    <w:rsid w:val="00ED2E6B"/>
    <w:rsid w:val="00ED5837"/>
    <w:rsid w:val="00EF3DA1"/>
    <w:rsid w:val="00F2225E"/>
    <w:rsid w:val="00F41D97"/>
    <w:rsid w:val="00F600DF"/>
    <w:rsid w:val="0273573A"/>
    <w:rsid w:val="031E24DE"/>
    <w:rsid w:val="0371617C"/>
    <w:rsid w:val="03EE21FD"/>
    <w:rsid w:val="04DD2013"/>
    <w:rsid w:val="0509306D"/>
    <w:rsid w:val="072A4578"/>
    <w:rsid w:val="0738197D"/>
    <w:rsid w:val="07D35FA1"/>
    <w:rsid w:val="080B078E"/>
    <w:rsid w:val="09322AC0"/>
    <w:rsid w:val="0A243387"/>
    <w:rsid w:val="0A560A67"/>
    <w:rsid w:val="0AA17A20"/>
    <w:rsid w:val="0C8F1FF5"/>
    <w:rsid w:val="0CB70880"/>
    <w:rsid w:val="0E4C1291"/>
    <w:rsid w:val="0E532474"/>
    <w:rsid w:val="0EB309A1"/>
    <w:rsid w:val="0F1A21CA"/>
    <w:rsid w:val="0FA6788C"/>
    <w:rsid w:val="13015C5C"/>
    <w:rsid w:val="13453A65"/>
    <w:rsid w:val="134A0741"/>
    <w:rsid w:val="136D7097"/>
    <w:rsid w:val="13735F83"/>
    <w:rsid w:val="138C4D81"/>
    <w:rsid w:val="13BF3A80"/>
    <w:rsid w:val="15B81084"/>
    <w:rsid w:val="173776C7"/>
    <w:rsid w:val="1763718A"/>
    <w:rsid w:val="184E0C28"/>
    <w:rsid w:val="185746D3"/>
    <w:rsid w:val="189E1947"/>
    <w:rsid w:val="19B55A49"/>
    <w:rsid w:val="19CC6291"/>
    <w:rsid w:val="19ED6389"/>
    <w:rsid w:val="19ED681A"/>
    <w:rsid w:val="1A1C1153"/>
    <w:rsid w:val="1B1165E1"/>
    <w:rsid w:val="1B8317AF"/>
    <w:rsid w:val="1C2D6239"/>
    <w:rsid w:val="1D49223A"/>
    <w:rsid w:val="1D5111EB"/>
    <w:rsid w:val="1DF70EDD"/>
    <w:rsid w:val="1E802FD9"/>
    <w:rsid w:val="20714A08"/>
    <w:rsid w:val="20AE2D85"/>
    <w:rsid w:val="21E7377E"/>
    <w:rsid w:val="21E87F48"/>
    <w:rsid w:val="21F61F56"/>
    <w:rsid w:val="23A4156A"/>
    <w:rsid w:val="24015B15"/>
    <w:rsid w:val="241B5944"/>
    <w:rsid w:val="254751A4"/>
    <w:rsid w:val="25715EF1"/>
    <w:rsid w:val="25EF5260"/>
    <w:rsid w:val="260661BC"/>
    <w:rsid w:val="266A5A97"/>
    <w:rsid w:val="26E205DE"/>
    <w:rsid w:val="274E3785"/>
    <w:rsid w:val="28F22391"/>
    <w:rsid w:val="2A330D27"/>
    <w:rsid w:val="2ABA0A09"/>
    <w:rsid w:val="2AC54374"/>
    <w:rsid w:val="2B066D89"/>
    <w:rsid w:val="2B2672CA"/>
    <w:rsid w:val="2BAB2D39"/>
    <w:rsid w:val="2C1741B9"/>
    <w:rsid w:val="2C3339A0"/>
    <w:rsid w:val="2C655BE2"/>
    <w:rsid w:val="2DC6678E"/>
    <w:rsid w:val="2E5D5B78"/>
    <w:rsid w:val="2E7C09E4"/>
    <w:rsid w:val="2E7C72E9"/>
    <w:rsid w:val="2E8D0CEB"/>
    <w:rsid w:val="301C17C6"/>
    <w:rsid w:val="30394832"/>
    <w:rsid w:val="307D5983"/>
    <w:rsid w:val="31A50D77"/>
    <w:rsid w:val="31AD7FD6"/>
    <w:rsid w:val="3219614D"/>
    <w:rsid w:val="331A1C53"/>
    <w:rsid w:val="338A385A"/>
    <w:rsid w:val="33A60B13"/>
    <w:rsid w:val="33C27DAD"/>
    <w:rsid w:val="34876832"/>
    <w:rsid w:val="34A06866"/>
    <w:rsid w:val="34EA1C49"/>
    <w:rsid w:val="352C3C04"/>
    <w:rsid w:val="35F70771"/>
    <w:rsid w:val="36E77D14"/>
    <w:rsid w:val="370347AE"/>
    <w:rsid w:val="3806534B"/>
    <w:rsid w:val="38217D1C"/>
    <w:rsid w:val="386C153E"/>
    <w:rsid w:val="38DB6EEC"/>
    <w:rsid w:val="39C00A3D"/>
    <w:rsid w:val="3A966843"/>
    <w:rsid w:val="414854A4"/>
    <w:rsid w:val="41584F96"/>
    <w:rsid w:val="41B56EDA"/>
    <w:rsid w:val="423269D8"/>
    <w:rsid w:val="42713A3E"/>
    <w:rsid w:val="43FC5E43"/>
    <w:rsid w:val="45CD41CD"/>
    <w:rsid w:val="462F5A69"/>
    <w:rsid w:val="46AB3497"/>
    <w:rsid w:val="46C74AFC"/>
    <w:rsid w:val="476F5DB4"/>
    <w:rsid w:val="487D7F30"/>
    <w:rsid w:val="489100E6"/>
    <w:rsid w:val="489858DD"/>
    <w:rsid w:val="491340B9"/>
    <w:rsid w:val="498972B3"/>
    <w:rsid w:val="49932B15"/>
    <w:rsid w:val="4AE35296"/>
    <w:rsid w:val="4DF6202E"/>
    <w:rsid w:val="4E3E3ACD"/>
    <w:rsid w:val="4E595096"/>
    <w:rsid w:val="4F5A7CF4"/>
    <w:rsid w:val="4FB55765"/>
    <w:rsid w:val="4FC35CE1"/>
    <w:rsid w:val="51C015F9"/>
    <w:rsid w:val="52683EC6"/>
    <w:rsid w:val="531F1209"/>
    <w:rsid w:val="53551755"/>
    <w:rsid w:val="53E365B4"/>
    <w:rsid w:val="546A5402"/>
    <w:rsid w:val="54A64744"/>
    <w:rsid w:val="54F21E29"/>
    <w:rsid w:val="569F46F3"/>
    <w:rsid w:val="56E95605"/>
    <w:rsid w:val="57CD6D64"/>
    <w:rsid w:val="57E3564B"/>
    <w:rsid w:val="5A2A2A33"/>
    <w:rsid w:val="5ADD170A"/>
    <w:rsid w:val="5B1F69F5"/>
    <w:rsid w:val="5BB3562C"/>
    <w:rsid w:val="5C617E87"/>
    <w:rsid w:val="5C9B44BA"/>
    <w:rsid w:val="5CD439CD"/>
    <w:rsid w:val="5D9E2CDC"/>
    <w:rsid w:val="5DD017FB"/>
    <w:rsid w:val="5E1039B6"/>
    <w:rsid w:val="5E8E4E8B"/>
    <w:rsid w:val="5EB17043"/>
    <w:rsid w:val="5F300334"/>
    <w:rsid w:val="60C57E89"/>
    <w:rsid w:val="60EF2DAE"/>
    <w:rsid w:val="61664B74"/>
    <w:rsid w:val="622A2FC8"/>
    <w:rsid w:val="62ED3F44"/>
    <w:rsid w:val="63867D30"/>
    <w:rsid w:val="648107E4"/>
    <w:rsid w:val="651767E8"/>
    <w:rsid w:val="67B05F87"/>
    <w:rsid w:val="67CA0793"/>
    <w:rsid w:val="6D203710"/>
    <w:rsid w:val="6D715DEB"/>
    <w:rsid w:val="6D764C70"/>
    <w:rsid w:val="6DA447D3"/>
    <w:rsid w:val="6DCB72F0"/>
    <w:rsid w:val="6E5821E2"/>
    <w:rsid w:val="6EA0686A"/>
    <w:rsid w:val="708C4DB3"/>
    <w:rsid w:val="71B55D82"/>
    <w:rsid w:val="73D12819"/>
    <w:rsid w:val="74AF6CB5"/>
    <w:rsid w:val="75763E80"/>
    <w:rsid w:val="76205C27"/>
    <w:rsid w:val="76AC0179"/>
    <w:rsid w:val="78315AC5"/>
    <w:rsid w:val="78BE4ED8"/>
    <w:rsid w:val="79741772"/>
    <w:rsid w:val="798D02DB"/>
    <w:rsid w:val="7A1B1AD5"/>
    <w:rsid w:val="7AAC12DF"/>
    <w:rsid w:val="7CB6277B"/>
    <w:rsid w:val="7D831243"/>
    <w:rsid w:val="7DC93B7A"/>
    <w:rsid w:val="7E1202DE"/>
    <w:rsid w:val="7E403B6A"/>
    <w:rsid w:val="7E6F6164"/>
    <w:rsid w:val="7EA67412"/>
    <w:rsid w:val="7F9FB9C1"/>
    <w:rsid w:val="BF7C4ECB"/>
    <w:rsid w:val="EFFF589F"/>
    <w:rsid w:val="F4D657F8"/>
    <w:rsid w:val="FF7F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eastAsia="微软雅黑" w:cstheme="minorBidi"/>
      <w:sz w:val="18"/>
      <w:szCs w:val="18"/>
    </w:rPr>
  </w:style>
  <w:style w:type="character" w:customStyle="1" w:styleId="7">
    <w:name w:val="页脚 Char"/>
    <w:basedOn w:val="5"/>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328</Words>
  <Characters>1875</Characters>
  <Lines>15</Lines>
  <Paragraphs>4</Paragraphs>
  <TotalTime>1</TotalTime>
  <ScaleCrop>false</ScaleCrop>
  <LinksUpToDate>false</LinksUpToDate>
  <CharactersWithSpaces>2199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吕奕</cp:lastModifiedBy>
  <cp:lastPrinted>2020-07-08T15:21:00Z</cp:lastPrinted>
  <dcterms:modified xsi:type="dcterms:W3CDTF">2021-06-01T07:29:15Z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33E9913367A343BC96EB2F62BA85E5C6</vt:lpwstr>
  </property>
</Properties>
</file>