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40" w:lineRule="exact"/>
        <w:jc w:val="center"/>
        <w:rPr>
          <w:rFonts w:eastAsia="方正小标宋简体"/>
          <w:color w:val="000000"/>
          <w:sz w:val="32"/>
          <w:szCs w:val="32"/>
        </w:rPr>
      </w:pPr>
      <w:bookmarkStart w:id="1" w:name="_GoBack"/>
      <w:bookmarkEnd w:id="1"/>
      <w:r>
        <w:rPr>
          <w:rFonts w:hint="eastAsia" w:ascii="仿宋" w:hAnsi="仿宋" w:eastAsia="仿宋" w:cs="仿宋"/>
          <w:b/>
          <w:bCs w:val="0"/>
          <w:color w:val="000000"/>
          <w:sz w:val="36"/>
          <w:szCs w:val="36"/>
        </w:rPr>
        <w:t>天津市</w:t>
      </w:r>
      <w:r>
        <w:rPr>
          <w:rFonts w:hint="eastAsia" w:ascii="仿宋" w:hAnsi="仿宋" w:eastAsia="仿宋" w:cs="仿宋"/>
          <w:b/>
          <w:bCs w:val="0"/>
          <w:color w:val="000000"/>
          <w:sz w:val="36"/>
          <w:szCs w:val="36"/>
          <w:lang w:val="en-US" w:eastAsia="zh-CN"/>
        </w:rPr>
        <w:t>宝坻</w:t>
      </w:r>
      <w:r>
        <w:rPr>
          <w:rFonts w:hint="eastAsia" w:ascii="仿宋" w:hAnsi="仿宋" w:eastAsia="仿宋" w:cs="仿宋"/>
          <w:b/>
          <w:bCs w:val="0"/>
          <w:color w:val="000000"/>
          <w:sz w:val="36"/>
          <w:szCs w:val="36"/>
        </w:rPr>
        <w:t>区</w:t>
      </w:r>
      <w:r>
        <w:rPr>
          <w:rFonts w:hint="eastAsia" w:ascii="仿宋" w:hAnsi="仿宋" w:eastAsia="仿宋" w:cs="仿宋"/>
          <w:b/>
          <w:bCs w:val="0"/>
          <w:color w:val="000000"/>
          <w:sz w:val="36"/>
          <w:szCs w:val="36"/>
          <w:lang w:val="en-US" w:eastAsia="zh-CN"/>
        </w:rPr>
        <w:t>2024年</w:t>
      </w:r>
      <w:r>
        <w:rPr>
          <w:rFonts w:hint="eastAsia" w:ascii="仿宋" w:hAnsi="仿宋" w:eastAsia="仿宋" w:cs="仿宋"/>
          <w:b/>
          <w:bCs w:val="0"/>
          <w:color w:val="000000"/>
          <w:sz w:val="36"/>
          <w:szCs w:val="36"/>
        </w:rPr>
        <w:t>成品油产品质量监督抽查实施细则</w:t>
      </w:r>
    </w:p>
    <w:p>
      <w:pPr>
        <w:snapToGrid w:val="0"/>
        <w:spacing w:line="440" w:lineRule="exac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1 抽样方法</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以随机抽样的方式在被抽样生产者、销售者的待销产品中抽取。</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随机数一般可使用随机数表等方法产生。</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成品油抽样方法执行GB/T 4756，</w:t>
      </w:r>
      <w:r>
        <w:rPr>
          <w:rFonts w:hint="eastAsia" w:ascii="宋体" w:hAnsi="宋体" w:cs="宋体"/>
          <w:color w:val="000000"/>
          <w:sz w:val="21"/>
          <w:szCs w:val="21"/>
          <w:lang w:val="en-US" w:eastAsia="zh-CN"/>
        </w:rPr>
        <w:t>其中车用乙醇汽油</w:t>
      </w:r>
      <w:r>
        <w:rPr>
          <w:rFonts w:hint="eastAsia" w:ascii="宋体" w:hAnsi="宋体" w:eastAsia="宋体" w:cs="宋体"/>
          <w:color w:val="000000"/>
          <w:sz w:val="21"/>
          <w:szCs w:val="21"/>
        </w:rPr>
        <w:t>共抽取</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L作为样本，其中检验样品2L，备用样品</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L。</w:t>
      </w:r>
      <w:r>
        <w:rPr>
          <w:rFonts w:hint="eastAsia" w:ascii="宋体" w:hAnsi="宋体" w:cs="宋体"/>
          <w:color w:val="000000"/>
          <w:sz w:val="21"/>
          <w:szCs w:val="21"/>
          <w:lang w:val="en-US" w:eastAsia="zh-CN"/>
        </w:rPr>
        <w:t>车用柴油共抽取5L作为样本，其中检验样品3L，备用样品2L。</w:t>
      </w:r>
      <w:r>
        <w:rPr>
          <w:rFonts w:hint="eastAsia" w:ascii="宋体" w:hAnsi="宋体" w:eastAsia="宋体" w:cs="宋体"/>
          <w:color w:val="000000"/>
          <w:sz w:val="21"/>
          <w:szCs w:val="21"/>
        </w:rPr>
        <w:t>在加油站抽样时，抽取样品前，通过油枪将至少4L油品放入一个合适的容器内，之后直接在加油机油枪口取样。</w:t>
      </w:r>
    </w:p>
    <w:p>
      <w:pPr>
        <w:spacing w:line="440" w:lineRule="exact"/>
        <w:jc w:val="left"/>
        <w:rPr>
          <w:rFonts w:hint="eastAsia" w:ascii="宋体" w:hAnsi="宋体" w:eastAsia="宋体" w:cs="宋体"/>
          <w:color w:val="000000"/>
          <w:sz w:val="21"/>
          <w:szCs w:val="21"/>
        </w:rPr>
      </w:pPr>
    </w:p>
    <w:p>
      <w:pPr>
        <w:snapToGrid w:val="0"/>
        <w:spacing w:line="440" w:lineRule="exac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2 检验依据</w:t>
      </w:r>
    </w:p>
    <w:p>
      <w:pPr>
        <w:adjustRightInd w:val="0"/>
        <w:snapToGrid w:val="0"/>
        <w:spacing w:line="360" w:lineRule="auto"/>
        <w:jc w:val="center"/>
        <w:rPr>
          <w:rFonts w:hint="eastAsia" w:ascii="宋体" w:hAnsi="宋体" w:eastAsia="宋体" w:cs="宋体"/>
          <w:sz w:val="21"/>
          <w:szCs w:val="21"/>
        </w:rPr>
      </w:pPr>
      <w:bookmarkStart w:id="0" w:name="_Hlk101035043"/>
      <w:r>
        <w:rPr>
          <w:rFonts w:hint="eastAsia" w:ascii="宋体" w:hAnsi="宋体" w:eastAsia="宋体" w:cs="宋体"/>
          <w:sz w:val="21"/>
          <w:szCs w:val="21"/>
        </w:rPr>
        <w:t>表1  车用乙醇汽油（E10）</w:t>
      </w:r>
    </w:p>
    <w:tbl>
      <w:tblPr>
        <w:tblStyle w:val="5"/>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941"/>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941"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检验项目</w:t>
            </w:r>
          </w:p>
        </w:tc>
        <w:tc>
          <w:tcPr>
            <w:tcW w:w="3987"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研究法辛烷值</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5487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硫含量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水分</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SH/T 0246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乙醇含量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NB/SH/T 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其他有机含氧化合物含量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NB/SH/T 0663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苯含量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芳烃含量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烯烃含量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30519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密度（20℃）</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SH/T 0604-2000</w:t>
            </w:r>
          </w:p>
        </w:tc>
      </w:tr>
      <w:bookmarkEnd w:id="0"/>
    </w:tbl>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adjustRightInd w:val="0"/>
        <w:snapToGrid w:val="0"/>
        <w:spacing w:line="360" w:lineRule="auto"/>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br w:type="page"/>
      </w:r>
    </w:p>
    <w:p>
      <w:pPr>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表2  车用柴油</w:t>
      </w:r>
    </w:p>
    <w:tbl>
      <w:tblPr>
        <w:tblStyle w:val="5"/>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941"/>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3941"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检验项目</w:t>
            </w:r>
          </w:p>
        </w:tc>
        <w:tc>
          <w:tcPr>
            <w:tcW w:w="3987" w:type="dxa"/>
            <w:noWrap/>
            <w:vAlign w:val="center"/>
          </w:tcPr>
          <w:p>
            <w:pPr>
              <w:adjustRightInd w:val="0"/>
              <w:snapToGrid w:val="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硫含量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SH/T 0689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酸度</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多环芳烃含量</w:t>
            </w:r>
          </w:p>
        </w:tc>
        <w:tc>
          <w:tcPr>
            <w:tcW w:w="3987" w:type="dxa"/>
            <w:noWrap/>
            <w:vAlign w:val="center"/>
          </w:tcPr>
          <w:p>
            <w:pPr>
              <w:adjustRightInd w:val="0"/>
              <w:snapToGrid w:val="0"/>
              <w:jc w:val="center"/>
              <w:rPr>
                <w:rFonts w:hint="eastAsia" w:ascii="宋体" w:hAnsi="宋体" w:eastAsia="宋体" w:cs="宋体"/>
                <w:color w:val="FF0000"/>
                <w:sz w:val="21"/>
                <w:szCs w:val="21"/>
              </w:rPr>
            </w:pPr>
            <w:r>
              <w:rPr>
                <w:rFonts w:hint="eastAsia" w:ascii="宋体" w:hAnsi="宋体" w:eastAsia="宋体" w:cs="宋体"/>
                <w:sz w:val="21"/>
                <w:szCs w:val="21"/>
              </w:rPr>
              <w:t>NB/SH/T 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总污染物含量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33400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运动粘度（20℃）</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凝点</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冷滤点</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NB/SH/T 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闪点（闭口）</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十六烷值</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密度（20℃）</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SH/T 0604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2" w:type="dxa"/>
            <w:noWrap/>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3941"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脂肪酸甲酯含量</w:t>
            </w:r>
          </w:p>
        </w:tc>
        <w:tc>
          <w:tcPr>
            <w:tcW w:w="3987" w:type="dxa"/>
            <w:noWrap/>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GB/T 23801</w:t>
            </w:r>
          </w:p>
        </w:tc>
      </w:tr>
    </w:tbl>
    <w:p>
      <w:pPr>
        <w:adjustRightInd w:val="0"/>
        <w:snapToGrid w:val="0"/>
        <w:spacing w:line="360" w:lineRule="auto"/>
        <w:jc w:val="center"/>
        <w:rPr>
          <w:rFonts w:hint="eastAsia" w:ascii="宋体" w:hAnsi="宋体" w:eastAsia="宋体" w:cs="宋体"/>
          <w:sz w:val="21"/>
          <w:szCs w:val="21"/>
        </w:rPr>
      </w:pP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执行企业标准、团体标准、地方标准的产品，检验项目参照上述内容执行。</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凡是注日期的文件，其随后所有的修改单（不包括勘误的内容）或修订版不适用于本细则。凡是不注日期的文件，其最新版本适用于本细则。</w:t>
      </w:r>
    </w:p>
    <w:p>
      <w:pPr>
        <w:snapToGrid w:val="0"/>
        <w:spacing w:line="440" w:lineRule="exact"/>
        <w:outlineLvl w:val="0"/>
        <w:rPr>
          <w:rFonts w:hint="eastAsia" w:ascii="宋体" w:hAnsi="宋体" w:eastAsia="宋体" w:cs="宋体"/>
          <w:color w:val="000000"/>
          <w:sz w:val="21"/>
          <w:szCs w:val="21"/>
        </w:rPr>
      </w:pPr>
    </w:p>
    <w:p>
      <w:pPr>
        <w:snapToGrid w:val="0"/>
        <w:spacing w:line="440" w:lineRule="exact"/>
        <w:outlineLvl w:val="0"/>
        <w:rPr>
          <w:rFonts w:hint="eastAsia" w:ascii="宋体" w:hAnsi="宋体" w:eastAsia="宋体" w:cs="宋体"/>
          <w:color w:val="000000"/>
          <w:sz w:val="21"/>
          <w:szCs w:val="21"/>
        </w:rPr>
      </w:pPr>
      <w:r>
        <w:rPr>
          <w:rFonts w:hint="eastAsia" w:ascii="宋体" w:hAnsi="宋体" w:eastAsia="宋体" w:cs="宋体"/>
          <w:color w:val="000000"/>
          <w:sz w:val="21"/>
          <w:szCs w:val="21"/>
        </w:rPr>
        <w:t>3 判定规则</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3.1依据标准</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GB 18351-2017 车用乙醇汽油（E10）</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GB 19147-2016 车用柴油</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现行有效的企业标准、团体标准、地方标准及产品明示质量要求</w:t>
      </w:r>
    </w:p>
    <w:p>
      <w:pPr>
        <w:spacing w:line="440" w:lineRule="exact"/>
        <w:rPr>
          <w:rFonts w:hint="eastAsia" w:ascii="宋体" w:hAnsi="宋体" w:eastAsia="宋体" w:cs="宋体"/>
          <w:color w:val="000000"/>
          <w:sz w:val="21"/>
          <w:szCs w:val="21"/>
        </w:rPr>
      </w:pPr>
      <w:r>
        <w:rPr>
          <w:rFonts w:hint="eastAsia" w:ascii="宋体" w:hAnsi="宋体" w:eastAsia="宋体" w:cs="宋体"/>
          <w:color w:val="000000"/>
          <w:sz w:val="21"/>
          <w:szCs w:val="21"/>
        </w:rPr>
        <w:t>3.2判定原则</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经检验，检验项目全部合格，判定为被抽查产品所检项目未发现不合格；检验项目中任一项或一项以上不合格，判定为被抽查产品不合格。</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若被检产品明示的质量要求高于本细则中检验项目依据的标准要求时，应按被检产品明示的质量要求判定。</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若被检产品明示的质量要求低于本细则中检验项目依据的强制性标准要求时，应按照强制性标准要求判定。</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若被检产品明示的质量要求低于或包含本细则中检验项目依据的推荐性标准要求时，应以被检产品明示的质量要求判定。</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若被检产品明示的质量要求缺少本细则中检验项目依据的强制性标准要求时，应按照强制性标准要求判定。</w:t>
      </w:r>
    </w:p>
    <w:p>
      <w:pPr>
        <w:snapToGrid w:val="0"/>
        <w:spacing w:line="4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若被检产品明示的质量要求缺少本细则中检验项目依据的推荐性标准要求时，该项目不参与判定。</w:t>
      </w:r>
    </w:p>
    <w:p>
      <w:pPr>
        <w:spacing w:line="440" w:lineRule="exact"/>
        <w:rPr>
          <w:rFonts w:eastAsia="黑体"/>
          <w:color w:val="000000"/>
          <w:szCs w:val="21"/>
        </w:rPr>
      </w:pPr>
      <w:r>
        <w:rPr>
          <w:rFonts w:hint="eastAsia" w:eastAsia="黑体"/>
          <w:color w:val="000000"/>
          <w:szCs w:val="21"/>
        </w:rPr>
        <w:t>4 附则</w:t>
      </w:r>
    </w:p>
    <w:p>
      <w:pPr>
        <w:spacing w:line="440" w:lineRule="exact"/>
        <w:ind w:firstLine="420" w:firstLineChars="200"/>
        <w:rPr>
          <w:color w:val="000000"/>
          <w:szCs w:val="21"/>
        </w:rPr>
      </w:pPr>
      <w:r>
        <w:rPr>
          <w:rFonts w:hint="eastAsia"/>
          <w:color w:val="000000"/>
          <w:szCs w:val="21"/>
        </w:rPr>
        <w:t>本细则首次发布。</w:t>
      </w:r>
    </w:p>
    <w:p>
      <w:pPr>
        <w:snapToGrid w:val="0"/>
        <w:spacing w:line="440" w:lineRule="exact"/>
        <w:outlineLvl w:val="0"/>
        <w:rPr>
          <w:rFonts w:hint="eastAsia" w:ascii="宋体" w:hAnsi="宋体" w:eastAsia="宋体" w:cs="宋体"/>
          <w:color w:val="000000"/>
          <w:sz w:val="21"/>
          <w:szCs w:val="21"/>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WZjM2Y5ZTY5NzQ0NTU2ZDZiODNjNzk4Njc3NzgifQ=="/>
  </w:docVars>
  <w:rsids>
    <w:rsidRoot w:val="00172A27"/>
    <w:rsid w:val="00016D9B"/>
    <w:rsid w:val="00051A44"/>
    <w:rsid w:val="000729B5"/>
    <w:rsid w:val="00081CBD"/>
    <w:rsid w:val="000976DE"/>
    <w:rsid w:val="000C50F5"/>
    <w:rsid w:val="000F1591"/>
    <w:rsid w:val="00101D82"/>
    <w:rsid w:val="00102DDA"/>
    <w:rsid w:val="0012546E"/>
    <w:rsid w:val="0013287A"/>
    <w:rsid w:val="00137547"/>
    <w:rsid w:val="001433C6"/>
    <w:rsid w:val="00144057"/>
    <w:rsid w:val="00172A27"/>
    <w:rsid w:val="001809DD"/>
    <w:rsid w:val="001855BA"/>
    <w:rsid w:val="00197BAE"/>
    <w:rsid w:val="001C6A07"/>
    <w:rsid w:val="001D3109"/>
    <w:rsid w:val="001D49E8"/>
    <w:rsid w:val="001E4E00"/>
    <w:rsid w:val="001F3E3E"/>
    <w:rsid w:val="002113D6"/>
    <w:rsid w:val="002147F9"/>
    <w:rsid w:val="00215AFD"/>
    <w:rsid w:val="0022340E"/>
    <w:rsid w:val="00223A95"/>
    <w:rsid w:val="00231C51"/>
    <w:rsid w:val="00253624"/>
    <w:rsid w:val="0026461E"/>
    <w:rsid w:val="00287EF0"/>
    <w:rsid w:val="0029246D"/>
    <w:rsid w:val="002B5129"/>
    <w:rsid w:val="002B58C6"/>
    <w:rsid w:val="002C63C1"/>
    <w:rsid w:val="002C6CA1"/>
    <w:rsid w:val="002D7F8A"/>
    <w:rsid w:val="002E0D1D"/>
    <w:rsid w:val="00313C61"/>
    <w:rsid w:val="003203A3"/>
    <w:rsid w:val="00363C91"/>
    <w:rsid w:val="00375584"/>
    <w:rsid w:val="0039563A"/>
    <w:rsid w:val="00396460"/>
    <w:rsid w:val="003B4FEA"/>
    <w:rsid w:val="003C388C"/>
    <w:rsid w:val="003D0343"/>
    <w:rsid w:val="003D183B"/>
    <w:rsid w:val="003E09EF"/>
    <w:rsid w:val="003E61BF"/>
    <w:rsid w:val="003F458F"/>
    <w:rsid w:val="003F6538"/>
    <w:rsid w:val="00406311"/>
    <w:rsid w:val="00406938"/>
    <w:rsid w:val="004125CF"/>
    <w:rsid w:val="00412C35"/>
    <w:rsid w:val="004214EE"/>
    <w:rsid w:val="00445E86"/>
    <w:rsid w:val="00462666"/>
    <w:rsid w:val="00474E04"/>
    <w:rsid w:val="004D0C5A"/>
    <w:rsid w:val="004E1396"/>
    <w:rsid w:val="004E76F2"/>
    <w:rsid w:val="004F3826"/>
    <w:rsid w:val="004F768D"/>
    <w:rsid w:val="00524E96"/>
    <w:rsid w:val="0053455A"/>
    <w:rsid w:val="00560D4B"/>
    <w:rsid w:val="00563EBC"/>
    <w:rsid w:val="00567E62"/>
    <w:rsid w:val="0057761C"/>
    <w:rsid w:val="00594F55"/>
    <w:rsid w:val="005D229C"/>
    <w:rsid w:val="005E3204"/>
    <w:rsid w:val="005E5DB3"/>
    <w:rsid w:val="006116A8"/>
    <w:rsid w:val="00627F7A"/>
    <w:rsid w:val="00653840"/>
    <w:rsid w:val="006615FF"/>
    <w:rsid w:val="006F011A"/>
    <w:rsid w:val="006F0971"/>
    <w:rsid w:val="00701B21"/>
    <w:rsid w:val="0072334C"/>
    <w:rsid w:val="00730A60"/>
    <w:rsid w:val="00764C53"/>
    <w:rsid w:val="00767B1C"/>
    <w:rsid w:val="007742D7"/>
    <w:rsid w:val="007A1420"/>
    <w:rsid w:val="007A2257"/>
    <w:rsid w:val="007B12F3"/>
    <w:rsid w:val="007C147B"/>
    <w:rsid w:val="007C6502"/>
    <w:rsid w:val="007F4955"/>
    <w:rsid w:val="008240CA"/>
    <w:rsid w:val="00852FF8"/>
    <w:rsid w:val="00891129"/>
    <w:rsid w:val="00895BEA"/>
    <w:rsid w:val="008A3497"/>
    <w:rsid w:val="00917A54"/>
    <w:rsid w:val="00927984"/>
    <w:rsid w:val="0094339A"/>
    <w:rsid w:val="0095133A"/>
    <w:rsid w:val="0096318A"/>
    <w:rsid w:val="0097745E"/>
    <w:rsid w:val="00977EBB"/>
    <w:rsid w:val="00997A03"/>
    <w:rsid w:val="009A4CAB"/>
    <w:rsid w:val="009A57DD"/>
    <w:rsid w:val="009B32B1"/>
    <w:rsid w:val="009B367E"/>
    <w:rsid w:val="009F56A2"/>
    <w:rsid w:val="009F793F"/>
    <w:rsid w:val="00A04746"/>
    <w:rsid w:val="00A04F1B"/>
    <w:rsid w:val="00A0626C"/>
    <w:rsid w:val="00A43553"/>
    <w:rsid w:val="00A44D4F"/>
    <w:rsid w:val="00A65346"/>
    <w:rsid w:val="00A66F1E"/>
    <w:rsid w:val="00A7473C"/>
    <w:rsid w:val="00A77736"/>
    <w:rsid w:val="00A81ADD"/>
    <w:rsid w:val="00AA726A"/>
    <w:rsid w:val="00AC2CAE"/>
    <w:rsid w:val="00AC607C"/>
    <w:rsid w:val="00B00694"/>
    <w:rsid w:val="00B00DE3"/>
    <w:rsid w:val="00B274FE"/>
    <w:rsid w:val="00B33292"/>
    <w:rsid w:val="00B33720"/>
    <w:rsid w:val="00B836D9"/>
    <w:rsid w:val="00B9594F"/>
    <w:rsid w:val="00BE622B"/>
    <w:rsid w:val="00C21724"/>
    <w:rsid w:val="00C23383"/>
    <w:rsid w:val="00C26074"/>
    <w:rsid w:val="00C66025"/>
    <w:rsid w:val="00C73D74"/>
    <w:rsid w:val="00C76F35"/>
    <w:rsid w:val="00C83B0A"/>
    <w:rsid w:val="00C97814"/>
    <w:rsid w:val="00CB70C1"/>
    <w:rsid w:val="00CE1E0C"/>
    <w:rsid w:val="00CE277E"/>
    <w:rsid w:val="00CF0C5C"/>
    <w:rsid w:val="00CF689D"/>
    <w:rsid w:val="00D31DFB"/>
    <w:rsid w:val="00D56867"/>
    <w:rsid w:val="00D80DDD"/>
    <w:rsid w:val="00D85F42"/>
    <w:rsid w:val="00D95FFC"/>
    <w:rsid w:val="00DC32E9"/>
    <w:rsid w:val="00DD5413"/>
    <w:rsid w:val="00DF42F8"/>
    <w:rsid w:val="00E0268F"/>
    <w:rsid w:val="00E02A7F"/>
    <w:rsid w:val="00E04597"/>
    <w:rsid w:val="00E07880"/>
    <w:rsid w:val="00E51793"/>
    <w:rsid w:val="00E569FB"/>
    <w:rsid w:val="00E64F05"/>
    <w:rsid w:val="00E768AF"/>
    <w:rsid w:val="00E82621"/>
    <w:rsid w:val="00EA1024"/>
    <w:rsid w:val="00F0302D"/>
    <w:rsid w:val="00F065AF"/>
    <w:rsid w:val="00F137ED"/>
    <w:rsid w:val="00F3337A"/>
    <w:rsid w:val="00F40E5C"/>
    <w:rsid w:val="00F72933"/>
    <w:rsid w:val="00F77C9A"/>
    <w:rsid w:val="00F82B50"/>
    <w:rsid w:val="00F90BD3"/>
    <w:rsid w:val="00F974B9"/>
    <w:rsid w:val="00FA288B"/>
    <w:rsid w:val="00FA2EEC"/>
    <w:rsid w:val="00FA6E5D"/>
    <w:rsid w:val="00FB46E4"/>
    <w:rsid w:val="00FB576C"/>
    <w:rsid w:val="00FC5774"/>
    <w:rsid w:val="00FC62C6"/>
    <w:rsid w:val="00FD2AA6"/>
    <w:rsid w:val="00FD46D3"/>
    <w:rsid w:val="00FE06AC"/>
    <w:rsid w:val="00FE398F"/>
    <w:rsid w:val="00FE7E8A"/>
    <w:rsid w:val="00FF4EBD"/>
    <w:rsid w:val="0F9C35D5"/>
    <w:rsid w:val="163A0D2F"/>
    <w:rsid w:val="18976EFD"/>
    <w:rsid w:val="19F92035"/>
    <w:rsid w:val="21BE0B31"/>
    <w:rsid w:val="26953693"/>
    <w:rsid w:val="2C5011AF"/>
    <w:rsid w:val="3B2114B5"/>
    <w:rsid w:val="3CE04743"/>
    <w:rsid w:val="41F533E2"/>
    <w:rsid w:val="4CCB74A0"/>
    <w:rsid w:val="52C62630"/>
    <w:rsid w:val="52D75678"/>
    <w:rsid w:val="58E01A9D"/>
    <w:rsid w:val="59C4761D"/>
    <w:rsid w:val="607640FA"/>
    <w:rsid w:val="689E68D6"/>
    <w:rsid w:val="734821D5"/>
    <w:rsid w:val="7B9C782C"/>
    <w:rsid w:val="7E3E3F91"/>
    <w:rsid w:val="7E6C7A4A"/>
    <w:rsid w:val="D395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link w:val="4"/>
    <w:semiHidden/>
    <w:qFormat/>
    <w:uiPriority w:val="99"/>
    <w:rPr>
      <w:kern w:val="2"/>
      <w:sz w:val="18"/>
      <w:szCs w:val="18"/>
    </w:rPr>
  </w:style>
  <w:style w:type="character" w:customStyle="1" w:styleId="9">
    <w:name w:val="页脚 Char"/>
    <w:link w:val="3"/>
    <w:qFormat/>
    <w:uiPriority w:val="99"/>
    <w:rPr>
      <w:kern w:val="2"/>
      <w:sz w:val="18"/>
      <w:szCs w:val="18"/>
    </w:rPr>
  </w:style>
  <w:style w:type="character" w:customStyle="1" w:styleId="10">
    <w:name w:val="批注框文本 Char"/>
    <w:link w:val="2"/>
    <w:semiHidden/>
    <w:qFormat/>
    <w:uiPriority w:val="99"/>
    <w:rPr>
      <w:kern w:val="2"/>
      <w:sz w:val="18"/>
      <w:szCs w:val="18"/>
    </w:rPr>
  </w:style>
  <w:style w:type="paragraph" w:customStyle="1" w:styleId="11">
    <w:name w:val="Revision"/>
    <w:unhideWhenUsed/>
    <w:uiPriority w:val="99"/>
    <w:rPr>
      <w:rFonts w:ascii="Times New Roman" w:hAnsi="Times New Roman" w:eastAsia="宋体" w:cs="Times New Roman"/>
      <w:kern w:val="2"/>
      <w:sz w:val="21"/>
      <w:szCs w:val="24"/>
      <w:lang w:val="en-US" w:eastAsia="zh-CN" w:bidi="ar-SA"/>
    </w:rPr>
  </w:style>
  <w:style w:type="paragraph" w:customStyle="1" w:styleId="12">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3</Pages>
  <Words>882</Words>
  <Characters>1424</Characters>
  <Lines>21</Lines>
  <Paragraphs>5</Paragraphs>
  <TotalTime>8</TotalTime>
  <ScaleCrop>false</ScaleCrop>
  <LinksUpToDate>false</LinksUpToDate>
  <CharactersWithSpaces>1477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2023-06-20T09:26:00Z</dcterms:created>
  <dc:creator>Legend User</dc:creator>
  <cp:lastModifiedBy>陈桂红</cp:lastModifiedBy>
  <cp:lastPrinted>2024-09-03T14:00:00Z</cp:lastPrinted>
  <dcterms:modified xsi:type="dcterms:W3CDTF">2024-09-04T10:58:47Z</dcterms:modified>
  <dc:title>××产品质量监督抽查实施细则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SaveFontToCloudKey">
    <vt:lpwstr>436103288_btnclosed</vt:lpwstr>
  </property>
  <property fmtid="{D5CDD505-2E9C-101B-9397-08002B2CF9AE}" pid="4" name="ICV">
    <vt:lpwstr>2E4CCDB48CD34ECF805D649C60FFA6DF</vt:lpwstr>
  </property>
</Properties>
</file>