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天津市宝坻区市场监督管理局（本级）</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7"/>
          <w:headerReference w:type="default" r:id="rId38"/>
          <w:headerReference w:type="first" r:id="rId39"/>
          <w:footerReference w:type="even" r:id="rId40"/>
          <w:footerReference w:type="default" r:id="rId41"/>
          <w:footerReference w:type="firs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3"/>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198055373"/>
      <w:bookmarkStart w:id="2" w:name="_Toc1358716097"/>
      <w:bookmarkStart w:id="3" w:name="_Toc403062085"/>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101039957"/>
      <w:bookmarkStart w:id="5" w:name="_Toc909979739"/>
      <w:bookmarkStart w:id="6" w:name="_Toc1747823728"/>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天津市宝坻区市场监督管理局（本级）</w:t>
      </w:r>
      <w:r>
        <w:rPr>
          <w:rFonts w:ascii="仿宋_GB2312" w:eastAsia="仿宋_GB2312" w:hint="eastAsia"/>
          <w:sz w:val="30"/>
          <w:szCs w:val="30"/>
        </w:rPr>
        <w:t xml:space="preserve">的主要职责是：</w:t>
      </w:r>
      <w:r>
        <w:rPr>
          <w:rFonts w:ascii="仿宋_GB2312" w:eastAsia="仿宋_GB2312" w:hint="eastAsia"/>
          <w:sz w:val="30"/>
          <w:szCs w:val="30"/>
        </w:rPr>
        <w:t xml:space="preserve">（一）负责市场综合监督管理。贯彻执行国家和本市有关市场监督管理方面法律、法规、规章和政策、标准，落实质量强国战略、质量立市战略、质量立区战略和食品安全战略、标准化战略，落实有关市场监管规划、计划，规范和维护市场秩序，营造诚实守信、公平竞争的市场环境。 （二）负责本区市场主体统一登记注册。依职责权限负责本区各类企业、农民专业合作社、个体工商户以及从事经营活动的单位等市场主体的登记注册和监督管理工作。牵头推动本区市场主体信息公示和共享工作，依法公示和共享有关信息，加强信用监督，推动市场主体信用体系建设。 （三）负责本区市场监管综合执法工作。负责区局市场监管综合执法队伍建设，查处违法案件。规范市场监管行政执法行为。 （四）依委托开展反垄断执法工作。推进本区竞争政策实施，贯彻落实公平竞争审查制度。配合对经营者集中行为进行反垄断审查，依委托开展垄断协议、滥用市场支配地位和滥用行政权力排除、限制竞争等反垄断执法调查工作。指导本区企业在国外的反垄断应诉工作。 （五）负责监督管理市场秩序。依法监督管理市场交易、网络商品交易及有关服务的行为。依法实施合同、拍卖行为监督管理，管理动产抵押物登记工作。查处不正当竞争、违法直销、传销、侵犯商标专利知识产权和制售假冒伪劣行为。指导本区广告业发展，监督管理广告活动。组织查处无照生产经营和相关无证生产经营行为。指导区消费者协会开展消费维权工作。 （六）负责宏观质量管理。组织实施质量发展的制度措施，统筹本区质量基础设施建设与应用。会同有关部门组织实施重大工程设备质量监理制度，组织重大产品质量事故调查，实施缺陷产品召回制度，监督管理产品防伪工作。 （七）负责产品质量安全监督管理。负责产品质量安全风险监控、监督抽检工作。实施质量分级制度、质量安全追溯制度。负责工业产品生产管理并实施监督。 （八）负责特种设备安全监督管理。综合管理特种设备安全监察、监督工作，监督检查高耗能特种设备节能标准和锅炉环境保护标准的执行情况。 （九）负责食品安全监督管理综合协调。组织制定本区食品安全重大政策并组织实施。负责本区食品安全应急体系建设，负责重大食品安全事件应急处置和调查处理工作。建立健全本区食品安全重要信息直报制度。承担宝坻区食品安全委员会日常工作。 （十）负责食品安全监督管理。建立本区覆盖食品生产、流通、消费全过程的监督检查制度和隐患排查治理机制并组织实施，防范区域性、系统性食品安全风险。推动建立食品生产经营者落实主体责任的机制，健全食品安全追溯体系。配合开展食品安全监督抽检、风险监测、检查处置和风险预警、风险交流工作，定期发布相关信息。负责特殊食品监督管理。负责食盐生产及经营的质量安全监督管理工作。 （十一）负责统一管理计量工作。推行法定计量单位和国家计量制度，依法管理计量器具及量值传递和比对工作，规范、监督商品量和市场计量行为。 （十二）负责标准化工作。配合建立标准实施信息反馈和评估机制并组织实施。依法协调指导和监督团体标准、企业标准制定工作。负责本区法人和其他组织统一社会信用代码相关工作。负责商品条码管理工作。 （十三）负责本区检验检测机构监督管理工作。配合推进检验检测机构改革，规范检验检测市场，完善检验检测体系，促进本区检验检测行业发展。 （十四）负责管理、监督本区认证认可工作。配合认证认可和合格评定监督管理工作。 （十五）负责价格监督管理工作。负责依法对价格活动进行监督检查，规范市场价格秩序。对违反价格管理的违法违规行为进行处罚。处理价格举报、投诉。 （十六）负责药品零售、医疗器械经营的许可、检查和处罚，以及化妆品经营和药品、医疗器械使用环节质量的检查和处罚。 （十七）负责贯彻执行国家有关商标、专利、原产地地理标志、集成电路布图设计等知识产权方面的法律法规，拟定本区管理办法并组织实施。贯彻国家知识产权战略，拟订和组织实施本区知识产权规划。拟定加强知识产权强区建设的发展规划。拟定和组织实施强化本区知识产权创造、保护和使用的管理制度。 （十八）负责知识产权保护、促进知识产权运用工作。组织实施国家严格保护商标、专利、原产地地理标志、集成电路布图设计等知识产权的制度。推动建设知识产权保护体系建设，负责商标、专利执法和知识产权争议处理、维权援助和纠纷调处工作。负责组织实施知识产权运用和规范交易的政策，促进知识产权转移转化，规范知识产权无形资产评估工作。负责组织实施原产地地理标志统一认定制度。推动商标、专利等知识产权信息的传播利用。负责知识产权宣传和培训。负责本区涉外知识产权事宜，开展知识产权工作的国际合作与交流活动。 （十九）负责开展市场监督管理的科技发展和信息化建设。负责本区市场监督管理相关的新闻宣传、教育培训、对外合作交流和信息发布工作，按规定承担技术性贸易措施有关工作。 （二十）负责本领域安全生产监督管理工作。 （二十一）配合有关部门推动招商引资工作。 （二十二）负责市场监管体系人才队伍建设工作。 （二十三）承办区委、区政府交办的其他事项。 （二十四）职能转变。 1．大力推进质量提升。加强全面质量管理和本区质量基础设施体系建设，完善质量激励制度，推进品牌建设。以标准化促进质量强区建设。 2．深入推进简政放权。深化商事制度改革，配合推进企业名称核准、市场主体退出等改革，配合推进“证照分离”改革，压缩企业开办时间。配合检验检测机构市场化社会化改革。进一步减少评比达标、认定奖励、示范创建等活动。 3．严守安全底线。遵循“最严谨的标准、最严格的监管、最严厉的处罚、最严肃的问责”要求，依法加强食品安全、工业产品质量安全、特种设备安全监管，强化现场检查，严惩违法违规行为，有效防范系统性风险，让人民群众买得放心、用得放心、吃得放心。 4．加强事中事后监管。加快清理废除妨碍统一市场和公平竞争的各种规定和做法，加强反垄断、反不正当竞争统一执法。强化依据标准监管，强化风险管理，全面推行“双随机、一公开”和“互联网+监管”，加快推进监管信息共享，构建以信息公示为手段，以信用监管为核心的新型市场监管体系。 5．提高服务水平。推进市场主体准入到退出全过程便利化，主动服务新技术新产业新业态新模式发展，运用大数据加强对市场主体服务，积极服务个体工商户、私营企业和办事群众，促进大众创业、万众创新。 6．进一步整合资源、优化流程，有效利用信息化手段，提升专利代办服务便利化水平。 7．提高全社会知识产权保护和风险防范意识，加强对专利侵权纠纷的裁决和对专利纠纷的调处工作，规范商标注册行为，维护权利人合法权益。 （二十五）有关职责分工。 1．与公安分局的有关职责分工。区市场监管局与公安分局建立行政执法和刑事司法工作衔接机制。区市场监管局发现违法行为涉嫌犯罪的，应当按照有关规定及时移送公安分局。公安分局应当迅速进行审查，并依法作出立案或者不予立案的决定。公安分局依法提请区市场监管局作出检验、鉴定、认定等协助的，区市场监管局应当予以协助。 2．与区农业农村委的有关职责分工。（1）区农业农村委负责食用农产品从种植养殖环节到进入批发、零售市场和生产加工企业前的质量安全监督管理。食用农产品进入批发、零售市场和生产加工企业后，由区市场监管局监督管理。（2）区农业农村委负责动植物疫病防控、畜禽屠宰环节、生鲜乳收购环节质量安全的监督管理。（3）两部门要加强落实食品安全产地准出、市场准入和追溯机制，加强协调配合和工作衔接，形成监管合力。 3．与区卫生健康委的有关职责分工。区卫生健康委负责食品安全风险监测工作，会同区市场监管局等部门制定、实施本区食品安全风险监测方案。区卫生健康委对通过食品安全风险监测发现可能存在食品安全隐患的，应当及时将相关信息通报区市场监管局，并报告区政府和市卫生健康委，区市场监管局应当组织开展进一步调查。 4．与区工业和信息化局的有关职责分工。区工业和信息化局依职责负责与食盐专营有关的许可检查。区市场监管局依职权负责食盐质量安全的监督管理及有关的检查和处罚。两部门应当各司其职，加强协作，相互配合，通过政务信息系统等实现信息共享，建立健全行政执法协作配合制度。 5．与区发展改革委、区农业农村委的有关责任分工。区农业农村委负责粮食生产环节的质量安全监管。区发展改革委负责粮食（含食用油）收购、储存、运输环节和政策性用粮购销活动中的粮食质量安全和粮食卫生的监督管理。区市场监管局负责粮食（含食用油）进入批发、零售市场和生产加工企业后的质量安全监督管理</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98423086"/>
      <w:bookmarkStart w:id="9" w:name="_Toc311971100"/>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天津市宝坻区市场监督管理局（本级）内设22个职能科室</w:t>
      </w:r>
      <w:r>
        <w:rPr>
          <w:rFonts w:ascii="仿宋_GB2312" w:eastAsia="仿宋_GB2312" w:hint="eastAsia"/>
          <w:sz w:val="30"/>
          <w:szCs w:val="30"/>
        </w:rPr>
        <w:t xml:space="preserve">；纳入</w:t>
      </w:r>
      <w:r>
        <w:rPr>
          <w:rFonts w:ascii="仿宋_GB2312" w:eastAsia="仿宋_GB2312" w:hint="eastAsia"/>
          <w:sz w:val="30"/>
          <w:szCs w:val="30"/>
        </w:rPr>
        <w:t xml:space="preserve">天津市宝坻区市场监督管理局（本级）</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1.天津市宝坻区市场监督管理局（本级）。</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4"/>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80,721,070.70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70,557,634.42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8,292,824.35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3,220,328.51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80,721,070.70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82,070,787.28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2,673,484.11</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1,323,767.53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2,673,484.11</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83,394,554.81</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83,394,554.81</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80,721,070.70</w:t>
            </w:r>
          </w:p>
        </w:tc>
        <w:tc>
          <w:tcPr>
            <w:tcW w:w="1240" w:type="dxa"/>
            <w:tcBorders/>
            <w:vAlign w:val="center"/>
          </w:tcPr>
          <w:p>
            <w:pPr>
              <w:snapToGrid w:val="0"/>
              <w:jc w:val="right"/>
            </w:pPr>
            <w:r>
              <w:rPr>
                <w:rFonts w:ascii="宋体" w:eastAsia="宋体" w:hAnsi="宋体" w:cs="宋体"/>
                <w:b w:val="0"/>
                <w:i w:val="0"/>
                <w:color w:val="000000"/>
                <w:sz w:val="14"/>
              </w:rPr>
              <w:t xml:space="preserve">80,721,070.70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69,241,063.97</w:t>
            </w:r>
          </w:p>
        </w:tc>
        <w:tc>
          <w:tcPr>
            <w:tcW w:w="1240" w:type="dxa"/>
            <w:tcBorders/>
            <w:vAlign w:val="center"/>
          </w:tcPr>
          <w:p>
            <w:pPr>
              <w:snapToGrid w:val="0"/>
              <w:jc w:val="right"/>
            </w:pPr>
            <w:r>
              <w:rPr>
                <w:rFonts w:ascii="宋体" w:eastAsia="宋体" w:hAnsi="宋体" w:cs="宋体"/>
                <w:b w:val="0"/>
                <w:i w:val="0"/>
                <w:color w:val="000000"/>
                <w:sz w:val="14"/>
              </w:rPr>
              <w:t xml:space="preserve">69,241,063.97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w:t>
            </w:r>
          </w:p>
        </w:tc>
        <w:tc>
          <w:tcPr>
            <w:tcW w:w="2520" w:type="dxa"/>
            <w:tcBorders/>
            <w:vAlign w:val="center"/>
          </w:tcPr>
          <w:p>
            <w:pPr>
              <w:snapToGrid w:val="0"/>
              <w:jc w:val="left"/>
            </w:pPr>
            <w:r>
              <w:rPr>
                <w:rFonts w:ascii="宋体" w:eastAsia="宋体" w:hAnsi="宋体" w:cs="宋体"/>
                <w:b w:val="0"/>
                <w:i w:val="0"/>
                <w:color w:val="000000"/>
                <w:sz w:val="14"/>
              </w:rPr>
              <w:t xml:space="preserve">市场监督管理事务</w:t>
            </w:r>
          </w:p>
        </w:tc>
        <w:tc>
          <w:tcPr>
            <w:tcW w:w="1240" w:type="dxa"/>
            <w:tcBorders/>
            <w:vAlign w:val="center"/>
          </w:tcPr>
          <w:p>
            <w:pPr>
              <w:snapToGrid w:val="0"/>
              <w:jc w:val="right"/>
            </w:pPr>
            <w:r>
              <w:rPr>
                <w:rFonts w:ascii="宋体" w:eastAsia="宋体" w:hAnsi="宋体" w:cs="宋体"/>
                <w:b w:val="0"/>
                <w:i w:val="0"/>
                <w:color w:val="000000"/>
                <w:sz w:val="14"/>
              </w:rPr>
              <w:t xml:space="preserve">69,241,063.97</w:t>
            </w:r>
          </w:p>
        </w:tc>
        <w:tc>
          <w:tcPr>
            <w:tcW w:w="1240" w:type="dxa"/>
            <w:tcBorders/>
            <w:vAlign w:val="center"/>
          </w:tcPr>
          <w:p>
            <w:pPr>
              <w:snapToGrid w:val="0"/>
              <w:jc w:val="right"/>
            </w:pPr>
            <w:r>
              <w:rPr>
                <w:rFonts w:ascii="宋体" w:eastAsia="宋体" w:hAnsi="宋体" w:cs="宋体"/>
                <w:b w:val="0"/>
                <w:i w:val="0"/>
                <w:color w:val="000000"/>
                <w:sz w:val="14"/>
              </w:rPr>
              <w:t xml:space="preserve">69,241,063.97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61,429,851.11</w:t>
            </w:r>
          </w:p>
        </w:tc>
        <w:tc>
          <w:tcPr>
            <w:tcW w:w="1240" w:type="dxa"/>
            <w:tcBorders/>
            <w:vAlign w:val="center"/>
          </w:tcPr>
          <w:p>
            <w:pPr>
              <w:snapToGrid w:val="0"/>
              <w:jc w:val="right"/>
            </w:pPr>
            <w:r>
              <w:rPr>
                <w:rFonts w:ascii="宋体" w:eastAsia="宋体" w:hAnsi="宋体" w:cs="宋体"/>
                <w:b w:val="0"/>
                <w:i w:val="0"/>
                <w:color w:val="000000"/>
                <w:sz w:val="14"/>
              </w:rPr>
              <w:t xml:space="preserve">61,429,851.11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2,665,712.86</w:t>
            </w:r>
          </w:p>
        </w:tc>
        <w:tc>
          <w:tcPr>
            <w:tcW w:w="1240" w:type="dxa"/>
            <w:tcBorders/>
            <w:vAlign w:val="center"/>
          </w:tcPr>
          <w:p>
            <w:pPr>
              <w:snapToGrid w:val="0"/>
              <w:jc w:val="right"/>
            </w:pPr>
            <w:r>
              <w:rPr>
                <w:rFonts w:ascii="宋体" w:eastAsia="宋体" w:hAnsi="宋体" w:cs="宋体"/>
                <w:b w:val="0"/>
                <w:i w:val="0"/>
                <w:color w:val="000000"/>
                <w:sz w:val="14"/>
              </w:rPr>
              <w:t xml:space="preserve">2,665,712.86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2013899</w:t>
            </w:r>
          </w:p>
        </w:tc>
        <w:tc>
          <w:tcPr>
            <w:tcW w:w="2520" w:type="dxa"/>
            <w:tcBorders/>
            <w:vAlign w:val="center"/>
          </w:tcPr>
          <w:p>
            <w:pPr>
              <w:snapToGrid w:val="0"/>
              <w:jc w:val="left"/>
            </w:pPr>
            <w:r>
              <w:rPr>
                <w:rFonts w:ascii="宋体" w:eastAsia="宋体" w:hAnsi="宋体" w:cs="宋体"/>
                <w:b w:val="0"/>
                <w:i w:val="0"/>
                <w:color w:val="000000"/>
                <w:sz w:val="14"/>
              </w:rPr>
              <w:t xml:space="preserve">其他市场监督管理事务</w:t>
            </w:r>
          </w:p>
        </w:tc>
        <w:tc>
          <w:tcPr>
            <w:tcW w:w="1240" w:type="dxa"/>
            <w:tcBorders/>
            <w:vAlign w:val="center"/>
          </w:tcPr>
          <w:p>
            <w:pPr>
              <w:snapToGrid w:val="0"/>
              <w:jc w:val="right"/>
            </w:pPr>
            <w:r>
              <w:rPr>
                <w:rFonts w:ascii="宋体" w:eastAsia="宋体" w:hAnsi="宋体" w:cs="宋体"/>
                <w:b w:val="0"/>
                <w:i w:val="0"/>
                <w:color w:val="000000"/>
                <w:sz w:val="14"/>
              </w:rPr>
              <w:t xml:space="preserve">5,145,500.00</w:t>
            </w:r>
          </w:p>
        </w:tc>
        <w:tc>
          <w:tcPr>
            <w:tcW w:w="1240" w:type="dxa"/>
            <w:tcBorders/>
            <w:vAlign w:val="center"/>
          </w:tcPr>
          <w:p>
            <w:pPr>
              <w:snapToGrid w:val="0"/>
              <w:jc w:val="right"/>
            </w:pPr>
            <w:r>
              <w:rPr>
                <w:rFonts w:ascii="宋体" w:eastAsia="宋体" w:hAnsi="宋体" w:cs="宋体"/>
                <w:b w:val="0"/>
                <w:i w:val="0"/>
                <w:color w:val="000000"/>
                <w:sz w:val="14"/>
              </w:rPr>
              <w:t xml:space="preserve">5,145,500.00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8,278,337.86</w:t>
            </w:r>
          </w:p>
        </w:tc>
        <w:tc>
          <w:tcPr>
            <w:tcW w:w="1240" w:type="dxa"/>
            <w:tcBorders/>
            <w:vAlign w:val="center"/>
          </w:tcPr>
          <w:p>
            <w:pPr>
              <w:snapToGrid w:val="0"/>
              <w:jc w:val="right"/>
            </w:pPr>
            <w:r>
              <w:rPr>
                <w:rFonts w:ascii="宋体" w:eastAsia="宋体" w:hAnsi="宋体" w:cs="宋体"/>
                <w:b w:val="0"/>
                <w:i w:val="0"/>
                <w:color w:val="000000"/>
                <w:sz w:val="14"/>
              </w:rPr>
              <w:t xml:space="preserve">8,278,337.86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6,869,337.60</w:t>
            </w:r>
          </w:p>
        </w:tc>
        <w:tc>
          <w:tcPr>
            <w:tcW w:w="1240" w:type="dxa"/>
            <w:tcBorders/>
            <w:vAlign w:val="center"/>
          </w:tcPr>
          <w:p>
            <w:pPr>
              <w:snapToGrid w:val="0"/>
              <w:jc w:val="right"/>
            </w:pPr>
            <w:r>
              <w:rPr>
                <w:rFonts w:ascii="宋体" w:eastAsia="宋体" w:hAnsi="宋体" w:cs="宋体"/>
                <w:b w:val="0"/>
                <w:i w:val="0"/>
                <w:color w:val="000000"/>
                <w:sz w:val="14"/>
              </w:rPr>
              <w:t xml:space="preserve">6,869,337.60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4,580,058.40</w:t>
            </w:r>
          </w:p>
        </w:tc>
        <w:tc>
          <w:tcPr>
            <w:tcW w:w="1240" w:type="dxa"/>
            <w:tcBorders/>
            <w:vAlign w:val="center"/>
          </w:tcPr>
          <w:p>
            <w:pPr>
              <w:snapToGrid w:val="0"/>
              <w:jc w:val="right"/>
            </w:pPr>
            <w:r>
              <w:rPr>
                <w:rFonts w:ascii="宋体" w:eastAsia="宋体" w:hAnsi="宋体" w:cs="宋体"/>
                <w:b w:val="0"/>
                <w:i w:val="0"/>
                <w:color w:val="000000"/>
                <w:sz w:val="14"/>
              </w:rPr>
              <w:t xml:space="preserve">4,580,058.40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2,289,279.20</w:t>
            </w:r>
          </w:p>
        </w:tc>
        <w:tc>
          <w:tcPr>
            <w:tcW w:w="1240" w:type="dxa"/>
            <w:tcBorders/>
            <w:vAlign w:val="center"/>
          </w:tcPr>
          <w:p>
            <w:pPr>
              <w:snapToGrid w:val="0"/>
              <w:jc w:val="right"/>
            </w:pPr>
            <w:r>
              <w:rPr>
                <w:rFonts w:ascii="宋体" w:eastAsia="宋体" w:hAnsi="宋体" w:cs="宋体"/>
                <w:b w:val="0"/>
                <w:i w:val="0"/>
                <w:color w:val="000000"/>
                <w:sz w:val="14"/>
              </w:rPr>
              <w:t xml:space="preserve">2,289,279.20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20809</w:t>
            </w:r>
          </w:p>
        </w:tc>
        <w:tc>
          <w:tcPr>
            <w:tcW w:w="2520" w:type="dxa"/>
            <w:tcBorders/>
            <w:vAlign w:val="center"/>
          </w:tcPr>
          <w:p>
            <w:pPr>
              <w:snapToGrid w:val="0"/>
              <w:jc w:val="left"/>
            </w:pPr>
            <w:r>
              <w:rPr>
                <w:rFonts w:ascii="宋体" w:eastAsia="宋体" w:hAnsi="宋体" w:cs="宋体"/>
                <w:b w:val="0"/>
                <w:i w:val="0"/>
                <w:color w:val="000000"/>
                <w:sz w:val="14"/>
              </w:rPr>
              <w:t xml:space="preserve">退役安置</w:t>
            </w:r>
          </w:p>
        </w:tc>
        <w:tc>
          <w:tcPr>
            <w:tcW w:w="1240" w:type="dxa"/>
            <w:tcBorders/>
            <w:vAlign w:val="center"/>
          </w:tcPr>
          <w:p>
            <w:pPr>
              <w:snapToGrid w:val="0"/>
              <w:jc w:val="right"/>
            </w:pPr>
            <w:r>
              <w:rPr>
                <w:rFonts w:ascii="宋体" w:eastAsia="宋体" w:hAnsi="宋体" w:cs="宋体"/>
                <w:b w:val="0"/>
                <w:i w:val="0"/>
                <w:color w:val="000000"/>
                <w:sz w:val="14"/>
              </w:rPr>
              <w:t xml:space="preserve">1,409,000.26</w:t>
            </w:r>
          </w:p>
        </w:tc>
        <w:tc>
          <w:tcPr>
            <w:tcW w:w="1240" w:type="dxa"/>
            <w:tcBorders/>
            <w:vAlign w:val="center"/>
          </w:tcPr>
          <w:p>
            <w:pPr>
              <w:snapToGrid w:val="0"/>
              <w:jc w:val="right"/>
            </w:pPr>
            <w:r>
              <w:rPr>
                <w:rFonts w:ascii="宋体" w:eastAsia="宋体" w:hAnsi="宋体" w:cs="宋体"/>
                <w:b w:val="0"/>
                <w:i w:val="0"/>
                <w:color w:val="000000"/>
                <w:sz w:val="14"/>
              </w:rPr>
              <w:t xml:space="preserve">1,409,000.26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2080901</w:t>
            </w:r>
          </w:p>
        </w:tc>
        <w:tc>
          <w:tcPr>
            <w:tcW w:w="2520" w:type="dxa"/>
            <w:tcBorders/>
            <w:vAlign w:val="center"/>
          </w:tcPr>
          <w:p>
            <w:pPr>
              <w:snapToGrid w:val="0"/>
              <w:jc w:val="left"/>
            </w:pPr>
            <w:r>
              <w:rPr>
                <w:rFonts w:ascii="宋体" w:eastAsia="宋体" w:hAnsi="宋体" w:cs="宋体"/>
                <w:b w:val="0"/>
                <w:i w:val="0"/>
                <w:color w:val="000000"/>
                <w:sz w:val="14"/>
              </w:rPr>
              <w:t xml:space="preserve">退役士兵安置</w:t>
            </w:r>
          </w:p>
        </w:tc>
        <w:tc>
          <w:tcPr>
            <w:tcW w:w="1240" w:type="dxa"/>
            <w:tcBorders/>
            <w:vAlign w:val="center"/>
          </w:tcPr>
          <w:p>
            <w:pPr>
              <w:snapToGrid w:val="0"/>
              <w:jc w:val="right"/>
            </w:pPr>
            <w:r>
              <w:rPr>
                <w:rFonts w:ascii="宋体" w:eastAsia="宋体" w:hAnsi="宋体" w:cs="宋体"/>
                <w:b w:val="0"/>
                <w:i w:val="0"/>
                <w:color w:val="000000"/>
                <w:sz w:val="14"/>
              </w:rPr>
              <w:t xml:space="preserve">1,409,000.26</w:t>
            </w:r>
          </w:p>
        </w:tc>
        <w:tc>
          <w:tcPr>
            <w:tcW w:w="1240" w:type="dxa"/>
            <w:tcBorders/>
            <w:vAlign w:val="center"/>
          </w:tcPr>
          <w:p>
            <w:pPr>
              <w:snapToGrid w:val="0"/>
              <w:jc w:val="right"/>
            </w:pPr>
            <w:r>
              <w:rPr>
                <w:rFonts w:ascii="宋体" w:eastAsia="宋体" w:hAnsi="宋体" w:cs="宋体"/>
                <w:b w:val="0"/>
                <w:i w:val="0"/>
                <w:color w:val="000000"/>
                <w:sz w:val="14"/>
              </w:rPr>
              <w:t xml:space="preserve">1,409,000.26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3,201,668.87</w:t>
            </w:r>
          </w:p>
        </w:tc>
        <w:tc>
          <w:tcPr>
            <w:tcW w:w="1240" w:type="dxa"/>
            <w:tcBorders/>
            <w:vAlign w:val="center"/>
          </w:tcPr>
          <w:p>
            <w:pPr>
              <w:snapToGrid w:val="0"/>
              <w:jc w:val="right"/>
            </w:pPr>
            <w:r>
              <w:rPr>
                <w:rFonts w:ascii="宋体" w:eastAsia="宋体" w:hAnsi="宋体" w:cs="宋体"/>
                <w:b w:val="0"/>
                <w:i w:val="0"/>
                <w:color w:val="000000"/>
                <w:sz w:val="14"/>
              </w:rPr>
              <w:t xml:space="preserve">3,201,668.87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3,201,668.87</w:t>
            </w:r>
          </w:p>
        </w:tc>
        <w:tc>
          <w:tcPr>
            <w:tcW w:w="1240" w:type="dxa"/>
            <w:tcBorders/>
            <w:vAlign w:val="center"/>
          </w:tcPr>
          <w:p>
            <w:pPr>
              <w:snapToGrid w:val="0"/>
              <w:jc w:val="right"/>
            </w:pPr>
            <w:r>
              <w:rPr>
                <w:rFonts w:ascii="宋体" w:eastAsia="宋体" w:hAnsi="宋体" w:cs="宋体"/>
                <w:b w:val="0"/>
                <w:i w:val="0"/>
                <w:color w:val="000000"/>
                <w:sz w:val="14"/>
              </w:rPr>
              <w:t xml:space="preserve">3,201,668.87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2,722,062.75</w:t>
            </w:r>
          </w:p>
        </w:tc>
        <w:tc>
          <w:tcPr>
            <w:tcW w:w="1240" w:type="dxa"/>
            <w:tcBorders/>
            <w:vAlign w:val="center"/>
          </w:tcPr>
          <w:p>
            <w:pPr>
              <w:snapToGrid w:val="0"/>
              <w:jc w:val="right"/>
            </w:pPr>
            <w:r>
              <w:rPr>
                <w:rFonts w:ascii="宋体" w:eastAsia="宋体" w:hAnsi="宋体" w:cs="宋体"/>
                <w:b w:val="0"/>
                <w:i w:val="0"/>
                <w:color w:val="000000"/>
                <w:sz w:val="14"/>
              </w:rPr>
              <w:t xml:space="preserve">2,722,062.75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131,900.00</w:t>
            </w:r>
          </w:p>
        </w:tc>
        <w:tc>
          <w:tcPr>
            <w:tcW w:w="1240" w:type="dxa"/>
            <w:tcBorders/>
            <w:vAlign w:val="center"/>
          </w:tcPr>
          <w:p>
            <w:pPr>
              <w:snapToGrid w:val="0"/>
              <w:jc w:val="right"/>
            </w:pPr>
            <w:r>
              <w:rPr>
                <w:rFonts w:ascii="宋体" w:eastAsia="宋体" w:hAnsi="宋体" w:cs="宋体"/>
                <w:b w:val="0"/>
                <w:i w:val="0"/>
                <w:color w:val="000000"/>
                <w:sz w:val="14"/>
              </w:rPr>
              <w:t xml:space="preserve">131,900.00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347,706.12</w:t>
            </w:r>
          </w:p>
        </w:tc>
        <w:tc>
          <w:tcPr>
            <w:tcW w:w="1240" w:type="dxa"/>
            <w:tcBorders/>
            <w:vAlign w:val="center"/>
          </w:tcPr>
          <w:p>
            <w:pPr>
              <w:snapToGrid w:val="0"/>
              <w:jc w:val="right"/>
            </w:pPr>
            <w:r>
              <w:rPr>
                <w:rFonts w:ascii="宋体" w:eastAsia="宋体" w:hAnsi="宋体" w:cs="宋体"/>
                <w:b w:val="0"/>
                <w:i w:val="0"/>
                <w:color w:val="000000"/>
                <w:sz w:val="14"/>
              </w:rPr>
              <w:t xml:space="preserve">347,706.12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83,394,554.81</w:t>
            </w:r>
          </w:p>
        </w:tc>
        <w:tc>
          <w:tcPr>
            <w:tcW w:w="580" w:type="dxa"/>
            <w:tcBorders/>
            <w:vAlign w:val="center"/>
          </w:tcPr>
          <w:p>
            <w:pPr>
              <w:snapToGrid w:val="0"/>
              <w:jc w:val="right"/>
            </w:pPr>
            <w:r>
              <w:rPr>
                <w:rFonts w:ascii="宋体" w:eastAsia="宋体" w:hAnsi="宋体" w:cs="宋体"/>
                <w:b w:val="0"/>
                <w:i w:val="0"/>
                <w:color w:val="000000"/>
                <w:sz w:val="9"/>
              </w:rPr>
              <w:t xml:space="preserve">80,721,070.70</w:t>
            </w:r>
          </w:p>
        </w:tc>
        <w:tc>
          <w:tcPr>
            <w:tcW w:w="580" w:type="dxa"/>
            <w:tcBorders/>
            <w:vAlign w:val="center"/>
          </w:tcPr>
          <w:p>
            <w:pPr>
              <w:snapToGrid w:val="0"/>
              <w:jc w:val="right"/>
            </w:pPr>
            <w:r>
              <w:rPr>
                <w:rFonts w:ascii="宋体" w:eastAsia="宋体" w:hAnsi="宋体" w:cs="宋体"/>
                <w:b w:val="0"/>
                <w:i w:val="0"/>
                <w:color w:val="000000"/>
                <w:sz w:val="9"/>
              </w:rPr>
              <w:t xml:space="preserve">80,721,070.70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2,673,484.11</w:t>
            </w:r>
          </w:p>
        </w:tc>
        <w:tc>
          <w:tcPr>
            <w:tcW w:w="580" w:type="dxa"/>
            <w:tcBorders/>
            <w:vAlign w:val="center"/>
          </w:tcPr>
          <w:p>
            <w:pPr>
              <w:snapToGrid w:val="0"/>
              <w:jc w:val="right"/>
            </w:pPr>
            <w:r>
              <w:rPr>
                <w:rFonts w:ascii="宋体" w:eastAsia="宋体" w:hAnsi="宋体" w:cs="宋体"/>
                <w:b w:val="0"/>
                <w:i w:val="0"/>
                <w:color w:val="000000"/>
                <w:sz w:val="9"/>
              </w:rPr>
              <w:t xml:space="preserve">2,673,484.11</w:t>
            </w:r>
          </w:p>
        </w:tc>
        <w:tc>
          <w:tcPr>
            <w:tcW w:w="580" w:type="dxa"/>
            <w:tcBorders/>
            <w:vAlign w:val="center"/>
          </w:tcPr>
          <w:p>
            <w:pPr>
              <w:snapToGrid w:val="0"/>
              <w:jc w:val="right"/>
            </w:pPr>
            <w:r>
              <w:rPr>
                <w:rFonts w:ascii="宋体" w:eastAsia="宋体" w:hAnsi="宋体" w:cs="宋体"/>
                <w:b w:val="0"/>
                <w:i w:val="0"/>
                <w:color w:val="000000"/>
                <w:sz w:val="9"/>
              </w:rPr>
              <w:t xml:space="preserve">2,673,484.11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355101</w:t>
            </w:r>
          </w:p>
        </w:tc>
        <w:tc>
          <w:tcPr>
            <w:tcW w:w="1520" w:type="dxa"/>
            <w:tcBorders/>
            <w:vAlign w:val="center"/>
          </w:tcPr>
          <w:p>
            <w:pPr>
              <w:snapToGrid w:val="0"/>
              <w:jc w:val="center"/>
            </w:pPr>
            <w:r>
              <w:rPr>
                <w:rFonts w:ascii="宋体" w:eastAsia="宋体" w:hAnsi="宋体" w:cs="宋体"/>
                <w:b w:val="0"/>
                <w:i w:val="0"/>
                <w:color w:val="000000"/>
                <w:sz w:val="9"/>
              </w:rPr>
              <w:t xml:space="preserve">天津市宝坻区市场监督管理局（本级）</w:t>
            </w:r>
          </w:p>
        </w:tc>
        <w:tc>
          <w:tcPr>
            <w:tcW w:w="580" w:type="dxa"/>
            <w:tcBorders/>
            <w:vAlign w:val="center"/>
          </w:tcPr>
          <w:p>
            <w:pPr>
              <w:snapToGrid w:val="0"/>
              <w:jc w:val="right"/>
            </w:pPr>
            <w:r>
              <w:rPr>
                <w:rFonts w:ascii="宋体" w:eastAsia="宋体" w:hAnsi="宋体" w:cs="宋体"/>
                <w:b w:val="0"/>
                <w:i w:val="0"/>
                <w:color w:val="000000"/>
                <w:sz w:val="9"/>
              </w:rPr>
              <w:t xml:space="preserve">83,394,554.81</w:t>
            </w:r>
          </w:p>
        </w:tc>
        <w:tc>
          <w:tcPr>
            <w:tcW w:w="580" w:type="dxa"/>
            <w:tcBorders/>
            <w:vAlign w:val="center"/>
          </w:tcPr>
          <w:p>
            <w:pPr>
              <w:snapToGrid w:val="0"/>
              <w:jc w:val="right"/>
            </w:pPr>
            <w:r>
              <w:rPr>
                <w:rFonts w:ascii="宋体" w:eastAsia="宋体" w:hAnsi="宋体" w:cs="宋体"/>
                <w:b w:val="0"/>
                <w:i w:val="0"/>
                <w:color w:val="000000"/>
                <w:sz w:val="9"/>
              </w:rPr>
              <w:t xml:space="preserve">80,721,070.70</w:t>
            </w:r>
          </w:p>
        </w:tc>
        <w:tc>
          <w:tcPr>
            <w:tcW w:w="580" w:type="dxa"/>
            <w:tcBorders/>
            <w:vAlign w:val="center"/>
          </w:tcPr>
          <w:p>
            <w:pPr>
              <w:snapToGrid w:val="0"/>
              <w:jc w:val="right"/>
            </w:pPr>
            <w:r>
              <w:rPr>
                <w:rFonts w:ascii="宋体" w:eastAsia="宋体" w:hAnsi="宋体" w:cs="宋体"/>
                <w:b w:val="0"/>
                <w:i w:val="0"/>
                <w:color w:val="000000"/>
                <w:sz w:val="9"/>
              </w:rPr>
              <w:t xml:space="preserve">80,721,070.70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2,673,484.11</w:t>
            </w:r>
          </w:p>
        </w:tc>
        <w:tc>
          <w:tcPr>
            <w:tcW w:w="580" w:type="dxa"/>
            <w:tcBorders/>
            <w:vAlign w:val="center"/>
          </w:tcPr>
          <w:p>
            <w:pPr>
              <w:snapToGrid w:val="0"/>
              <w:jc w:val="right"/>
            </w:pPr>
            <w:r>
              <w:rPr>
                <w:rFonts w:ascii="宋体" w:eastAsia="宋体" w:hAnsi="宋体" w:cs="宋体"/>
                <w:b w:val="0"/>
                <w:i w:val="0"/>
                <w:color w:val="000000"/>
                <w:sz w:val="9"/>
              </w:rPr>
              <w:t xml:space="preserve">2,673,484.11</w:t>
            </w:r>
          </w:p>
        </w:tc>
        <w:tc>
          <w:tcPr>
            <w:tcW w:w="580" w:type="dxa"/>
            <w:tcBorders/>
            <w:vAlign w:val="center"/>
          </w:tcPr>
          <w:p>
            <w:pPr>
              <w:snapToGrid w:val="0"/>
              <w:jc w:val="right"/>
            </w:pPr>
            <w:r>
              <w:rPr>
                <w:rFonts w:ascii="宋体" w:eastAsia="宋体" w:hAnsi="宋体" w:cs="宋体"/>
                <w:b w:val="0"/>
                <w:i w:val="0"/>
                <w:color w:val="000000"/>
                <w:sz w:val="9"/>
              </w:rPr>
              <w:t xml:space="preserve">2,673,484.11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82,070,787.28</w:t>
            </w:r>
          </w:p>
        </w:tc>
        <w:tc>
          <w:tcPr>
            <w:tcW w:w="1320" w:type="dxa"/>
            <w:tcBorders/>
            <w:vAlign w:val="center"/>
          </w:tcPr>
          <w:p>
            <w:pPr>
              <w:snapToGrid w:val="0"/>
              <w:jc w:val="right"/>
            </w:pPr>
            <w:r>
              <w:rPr>
                <w:rFonts w:ascii="宋体" w:eastAsia="宋体" w:hAnsi="宋体" w:cs="宋体"/>
                <w:b w:val="0"/>
                <w:i w:val="0"/>
                <w:color w:val="000000"/>
                <w:sz w:val="15"/>
              </w:rPr>
              <w:t xml:space="preserve">73,353,659.79</w:t>
            </w:r>
          </w:p>
        </w:tc>
        <w:tc>
          <w:tcPr>
            <w:tcW w:w="1320" w:type="dxa"/>
            <w:tcBorders/>
            <w:vAlign w:val="center"/>
          </w:tcPr>
          <w:p>
            <w:pPr>
              <w:snapToGrid w:val="0"/>
              <w:jc w:val="right"/>
            </w:pPr>
            <w:r>
              <w:rPr>
                <w:rFonts w:ascii="宋体" w:eastAsia="宋体" w:hAnsi="宋体" w:cs="宋体"/>
                <w:b w:val="0"/>
                <w:i w:val="0"/>
                <w:color w:val="000000"/>
                <w:sz w:val="15"/>
              </w:rPr>
              <w:t xml:space="preserve">8,717,127.49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70,557,634.42</w:t>
            </w:r>
          </w:p>
        </w:tc>
        <w:tc>
          <w:tcPr>
            <w:tcW w:w="1320" w:type="dxa"/>
            <w:tcBorders/>
            <w:vAlign w:val="center"/>
          </w:tcPr>
          <w:p>
            <w:pPr>
              <w:snapToGrid w:val="0"/>
              <w:jc w:val="right"/>
            </w:pPr>
            <w:r>
              <w:rPr>
                <w:rFonts w:ascii="宋体" w:eastAsia="宋体" w:hAnsi="宋体" w:cs="宋体"/>
                <w:b w:val="0"/>
                <w:i w:val="0"/>
                <w:color w:val="000000"/>
                <w:sz w:val="15"/>
              </w:rPr>
              <w:t xml:space="preserve">63,179,507.19</w:t>
            </w:r>
          </w:p>
        </w:tc>
        <w:tc>
          <w:tcPr>
            <w:tcW w:w="1320" w:type="dxa"/>
            <w:tcBorders/>
            <w:vAlign w:val="center"/>
          </w:tcPr>
          <w:p>
            <w:pPr>
              <w:snapToGrid w:val="0"/>
              <w:jc w:val="right"/>
            </w:pPr>
            <w:r>
              <w:rPr>
                <w:rFonts w:ascii="宋体" w:eastAsia="宋体" w:hAnsi="宋体" w:cs="宋体"/>
                <w:b w:val="0"/>
                <w:i w:val="0"/>
                <w:color w:val="000000"/>
                <w:sz w:val="15"/>
              </w:rPr>
              <w:t xml:space="preserve">7,378,127.23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w:t>
            </w:r>
          </w:p>
        </w:tc>
        <w:tc>
          <w:tcPr>
            <w:tcW w:w="4400" w:type="dxa"/>
            <w:tcBorders/>
            <w:vAlign w:val="center"/>
          </w:tcPr>
          <w:p>
            <w:pPr>
              <w:snapToGrid w:val="0"/>
              <w:jc w:val="left"/>
            </w:pPr>
            <w:r>
              <w:rPr>
                <w:rFonts w:ascii="宋体" w:eastAsia="宋体" w:hAnsi="宋体" w:cs="宋体"/>
                <w:b w:val="0"/>
                <w:i w:val="0"/>
                <w:color w:val="000000"/>
                <w:sz w:val="15"/>
              </w:rPr>
              <w:t xml:space="preserve">市场监督管理事务</w:t>
            </w:r>
          </w:p>
        </w:tc>
        <w:tc>
          <w:tcPr>
            <w:tcW w:w="1320" w:type="dxa"/>
            <w:tcBorders/>
            <w:vAlign w:val="center"/>
          </w:tcPr>
          <w:p>
            <w:pPr>
              <w:snapToGrid w:val="0"/>
              <w:jc w:val="right"/>
            </w:pPr>
            <w:r>
              <w:rPr>
                <w:rFonts w:ascii="宋体" w:eastAsia="宋体" w:hAnsi="宋体" w:cs="宋体"/>
                <w:b w:val="0"/>
                <w:i w:val="0"/>
                <w:color w:val="000000"/>
                <w:sz w:val="15"/>
              </w:rPr>
              <w:t xml:space="preserve">70,557,634.42</w:t>
            </w:r>
          </w:p>
        </w:tc>
        <w:tc>
          <w:tcPr>
            <w:tcW w:w="1320" w:type="dxa"/>
            <w:tcBorders/>
            <w:vAlign w:val="center"/>
          </w:tcPr>
          <w:p>
            <w:pPr>
              <w:snapToGrid w:val="0"/>
              <w:jc w:val="right"/>
            </w:pPr>
            <w:r>
              <w:rPr>
                <w:rFonts w:ascii="宋体" w:eastAsia="宋体" w:hAnsi="宋体" w:cs="宋体"/>
                <w:b w:val="0"/>
                <w:i w:val="0"/>
                <w:color w:val="000000"/>
                <w:sz w:val="15"/>
              </w:rPr>
              <w:t xml:space="preserve">63,179,507.19</w:t>
            </w:r>
          </w:p>
        </w:tc>
        <w:tc>
          <w:tcPr>
            <w:tcW w:w="1320" w:type="dxa"/>
            <w:tcBorders/>
            <w:vAlign w:val="center"/>
          </w:tcPr>
          <w:p>
            <w:pPr>
              <w:snapToGrid w:val="0"/>
              <w:jc w:val="right"/>
            </w:pPr>
            <w:r>
              <w:rPr>
                <w:rFonts w:ascii="宋体" w:eastAsia="宋体" w:hAnsi="宋体" w:cs="宋体"/>
                <w:b w:val="0"/>
                <w:i w:val="0"/>
                <w:color w:val="000000"/>
                <w:sz w:val="15"/>
              </w:rPr>
              <w:t xml:space="preserve">7,378,127.23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62,676,421.56</w:t>
            </w:r>
          </w:p>
        </w:tc>
        <w:tc>
          <w:tcPr>
            <w:tcW w:w="1320" w:type="dxa"/>
            <w:tcBorders/>
            <w:vAlign w:val="center"/>
          </w:tcPr>
          <w:p>
            <w:pPr>
              <w:snapToGrid w:val="0"/>
              <w:jc w:val="right"/>
            </w:pPr>
            <w:r>
              <w:rPr>
                <w:rFonts w:ascii="宋体" w:eastAsia="宋体" w:hAnsi="宋体" w:cs="宋体"/>
                <w:b w:val="0"/>
                <w:i w:val="0"/>
                <w:color w:val="000000"/>
                <w:sz w:val="15"/>
              </w:rPr>
              <w:t xml:space="preserve">60,443,794.33</w:t>
            </w:r>
          </w:p>
        </w:tc>
        <w:tc>
          <w:tcPr>
            <w:tcW w:w="1320" w:type="dxa"/>
            <w:tcBorders/>
            <w:vAlign w:val="center"/>
          </w:tcPr>
          <w:p>
            <w:pPr>
              <w:snapToGrid w:val="0"/>
              <w:jc w:val="right"/>
            </w:pPr>
            <w:r>
              <w:rPr>
                <w:rFonts w:ascii="宋体" w:eastAsia="宋体" w:hAnsi="宋体" w:cs="宋体"/>
                <w:b w:val="0"/>
                <w:i w:val="0"/>
                <w:color w:val="000000"/>
                <w:sz w:val="15"/>
              </w:rPr>
              <w:t xml:space="preserve">2,232,627.23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2,735,712.86</w:t>
            </w:r>
          </w:p>
        </w:tc>
        <w:tc>
          <w:tcPr>
            <w:tcW w:w="1320" w:type="dxa"/>
            <w:tcBorders/>
            <w:vAlign w:val="center"/>
          </w:tcPr>
          <w:p>
            <w:pPr>
              <w:snapToGrid w:val="0"/>
              <w:jc w:val="right"/>
            </w:pPr>
            <w:r>
              <w:rPr>
                <w:rFonts w:ascii="宋体" w:eastAsia="宋体" w:hAnsi="宋体" w:cs="宋体"/>
                <w:b w:val="0"/>
                <w:i w:val="0"/>
                <w:color w:val="000000"/>
                <w:sz w:val="15"/>
              </w:rPr>
              <w:t xml:space="preserve">2,735,712.86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2013899</w:t>
            </w:r>
          </w:p>
        </w:tc>
        <w:tc>
          <w:tcPr>
            <w:tcW w:w="4400" w:type="dxa"/>
            <w:tcBorders/>
            <w:vAlign w:val="center"/>
          </w:tcPr>
          <w:p>
            <w:pPr>
              <w:snapToGrid w:val="0"/>
              <w:jc w:val="left"/>
            </w:pPr>
            <w:r>
              <w:rPr>
                <w:rFonts w:ascii="宋体" w:eastAsia="宋体" w:hAnsi="宋体" w:cs="宋体"/>
                <w:b w:val="0"/>
                <w:i w:val="0"/>
                <w:color w:val="000000"/>
                <w:sz w:val="15"/>
              </w:rPr>
              <w:t xml:space="preserve">其他市场监督管理事务</w:t>
            </w:r>
          </w:p>
        </w:tc>
        <w:tc>
          <w:tcPr>
            <w:tcW w:w="1320" w:type="dxa"/>
            <w:tcBorders/>
            <w:vAlign w:val="center"/>
          </w:tcPr>
          <w:p>
            <w:pPr>
              <w:snapToGrid w:val="0"/>
              <w:jc w:val="right"/>
            </w:pPr>
            <w:r>
              <w:rPr>
                <w:rFonts w:ascii="宋体" w:eastAsia="宋体" w:hAnsi="宋体" w:cs="宋体"/>
                <w:b w:val="0"/>
                <w:i w:val="0"/>
                <w:color w:val="000000"/>
                <w:sz w:val="15"/>
              </w:rPr>
              <w:t xml:space="preserve">5,145,500.00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5,145,500.00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8,292,824.35</w:t>
            </w:r>
          </w:p>
        </w:tc>
        <w:tc>
          <w:tcPr>
            <w:tcW w:w="1320" w:type="dxa"/>
            <w:tcBorders/>
            <w:vAlign w:val="center"/>
          </w:tcPr>
          <w:p>
            <w:pPr>
              <w:snapToGrid w:val="0"/>
              <w:jc w:val="right"/>
            </w:pPr>
            <w:r>
              <w:rPr>
                <w:rFonts w:ascii="宋体" w:eastAsia="宋体" w:hAnsi="宋体" w:cs="宋体"/>
                <w:b w:val="0"/>
                <w:i w:val="0"/>
                <w:color w:val="000000"/>
                <w:sz w:val="15"/>
              </w:rPr>
              <w:t xml:space="preserve">6,953,824.09</w:t>
            </w:r>
          </w:p>
        </w:tc>
        <w:tc>
          <w:tcPr>
            <w:tcW w:w="1320" w:type="dxa"/>
            <w:tcBorders/>
            <w:vAlign w:val="center"/>
          </w:tcPr>
          <w:p>
            <w:pPr>
              <w:snapToGrid w:val="0"/>
              <w:jc w:val="right"/>
            </w:pPr>
            <w:r>
              <w:rPr>
                <w:rFonts w:ascii="宋体" w:eastAsia="宋体" w:hAnsi="宋体" w:cs="宋体"/>
                <w:b w:val="0"/>
                <w:i w:val="0"/>
                <w:color w:val="000000"/>
                <w:sz w:val="15"/>
              </w:rPr>
              <w:t xml:space="preserve">1,339,000.26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6,883,824.09</w:t>
            </w:r>
          </w:p>
        </w:tc>
        <w:tc>
          <w:tcPr>
            <w:tcW w:w="1320" w:type="dxa"/>
            <w:tcBorders/>
            <w:vAlign w:val="center"/>
          </w:tcPr>
          <w:p>
            <w:pPr>
              <w:snapToGrid w:val="0"/>
              <w:jc w:val="right"/>
            </w:pPr>
            <w:r>
              <w:rPr>
                <w:rFonts w:ascii="宋体" w:eastAsia="宋体" w:hAnsi="宋体" w:cs="宋体"/>
                <w:b w:val="0"/>
                <w:i w:val="0"/>
                <w:color w:val="000000"/>
                <w:sz w:val="15"/>
              </w:rPr>
              <w:t xml:space="preserve">6,883,824.09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4,590,650.81</w:t>
            </w:r>
          </w:p>
        </w:tc>
        <w:tc>
          <w:tcPr>
            <w:tcW w:w="1320" w:type="dxa"/>
            <w:tcBorders/>
            <w:vAlign w:val="center"/>
          </w:tcPr>
          <w:p>
            <w:pPr>
              <w:snapToGrid w:val="0"/>
              <w:jc w:val="right"/>
            </w:pPr>
            <w:r>
              <w:rPr>
                <w:rFonts w:ascii="宋体" w:eastAsia="宋体" w:hAnsi="宋体" w:cs="宋体"/>
                <w:b w:val="0"/>
                <w:i w:val="0"/>
                <w:color w:val="000000"/>
                <w:sz w:val="15"/>
              </w:rPr>
              <w:t xml:space="preserve">4,590,650.81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2,293,173.28</w:t>
            </w:r>
          </w:p>
        </w:tc>
        <w:tc>
          <w:tcPr>
            <w:tcW w:w="1320" w:type="dxa"/>
            <w:tcBorders/>
            <w:vAlign w:val="center"/>
          </w:tcPr>
          <w:p>
            <w:pPr>
              <w:snapToGrid w:val="0"/>
              <w:jc w:val="right"/>
            </w:pPr>
            <w:r>
              <w:rPr>
                <w:rFonts w:ascii="宋体" w:eastAsia="宋体" w:hAnsi="宋体" w:cs="宋体"/>
                <w:b w:val="0"/>
                <w:i w:val="0"/>
                <w:color w:val="000000"/>
                <w:sz w:val="15"/>
              </w:rPr>
              <w:t xml:space="preserve">2,293,173.28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20809</w:t>
            </w:r>
          </w:p>
        </w:tc>
        <w:tc>
          <w:tcPr>
            <w:tcW w:w="4400" w:type="dxa"/>
            <w:tcBorders/>
            <w:vAlign w:val="center"/>
          </w:tcPr>
          <w:p>
            <w:pPr>
              <w:snapToGrid w:val="0"/>
              <w:jc w:val="left"/>
            </w:pPr>
            <w:r>
              <w:rPr>
                <w:rFonts w:ascii="宋体" w:eastAsia="宋体" w:hAnsi="宋体" w:cs="宋体"/>
                <w:b w:val="0"/>
                <w:i w:val="0"/>
                <w:color w:val="000000"/>
                <w:sz w:val="15"/>
              </w:rPr>
              <w:t xml:space="preserve">退役安置</w:t>
            </w:r>
          </w:p>
        </w:tc>
        <w:tc>
          <w:tcPr>
            <w:tcW w:w="1320" w:type="dxa"/>
            <w:tcBorders/>
            <w:vAlign w:val="center"/>
          </w:tcPr>
          <w:p>
            <w:pPr>
              <w:snapToGrid w:val="0"/>
              <w:jc w:val="right"/>
            </w:pPr>
            <w:r>
              <w:rPr>
                <w:rFonts w:ascii="宋体" w:eastAsia="宋体" w:hAnsi="宋体" w:cs="宋体"/>
                <w:b w:val="0"/>
                <w:i w:val="0"/>
                <w:color w:val="000000"/>
                <w:sz w:val="15"/>
              </w:rPr>
              <w:t xml:space="preserve">1,409,000.26</w:t>
            </w:r>
          </w:p>
        </w:tc>
        <w:tc>
          <w:tcPr>
            <w:tcW w:w="1320" w:type="dxa"/>
            <w:tcBorders/>
            <w:vAlign w:val="center"/>
          </w:tcPr>
          <w:p>
            <w:pPr>
              <w:snapToGrid w:val="0"/>
              <w:jc w:val="right"/>
            </w:pPr>
            <w:r>
              <w:rPr>
                <w:rFonts w:ascii="宋体" w:eastAsia="宋体" w:hAnsi="宋体" w:cs="宋体"/>
                <w:b w:val="0"/>
                <w:i w:val="0"/>
                <w:color w:val="000000"/>
                <w:sz w:val="15"/>
              </w:rPr>
              <w:t xml:space="preserve">70,000.00</w:t>
            </w:r>
          </w:p>
        </w:tc>
        <w:tc>
          <w:tcPr>
            <w:tcW w:w="1320" w:type="dxa"/>
            <w:tcBorders/>
            <w:vAlign w:val="center"/>
          </w:tcPr>
          <w:p>
            <w:pPr>
              <w:snapToGrid w:val="0"/>
              <w:jc w:val="right"/>
            </w:pPr>
            <w:r>
              <w:rPr>
                <w:rFonts w:ascii="宋体" w:eastAsia="宋体" w:hAnsi="宋体" w:cs="宋体"/>
                <w:b w:val="0"/>
                <w:i w:val="0"/>
                <w:color w:val="000000"/>
                <w:sz w:val="15"/>
              </w:rPr>
              <w:t xml:space="preserve">1,339,000.26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2080901</w:t>
            </w:r>
          </w:p>
        </w:tc>
        <w:tc>
          <w:tcPr>
            <w:tcW w:w="4400" w:type="dxa"/>
            <w:tcBorders/>
            <w:vAlign w:val="center"/>
          </w:tcPr>
          <w:p>
            <w:pPr>
              <w:snapToGrid w:val="0"/>
              <w:jc w:val="left"/>
            </w:pPr>
            <w:r>
              <w:rPr>
                <w:rFonts w:ascii="宋体" w:eastAsia="宋体" w:hAnsi="宋体" w:cs="宋体"/>
                <w:b w:val="0"/>
                <w:i w:val="0"/>
                <w:color w:val="000000"/>
                <w:sz w:val="15"/>
              </w:rPr>
              <w:t xml:space="preserve">退役士兵安置</w:t>
            </w:r>
          </w:p>
        </w:tc>
        <w:tc>
          <w:tcPr>
            <w:tcW w:w="1320" w:type="dxa"/>
            <w:tcBorders/>
            <w:vAlign w:val="center"/>
          </w:tcPr>
          <w:p>
            <w:pPr>
              <w:snapToGrid w:val="0"/>
              <w:jc w:val="right"/>
            </w:pPr>
            <w:r>
              <w:rPr>
                <w:rFonts w:ascii="宋体" w:eastAsia="宋体" w:hAnsi="宋体" w:cs="宋体"/>
                <w:b w:val="0"/>
                <w:i w:val="0"/>
                <w:color w:val="000000"/>
                <w:sz w:val="15"/>
              </w:rPr>
              <w:t xml:space="preserve">1,409,000.26</w:t>
            </w:r>
          </w:p>
        </w:tc>
        <w:tc>
          <w:tcPr>
            <w:tcW w:w="1320" w:type="dxa"/>
            <w:tcBorders/>
            <w:vAlign w:val="center"/>
          </w:tcPr>
          <w:p>
            <w:pPr>
              <w:snapToGrid w:val="0"/>
              <w:jc w:val="right"/>
            </w:pPr>
            <w:r>
              <w:rPr>
                <w:rFonts w:ascii="宋体" w:eastAsia="宋体" w:hAnsi="宋体" w:cs="宋体"/>
                <w:b w:val="0"/>
                <w:i w:val="0"/>
                <w:color w:val="000000"/>
                <w:sz w:val="15"/>
              </w:rPr>
              <w:t xml:space="preserve">70,000.00</w:t>
            </w:r>
          </w:p>
        </w:tc>
        <w:tc>
          <w:tcPr>
            <w:tcW w:w="1320" w:type="dxa"/>
            <w:tcBorders/>
            <w:vAlign w:val="center"/>
          </w:tcPr>
          <w:p>
            <w:pPr>
              <w:snapToGrid w:val="0"/>
              <w:jc w:val="right"/>
            </w:pPr>
            <w:r>
              <w:rPr>
                <w:rFonts w:ascii="宋体" w:eastAsia="宋体" w:hAnsi="宋体" w:cs="宋体"/>
                <w:b w:val="0"/>
                <w:i w:val="0"/>
                <w:color w:val="000000"/>
                <w:sz w:val="15"/>
              </w:rPr>
              <w:t xml:space="preserve">1,339,000.26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3,220,328.51</w:t>
            </w:r>
          </w:p>
        </w:tc>
        <w:tc>
          <w:tcPr>
            <w:tcW w:w="1320" w:type="dxa"/>
            <w:tcBorders/>
            <w:vAlign w:val="center"/>
          </w:tcPr>
          <w:p>
            <w:pPr>
              <w:snapToGrid w:val="0"/>
              <w:jc w:val="right"/>
            </w:pPr>
            <w:r>
              <w:rPr>
                <w:rFonts w:ascii="宋体" w:eastAsia="宋体" w:hAnsi="宋体" w:cs="宋体"/>
                <w:b w:val="0"/>
                <w:i w:val="0"/>
                <w:color w:val="000000"/>
                <w:sz w:val="15"/>
              </w:rPr>
              <w:t xml:space="preserve">3,220,328.51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3,220,328.51</w:t>
            </w:r>
          </w:p>
        </w:tc>
        <w:tc>
          <w:tcPr>
            <w:tcW w:w="1320" w:type="dxa"/>
            <w:tcBorders/>
            <w:vAlign w:val="center"/>
          </w:tcPr>
          <w:p>
            <w:pPr>
              <w:snapToGrid w:val="0"/>
              <w:jc w:val="right"/>
            </w:pPr>
            <w:r>
              <w:rPr>
                <w:rFonts w:ascii="宋体" w:eastAsia="宋体" w:hAnsi="宋体" w:cs="宋体"/>
                <w:b w:val="0"/>
                <w:i w:val="0"/>
                <w:color w:val="000000"/>
                <w:sz w:val="15"/>
              </w:rPr>
              <w:t xml:space="preserve">3,220,328.51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2,736,784.67</w:t>
            </w:r>
          </w:p>
        </w:tc>
        <w:tc>
          <w:tcPr>
            <w:tcW w:w="1320" w:type="dxa"/>
            <w:tcBorders/>
            <w:vAlign w:val="center"/>
          </w:tcPr>
          <w:p>
            <w:pPr>
              <w:snapToGrid w:val="0"/>
              <w:jc w:val="right"/>
            </w:pPr>
            <w:r>
              <w:rPr>
                <w:rFonts w:ascii="宋体" w:eastAsia="宋体" w:hAnsi="宋体" w:cs="宋体"/>
                <w:b w:val="0"/>
                <w:i w:val="0"/>
                <w:color w:val="000000"/>
                <w:sz w:val="15"/>
              </w:rPr>
              <w:t xml:space="preserve">2,736,784.67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131,900.00</w:t>
            </w:r>
          </w:p>
        </w:tc>
        <w:tc>
          <w:tcPr>
            <w:tcW w:w="1320" w:type="dxa"/>
            <w:tcBorders/>
            <w:vAlign w:val="center"/>
          </w:tcPr>
          <w:p>
            <w:pPr>
              <w:snapToGrid w:val="0"/>
              <w:jc w:val="right"/>
            </w:pPr>
            <w:r>
              <w:rPr>
                <w:rFonts w:ascii="宋体" w:eastAsia="宋体" w:hAnsi="宋体" w:cs="宋体"/>
                <w:b w:val="0"/>
                <w:i w:val="0"/>
                <w:color w:val="000000"/>
                <w:sz w:val="15"/>
              </w:rPr>
              <w:t xml:space="preserve">131,900.00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351,643.84</w:t>
            </w:r>
          </w:p>
        </w:tc>
        <w:tc>
          <w:tcPr>
            <w:tcW w:w="1320" w:type="dxa"/>
            <w:tcBorders/>
            <w:vAlign w:val="center"/>
          </w:tcPr>
          <w:p>
            <w:pPr>
              <w:snapToGrid w:val="0"/>
              <w:jc w:val="right"/>
            </w:pPr>
            <w:r>
              <w:rPr>
                <w:rFonts w:ascii="宋体" w:eastAsia="宋体" w:hAnsi="宋体" w:cs="宋体"/>
                <w:b w:val="0"/>
                <w:i w:val="0"/>
                <w:color w:val="000000"/>
                <w:sz w:val="15"/>
              </w:rPr>
              <w:t xml:space="preserve">351,643.84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80,721,070.70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70,557,634.42</w:t>
            </w:r>
          </w:p>
        </w:tc>
        <w:tc>
          <w:tcPr>
            <w:tcW w:w="1420" w:type="dxa"/>
            <w:tcBorders/>
            <w:vAlign w:val="center"/>
          </w:tcPr>
          <w:p>
            <w:pPr>
              <w:snapToGrid w:val="0"/>
              <w:jc w:val="right"/>
            </w:pPr>
            <w:r>
              <w:rPr>
                <w:rFonts w:ascii="宋体" w:eastAsia="宋体" w:hAnsi="宋体" w:cs="宋体"/>
                <w:b w:val="0"/>
                <w:i w:val="0"/>
                <w:color w:val="000000"/>
                <w:sz w:val="16"/>
              </w:rPr>
              <w:t xml:space="preserve">70,557,634.42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8,292,824.35</w:t>
            </w:r>
          </w:p>
        </w:tc>
        <w:tc>
          <w:tcPr>
            <w:tcW w:w="1420" w:type="dxa"/>
            <w:tcBorders/>
            <w:vAlign w:val="center"/>
          </w:tcPr>
          <w:p>
            <w:pPr>
              <w:snapToGrid w:val="0"/>
              <w:jc w:val="right"/>
            </w:pPr>
            <w:r>
              <w:rPr>
                <w:rFonts w:ascii="宋体" w:eastAsia="宋体" w:hAnsi="宋体" w:cs="宋体"/>
                <w:b w:val="0"/>
                <w:i w:val="0"/>
                <w:color w:val="000000"/>
                <w:sz w:val="16"/>
              </w:rPr>
              <w:t xml:space="preserve">8,292,824.35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3,220,328.51</w:t>
            </w:r>
          </w:p>
        </w:tc>
        <w:tc>
          <w:tcPr>
            <w:tcW w:w="1420" w:type="dxa"/>
            <w:tcBorders/>
            <w:vAlign w:val="center"/>
          </w:tcPr>
          <w:p>
            <w:pPr>
              <w:snapToGrid w:val="0"/>
              <w:jc w:val="right"/>
            </w:pPr>
            <w:r>
              <w:rPr>
                <w:rFonts w:ascii="宋体" w:eastAsia="宋体" w:hAnsi="宋体" w:cs="宋体"/>
                <w:b w:val="0"/>
                <w:i w:val="0"/>
                <w:color w:val="000000"/>
                <w:sz w:val="16"/>
              </w:rPr>
              <w:t xml:space="preserve">3,220,328.51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80,721,070.70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82,070,787.28</w:t>
            </w:r>
          </w:p>
        </w:tc>
        <w:tc>
          <w:tcPr>
            <w:tcW w:w="1420" w:type="dxa"/>
            <w:tcBorders/>
            <w:vAlign w:val="center"/>
          </w:tcPr>
          <w:p>
            <w:pPr>
              <w:snapToGrid w:val="0"/>
              <w:jc w:val="right"/>
            </w:pPr>
            <w:r>
              <w:rPr>
                <w:rFonts w:ascii="宋体" w:eastAsia="宋体" w:hAnsi="宋体" w:cs="宋体"/>
                <w:b w:val="0"/>
                <w:i w:val="0"/>
                <w:color w:val="000000"/>
                <w:sz w:val="16"/>
              </w:rPr>
              <w:t xml:space="preserve">82,070,787.28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2,673,484.11</w:t>
            </w: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1,323,767.53</w:t>
            </w:r>
          </w:p>
        </w:tc>
        <w:tc>
          <w:tcPr>
            <w:tcW w:w="1420" w:type="dxa"/>
            <w:tcBorders/>
            <w:vAlign w:val="center"/>
          </w:tcPr>
          <w:p>
            <w:pPr>
              <w:snapToGrid w:val="0"/>
              <w:jc w:val="right"/>
            </w:pPr>
            <w:r>
              <w:rPr>
                <w:rFonts w:ascii="宋体" w:eastAsia="宋体" w:hAnsi="宋体" w:cs="宋体"/>
                <w:b w:val="0"/>
                <w:i w:val="0"/>
                <w:color w:val="000000"/>
                <w:sz w:val="16"/>
              </w:rPr>
              <w:t xml:space="preserve">1,323,767.53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2,673,484.11</w:t>
            </w: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83,394,554.81</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83,394,554.81</w:t>
            </w:r>
          </w:p>
        </w:tc>
        <w:tc>
          <w:tcPr>
            <w:tcW w:w="1420" w:type="dxa"/>
            <w:tcBorders/>
            <w:vAlign w:val="center"/>
          </w:tcPr>
          <w:p>
            <w:pPr>
              <w:snapToGrid w:val="0"/>
              <w:jc w:val="right"/>
            </w:pPr>
            <w:r>
              <w:rPr>
                <w:rFonts w:ascii="宋体" w:eastAsia="宋体" w:hAnsi="宋体" w:cs="宋体"/>
                <w:b w:val="0"/>
                <w:i w:val="0"/>
                <w:color w:val="000000"/>
                <w:sz w:val="16"/>
              </w:rPr>
              <w:t xml:space="preserve">83,394,554.81</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82,070,787.28</w:t>
            </w:r>
          </w:p>
        </w:tc>
        <w:tc>
          <w:tcPr>
            <w:tcW w:w="1720" w:type="dxa"/>
            <w:tcBorders/>
            <w:vAlign w:val="center"/>
          </w:tcPr>
          <w:p>
            <w:pPr>
              <w:snapToGrid w:val="0"/>
              <w:jc w:val="right"/>
            </w:pPr>
            <w:r>
              <w:rPr>
                <w:rFonts w:ascii="宋体" w:eastAsia="宋体" w:hAnsi="宋体" w:cs="宋体"/>
                <w:b w:val="0"/>
                <w:i w:val="0"/>
                <w:color w:val="000000"/>
                <w:sz w:val="20"/>
              </w:rPr>
              <w:t xml:space="preserve">73,353,659.79</w:t>
            </w:r>
          </w:p>
        </w:tc>
        <w:tc>
          <w:tcPr>
            <w:tcW w:w="1720" w:type="dxa"/>
            <w:tcBorders/>
            <w:vAlign w:val="center"/>
          </w:tcPr>
          <w:p>
            <w:pPr>
              <w:snapToGrid w:val="0"/>
              <w:jc w:val="right"/>
            </w:pPr>
            <w:r>
              <w:rPr>
                <w:rFonts w:ascii="宋体" w:eastAsia="宋体" w:hAnsi="宋体" w:cs="宋体"/>
                <w:b w:val="0"/>
                <w:i w:val="0"/>
                <w:color w:val="000000"/>
                <w:sz w:val="20"/>
              </w:rPr>
              <w:t xml:space="preserve">65,338,720.97</w:t>
            </w:r>
          </w:p>
        </w:tc>
        <w:tc>
          <w:tcPr>
            <w:tcW w:w="1720" w:type="dxa"/>
            <w:tcBorders/>
            <w:vAlign w:val="center"/>
          </w:tcPr>
          <w:p>
            <w:pPr>
              <w:snapToGrid w:val="0"/>
              <w:jc w:val="right"/>
            </w:pPr>
            <w:r>
              <w:rPr>
                <w:rFonts w:ascii="宋体" w:eastAsia="宋体" w:hAnsi="宋体" w:cs="宋体"/>
                <w:b w:val="0"/>
                <w:i w:val="0"/>
                <w:color w:val="000000"/>
                <w:sz w:val="20"/>
              </w:rPr>
              <w:t xml:space="preserve">8,014,938.82</w:t>
            </w:r>
          </w:p>
        </w:tc>
        <w:tc>
          <w:tcPr>
            <w:tcW w:w="1698" w:type="dxa"/>
            <w:tcBorders/>
            <w:vAlign w:val="center"/>
          </w:tcPr>
          <w:p>
            <w:pPr>
              <w:snapToGrid w:val="0"/>
              <w:jc w:val="right"/>
            </w:pPr>
            <w:r>
              <w:rPr>
                <w:rFonts w:ascii="宋体" w:eastAsia="宋体" w:hAnsi="宋体" w:cs="宋体"/>
                <w:b w:val="0"/>
                <w:i w:val="0"/>
                <w:color w:val="000000"/>
                <w:sz w:val="20"/>
              </w:rPr>
              <w:t xml:space="preserve">8,717,127.49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70,557,634.42</w:t>
            </w:r>
          </w:p>
        </w:tc>
        <w:tc>
          <w:tcPr>
            <w:tcW w:w="1720" w:type="dxa"/>
            <w:tcBorders/>
            <w:vAlign w:val="center"/>
          </w:tcPr>
          <w:p>
            <w:pPr>
              <w:snapToGrid w:val="0"/>
              <w:jc w:val="right"/>
            </w:pPr>
            <w:r>
              <w:rPr>
                <w:rFonts w:ascii="宋体" w:eastAsia="宋体" w:hAnsi="宋体" w:cs="宋体"/>
                <w:b w:val="0"/>
                <w:i w:val="0"/>
                <w:color w:val="000000"/>
                <w:sz w:val="20"/>
              </w:rPr>
              <w:t xml:space="preserve">63,179,507.19</w:t>
            </w:r>
          </w:p>
        </w:tc>
        <w:tc>
          <w:tcPr>
            <w:tcW w:w="1720" w:type="dxa"/>
            <w:tcBorders/>
            <w:vAlign w:val="center"/>
          </w:tcPr>
          <w:p>
            <w:pPr>
              <w:snapToGrid w:val="0"/>
              <w:jc w:val="right"/>
            </w:pPr>
            <w:r>
              <w:rPr>
                <w:rFonts w:ascii="宋体" w:eastAsia="宋体" w:hAnsi="宋体" w:cs="宋体"/>
                <w:b w:val="0"/>
                <w:i w:val="0"/>
                <w:color w:val="000000"/>
                <w:sz w:val="20"/>
              </w:rPr>
              <w:t xml:space="preserve">55,164,568.37</w:t>
            </w:r>
          </w:p>
        </w:tc>
        <w:tc>
          <w:tcPr>
            <w:tcW w:w="1720" w:type="dxa"/>
            <w:tcBorders/>
            <w:vAlign w:val="center"/>
          </w:tcPr>
          <w:p>
            <w:pPr>
              <w:snapToGrid w:val="0"/>
              <w:jc w:val="right"/>
            </w:pPr>
            <w:r>
              <w:rPr>
                <w:rFonts w:ascii="宋体" w:eastAsia="宋体" w:hAnsi="宋体" w:cs="宋体"/>
                <w:b w:val="0"/>
                <w:i w:val="0"/>
                <w:color w:val="000000"/>
                <w:sz w:val="20"/>
              </w:rPr>
              <w:t xml:space="preserve">8,014,938.82</w:t>
            </w:r>
          </w:p>
        </w:tc>
        <w:tc>
          <w:tcPr>
            <w:tcW w:w="1698" w:type="dxa"/>
            <w:tcBorders/>
            <w:vAlign w:val="center"/>
          </w:tcPr>
          <w:p>
            <w:pPr>
              <w:snapToGrid w:val="0"/>
              <w:jc w:val="right"/>
            </w:pPr>
            <w:r>
              <w:rPr>
                <w:rFonts w:ascii="宋体" w:eastAsia="宋体" w:hAnsi="宋体" w:cs="宋体"/>
                <w:b w:val="0"/>
                <w:i w:val="0"/>
                <w:color w:val="000000"/>
                <w:sz w:val="20"/>
              </w:rPr>
              <w:t xml:space="preserve">7,378,127.23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w:t>
            </w:r>
          </w:p>
        </w:tc>
        <w:tc>
          <w:tcPr>
            <w:tcW w:w="3480" w:type="dxa"/>
            <w:tcBorders/>
            <w:vAlign w:val="center"/>
          </w:tcPr>
          <w:p>
            <w:pPr>
              <w:snapToGrid w:val="0"/>
              <w:jc w:val="left"/>
            </w:pPr>
            <w:r>
              <w:rPr>
                <w:rFonts w:ascii="宋体" w:eastAsia="宋体" w:hAnsi="宋体" w:cs="宋体"/>
                <w:b w:val="0"/>
                <w:i w:val="0"/>
                <w:color w:val="000000"/>
                <w:sz w:val="20"/>
              </w:rPr>
              <w:t xml:space="preserve">市场监督管理事务</w:t>
            </w:r>
          </w:p>
        </w:tc>
        <w:tc>
          <w:tcPr>
            <w:tcW w:w="1720" w:type="dxa"/>
            <w:tcBorders/>
            <w:vAlign w:val="center"/>
          </w:tcPr>
          <w:p>
            <w:pPr>
              <w:snapToGrid w:val="0"/>
              <w:jc w:val="right"/>
            </w:pPr>
            <w:r>
              <w:rPr>
                <w:rFonts w:ascii="宋体" w:eastAsia="宋体" w:hAnsi="宋体" w:cs="宋体"/>
                <w:b w:val="0"/>
                <w:i w:val="0"/>
                <w:color w:val="000000"/>
                <w:sz w:val="20"/>
              </w:rPr>
              <w:t xml:space="preserve">70,557,634.42</w:t>
            </w:r>
          </w:p>
        </w:tc>
        <w:tc>
          <w:tcPr>
            <w:tcW w:w="1720" w:type="dxa"/>
            <w:tcBorders/>
            <w:vAlign w:val="center"/>
          </w:tcPr>
          <w:p>
            <w:pPr>
              <w:snapToGrid w:val="0"/>
              <w:jc w:val="right"/>
            </w:pPr>
            <w:r>
              <w:rPr>
                <w:rFonts w:ascii="宋体" w:eastAsia="宋体" w:hAnsi="宋体" w:cs="宋体"/>
                <w:b w:val="0"/>
                <w:i w:val="0"/>
                <w:color w:val="000000"/>
                <w:sz w:val="20"/>
              </w:rPr>
              <w:t xml:space="preserve">63,179,507.19</w:t>
            </w:r>
          </w:p>
        </w:tc>
        <w:tc>
          <w:tcPr>
            <w:tcW w:w="1720" w:type="dxa"/>
            <w:tcBorders/>
            <w:vAlign w:val="center"/>
          </w:tcPr>
          <w:p>
            <w:pPr>
              <w:snapToGrid w:val="0"/>
              <w:jc w:val="right"/>
            </w:pPr>
            <w:r>
              <w:rPr>
                <w:rFonts w:ascii="宋体" w:eastAsia="宋体" w:hAnsi="宋体" w:cs="宋体"/>
                <w:b w:val="0"/>
                <w:i w:val="0"/>
                <w:color w:val="000000"/>
                <w:sz w:val="20"/>
              </w:rPr>
              <w:t xml:space="preserve">55,164,568.37</w:t>
            </w:r>
          </w:p>
        </w:tc>
        <w:tc>
          <w:tcPr>
            <w:tcW w:w="1720" w:type="dxa"/>
            <w:tcBorders/>
            <w:vAlign w:val="center"/>
          </w:tcPr>
          <w:p>
            <w:pPr>
              <w:snapToGrid w:val="0"/>
              <w:jc w:val="right"/>
            </w:pPr>
            <w:r>
              <w:rPr>
                <w:rFonts w:ascii="宋体" w:eastAsia="宋体" w:hAnsi="宋体" w:cs="宋体"/>
                <w:b w:val="0"/>
                <w:i w:val="0"/>
                <w:color w:val="000000"/>
                <w:sz w:val="20"/>
              </w:rPr>
              <w:t xml:space="preserve">8,014,938.82</w:t>
            </w:r>
          </w:p>
        </w:tc>
        <w:tc>
          <w:tcPr>
            <w:tcW w:w="1698" w:type="dxa"/>
            <w:tcBorders/>
            <w:vAlign w:val="center"/>
          </w:tcPr>
          <w:p>
            <w:pPr>
              <w:snapToGrid w:val="0"/>
              <w:jc w:val="right"/>
            </w:pPr>
            <w:r>
              <w:rPr>
                <w:rFonts w:ascii="宋体" w:eastAsia="宋体" w:hAnsi="宋体" w:cs="宋体"/>
                <w:b w:val="0"/>
                <w:i w:val="0"/>
                <w:color w:val="000000"/>
                <w:sz w:val="20"/>
              </w:rPr>
              <w:t xml:space="preserve">7,378,127.23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62,676,421.56</w:t>
            </w:r>
          </w:p>
        </w:tc>
        <w:tc>
          <w:tcPr>
            <w:tcW w:w="1720" w:type="dxa"/>
            <w:tcBorders/>
            <w:vAlign w:val="center"/>
          </w:tcPr>
          <w:p>
            <w:pPr>
              <w:snapToGrid w:val="0"/>
              <w:jc w:val="right"/>
            </w:pPr>
            <w:r>
              <w:rPr>
                <w:rFonts w:ascii="宋体" w:eastAsia="宋体" w:hAnsi="宋体" w:cs="宋体"/>
                <w:b w:val="0"/>
                <w:i w:val="0"/>
                <w:color w:val="000000"/>
                <w:sz w:val="20"/>
              </w:rPr>
              <w:t xml:space="preserve">60,443,794.33</w:t>
            </w:r>
          </w:p>
        </w:tc>
        <w:tc>
          <w:tcPr>
            <w:tcW w:w="1720" w:type="dxa"/>
            <w:tcBorders/>
            <w:vAlign w:val="center"/>
          </w:tcPr>
          <w:p>
            <w:pPr>
              <w:snapToGrid w:val="0"/>
              <w:jc w:val="right"/>
            </w:pPr>
            <w:r>
              <w:rPr>
                <w:rFonts w:ascii="宋体" w:eastAsia="宋体" w:hAnsi="宋体" w:cs="宋体"/>
                <w:b w:val="0"/>
                <w:i w:val="0"/>
                <w:color w:val="000000"/>
                <w:sz w:val="20"/>
              </w:rPr>
              <w:t xml:space="preserve">52,592,032.17</w:t>
            </w:r>
          </w:p>
        </w:tc>
        <w:tc>
          <w:tcPr>
            <w:tcW w:w="1720" w:type="dxa"/>
            <w:tcBorders/>
            <w:vAlign w:val="center"/>
          </w:tcPr>
          <w:p>
            <w:pPr>
              <w:snapToGrid w:val="0"/>
              <w:jc w:val="right"/>
            </w:pPr>
            <w:r>
              <w:rPr>
                <w:rFonts w:ascii="宋体" w:eastAsia="宋体" w:hAnsi="宋体" w:cs="宋体"/>
                <w:b w:val="0"/>
                <w:i w:val="0"/>
                <w:color w:val="000000"/>
                <w:sz w:val="20"/>
              </w:rPr>
              <w:t xml:space="preserve">7,851,762.16</w:t>
            </w:r>
          </w:p>
        </w:tc>
        <w:tc>
          <w:tcPr>
            <w:tcW w:w="1698" w:type="dxa"/>
            <w:tcBorders/>
            <w:vAlign w:val="center"/>
          </w:tcPr>
          <w:p>
            <w:pPr>
              <w:snapToGrid w:val="0"/>
              <w:jc w:val="right"/>
            </w:pPr>
            <w:r>
              <w:rPr>
                <w:rFonts w:ascii="宋体" w:eastAsia="宋体" w:hAnsi="宋体" w:cs="宋体"/>
                <w:b w:val="0"/>
                <w:i w:val="0"/>
                <w:color w:val="000000"/>
                <w:sz w:val="20"/>
              </w:rPr>
              <w:t xml:space="preserve">2,232,627.23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2,735,712.86</w:t>
            </w:r>
          </w:p>
        </w:tc>
        <w:tc>
          <w:tcPr>
            <w:tcW w:w="1720" w:type="dxa"/>
            <w:tcBorders/>
            <w:vAlign w:val="center"/>
          </w:tcPr>
          <w:p>
            <w:pPr>
              <w:snapToGrid w:val="0"/>
              <w:jc w:val="right"/>
            </w:pPr>
            <w:r>
              <w:rPr>
                <w:rFonts w:ascii="宋体" w:eastAsia="宋体" w:hAnsi="宋体" w:cs="宋体"/>
                <w:b w:val="0"/>
                <w:i w:val="0"/>
                <w:color w:val="000000"/>
                <w:sz w:val="20"/>
              </w:rPr>
              <w:t xml:space="preserve">2,735,712.86</w:t>
            </w:r>
          </w:p>
        </w:tc>
        <w:tc>
          <w:tcPr>
            <w:tcW w:w="1720" w:type="dxa"/>
            <w:tcBorders/>
            <w:vAlign w:val="center"/>
          </w:tcPr>
          <w:p>
            <w:pPr>
              <w:snapToGrid w:val="0"/>
              <w:jc w:val="right"/>
            </w:pPr>
            <w:r>
              <w:rPr>
                <w:rFonts w:ascii="宋体" w:eastAsia="宋体" w:hAnsi="宋体" w:cs="宋体"/>
                <w:b w:val="0"/>
                <w:i w:val="0"/>
                <w:color w:val="000000"/>
                <w:sz w:val="20"/>
              </w:rPr>
              <w:t xml:space="preserve">2,572,536.20</w:t>
            </w:r>
          </w:p>
        </w:tc>
        <w:tc>
          <w:tcPr>
            <w:tcW w:w="1720" w:type="dxa"/>
            <w:tcBorders/>
            <w:vAlign w:val="center"/>
          </w:tcPr>
          <w:p>
            <w:pPr>
              <w:snapToGrid w:val="0"/>
              <w:jc w:val="right"/>
            </w:pPr>
            <w:r>
              <w:rPr>
                <w:rFonts w:ascii="宋体" w:eastAsia="宋体" w:hAnsi="宋体" w:cs="宋体"/>
                <w:b w:val="0"/>
                <w:i w:val="0"/>
                <w:color w:val="000000"/>
                <w:sz w:val="20"/>
              </w:rPr>
              <w:t xml:space="preserve">163,176.66</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2013899</w:t>
            </w:r>
          </w:p>
        </w:tc>
        <w:tc>
          <w:tcPr>
            <w:tcW w:w="3480" w:type="dxa"/>
            <w:tcBorders/>
            <w:vAlign w:val="center"/>
          </w:tcPr>
          <w:p>
            <w:pPr>
              <w:snapToGrid w:val="0"/>
              <w:jc w:val="left"/>
            </w:pPr>
            <w:r>
              <w:rPr>
                <w:rFonts w:ascii="宋体" w:eastAsia="宋体" w:hAnsi="宋体" w:cs="宋体"/>
                <w:b w:val="0"/>
                <w:i w:val="0"/>
                <w:color w:val="000000"/>
                <w:sz w:val="20"/>
              </w:rPr>
              <w:t xml:space="preserve">其他市场监督管理事务</w:t>
            </w:r>
          </w:p>
        </w:tc>
        <w:tc>
          <w:tcPr>
            <w:tcW w:w="1720" w:type="dxa"/>
            <w:tcBorders/>
            <w:vAlign w:val="center"/>
          </w:tcPr>
          <w:p>
            <w:pPr>
              <w:snapToGrid w:val="0"/>
              <w:jc w:val="right"/>
            </w:pPr>
            <w:r>
              <w:rPr>
                <w:rFonts w:ascii="宋体" w:eastAsia="宋体" w:hAnsi="宋体" w:cs="宋体"/>
                <w:b w:val="0"/>
                <w:i w:val="0"/>
                <w:color w:val="000000"/>
                <w:sz w:val="20"/>
              </w:rPr>
              <w:t xml:space="preserve">5,145,500.00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5,145,500.00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8,292,824.35</w:t>
            </w:r>
          </w:p>
        </w:tc>
        <w:tc>
          <w:tcPr>
            <w:tcW w:w="1720" w:type="dxa"/>
            <w:tcBorders/>
            <w:vAlign w:val="center"/>
          </w:tcPr>
          <w:p>
            <w:pPr>
              <w:snapToGrid w:val="0"/>
              <w:jc w:val="right"/>
            </w:pPr>
            <w:r>
              <w:rPr>
                <w:rFonts w:ascii="宋体" w:eastAsia="宋体" w:hAnsi="宋体" w:cs="宋体"/>
                <w:b w:val="0"/>
                <w:i w:val="0"/>
                <w:color w:val="000000"/>
                <w:sz w:val="20"/>
              </w:rPr>
              <w:t xml:space="preserve">6,953,824.09</w:t>
            </w:r>
          </w:p>
        </w:tc>
        <w:tc>
          <w:tcPr>
            <w:tcW w:w="1720" w:type="dxa"/>
            <w:tcBorders/>
            <w:vAlign w:val="center"/>
          </w:tcPr>
          <w:p>
            <w:pPr>
              <w:snapToGrid w:val="0"/>
              <w:jc w:val="right"/>
            </w:pPr>
            <w:r>
              <w:rPr>
                <w:rFonts w:ascii="宋体" w:eastAsia="宋体" w:hAnsi="宋体" w:cs="宋体"/>
                <w:b w:val="0"/>
                <w:i w:val="0"/>
                <w:color w:val="000000"/>
                <w:sz w:val="20"/>
              </w:rPr>
              <w:t xml:space="preserve">6,953,824.09</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1,339,000.26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6,883,824.09</w:t>
            </w:r>
          </w:p>
        </w:tc>
        <w:tc>
          <w:tcPr>
            <w:tcW w:w="1720" w:type="dxa"/>
            <w:tcBorders/>
            <w:vAlign w:val="center"/>
          </w:tcPr>
          <w:p>
            <w:pPr>
              <w:snapToGrid w:val="0"/>
              <w:jc w:val="right"/>
            </w:pPr>
            <w:r>
              <w:rPr>
                <w:rFonts w:ascii="宋体" w:eastAsia="宋体" w:hAnsi="宋体" w:cs="宋体"/>
                <w:b w:val="0"/>
                <w:i w:val="0"/>
                <w:color w:val="000000"/>
                <w:sz w:val="20"/>
              </w:rPr>
              <w:t xml:space="preserve">6,883,824.09</w:t>
            </w:r>
          </w:p>
        </w:tc>
        <w:tc>
          <w:tcPr>
            <w:tcW w:w="1720" w:type="dxa"/>
            <w:tcBorders/>
            <w:vAlign w:val="center"/>
          </w:tcPr>
          <w:p>
            <w:pPr>
              <w:snapToGrid w:val="0"/>
              <w:jc w:val="right"/>
            </w:pPr>
            <w:r>
              <w:rPr>
                <w:rFonts w:ascii="宋体" w:eastAsia="宋体" w:hAnsi="宋体" w:cs="宋体"/>
                <w:b w:val="0"/>
                <w:i w:val="0"/>
                <w:color w:val="000000"/>
                <w:sz w:val="20"/>
              </w:rPr>
              <w:t xml:space="preserve">6,883,824.09</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4,590,650.81</w:t>
            </w:r>
          </w:p>
        </w:tc>
        <w:tc>
          <w:tcPr>
            <w:tcW w:w="1720" w:type="dxa"/>
            <w:tcBorders/>
            <w:vAlign w:val="center"/>
          </w:tcPr>
          <w:p>
            <w:pPr>
              <w:snapToGrid w:val="0"/>
              <w:jc w:val="right"/>
            </w:pPr>
            <w:r>
              <w:rPr>
                <w:rFonts w:ascii="宋体" w:eastAsia="宋体" w:hAnsi="宋体" w:cs="宋体"/>
                <w:b w:val="0"/>
                <w:i w:val="0"/>
                <w:color w:val="000000"/>
                <w:sz w:val="20"/>
              </w:rPr>
              <w:t xml:space="preserve">4,590,650.81</w:t>
            </w:r>
          </w:p>
        </w:tc>
        <w:tc>
          <w:tcPr>
            <w:tcW w:w="1720" w:type="dxa"/>
            <w:tcBorders/>
            <w:vAlign w:val="center"/>
          </w:tcPr>
          <w:p>
            <w:pPr>
              <w:snapToGrid w:val="0"/>
              <w:jc w:val="right"/>
            </w:pPr>
            <w:r>
              <w:rPr>
                <w:rFonts w:ascii="宋体" w:eastAsia="宋体" w:hAnsi="宋体" w:cs="宋体"/>
                <w:b w:val="0"/>
                <w:i w:val="0"/>
                <w:color w:val="000000"/>
                <w:sz w:val="20"/>
              </w:rPr>
              <w:t xml:space="preserve">4,590,650.81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2,293,173.28</w:t>
            </w:r>
          </w:p>
        </w:tc>
        <w:tc>
          <w:tcPr>
            <w:tcW w:w="1720" w:type="dxa"/>
            <w:tcBorders/>
            <w:vAlign w:val="center"/>
          </w:tcPr>
          <w:p>
            <w:pPr>
              <w:snapToGrid w:val="0"/>
              <w:jc w:val="right"/>
            </w:pPr>
            <w:r>
              <w:rPr>
                <w:rFonts w:ascii="宋体" w:eastAsia="宋体" w:hAnsi="宋体" w:cs="宋体"/>
                <w:b w:val="0"/>
                <w:i w:val="0"/>
                <w:color w:val="000000"/>
                <w:sz w:val="20"/>
              </w:rPr>
              <w:t xml:space="preserve">2,293,173.28</w:t>
            </w:r>
          </w:p>
        </w:tc>
        <w:tc>
          <w:tcPr>
            <w:tcW w:w="1720" w:type="dxa"/>
            <w:tcBorders/>
            <w:vAlign w:val="center"/>
          </w:tcPr>
          <w:p>
            <w:pPr>
              <w:snapToGrid w:val="0"/>
              <w:jc w:val="right"/>
            </w:pPr>
            <w:r>
              <w:rPr>
                <w:rFonts w:ascii="宋体" w:eastAsia="宋体" w:hAnsi="宋体" w:cs="宋体"/>
                <w:b w:val="0"/>
                <w:i w:val="0"/>
                <w:color w:val="000000"/>
                <w:sz w:val="20"/>
              </w:rPr>
              <w:t xml:space="preserve">2,293,173.28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20809</w:t>
            </w:r>
          </w:p>
        </w:tc>
        <w:tc>
          <w:tcPr>
            <w:tcW w:w="3480" w:type="dxa"/>
            <w:tcBorders/>
            <w:vAlign w:val="center"/>
          </w:tcPr>
          <w:p>
            <w:pPr>
              <w:snapToGrid w:val="0"/>
              <w:jc w:val="left"/>
            </w:pPr>
            <w:r>
              <w:rPr>
                <w:rFonts w:ascii="宋体" w:eastAsia="宋体" w:hAnsi="宋体" w:cs="宋体"/>
                <w:b w:val="0"/>
                <w:i w:val="0"/>
                <w:color w:val="000000"/>
                <w:sz w:val="20"/>
              </w:rPr>
              <w:t xml:space="preserve">退役安置</w:t>
            </w:r>
          </w:p>
        </w:tc>
        <w:tc>
          <w:tcPr>
            <w:tcW w:w="1720" w:type="dxa"/>
            <w:tcBorders/>
            <w:vAlign w:val="center"/>
          </w:tcPr>
          <w:p>
            <w:pPr>
              <w:snapToGrid w:val="0"/>
              <w:jc w:val="right"/>
            </w:pPr>
            <w:r>
              <w:rPr>
                <w:rFonts w:ascii="宋体" w:eastAsia="宋体" w:hAnsi="宋体" w:cs="宋体"/>
                <w:b w:val="0"/>
                <w:i w:val="0"/>
                <w:color w:val="000000"/>
                <w:sz w:val="20"/>
              </w:rPr>
              <w:t xml:space="preserve">1,409,000.26</w:t>
            </w:r>
          </w:p>
        </w:tc>
        <w:tc>
          <w:tcPr>
            <w:tcW w:w="1720" w:type="dxa"/>
            <w:tcBorders/>
            <w:vAlign w:val="center"/>
          </w:tcPr>
          <w:p>
            <w:pPr>
              <w:snapToGrid w:val="0"/>
              <w:jc w:val="right"/>
            </w:pPr>
            <w:r>
              <w:rPr>
                <w:rFonts w:ascii="宋体" w:eastAsia="宋体" w:hAnsi="宋体" w:cs="宋体"/>
                <w:b w:val="0"/>
                <w:i w:val="0"/>
                <w:color w:val="000000"/>
                <w:sz w:val="20"/>
              </w:rPr>
              <w:t xml:space="preserve">70,000.00</w:t>
            </w:r>
          </w:p>
        </w:tc>
        <w:tc>
          <w:tcPr>
            <w:tcW w:w="1720" w:type="dxa"/>
            <w:tcBorders/>
            <w:vAlign w:val="center"/>
          </w:tcPr>
          <w:p>
            <w:pPr>
              <w:snapToGrid w:val="0"/>
              <w:jc w:val="right"/>
            </w:pPr>
            <w:r>
              <w:rPr>
                <w:rFonts w:ascii="宋体" w:eastAsia="宋体" w:hAnsi="宋体" w:cs="宋体"/>
                <w:b w:val="0"/>
                <w:i w:val="0"/>
                <w:color w:val="000000"/>
                <w:sz w:val="20"/>
              </w:rPr>
              <w:t xml:space="preserve">70,000.00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1,339,000.26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2080901</w:t>
            </w:r>
          </w:p>
        </w:tc>
        <w:tc>
          <w:tcPr>
            <w:tcW w:w="3480" w:type="dxa"/>
            <w:tcBorders/>
            <w:vAlign w:val="center"/>
          </w:tcPr>
          <w:p>
            <w:pPr>
              <w:snapToGrid w:val="0"/>
              <w:jc w:val="left"/>
            </w:pPr>
            <w:r>
              <w:rPr>
                <w:rFonts w:ascii="宋体" w:eastAsia="宋体" w:hAnsi="宋体" w:cs="宋体"/>
                <w:b w:val="0"/>
                <w:i w:val="0"/>
                <w:color w:val="000000"/>
                <w:sz w:val="20"/>
              </w:rPr>
              <w:t xml:space="preserve">退役士兵安置</w:t>
            </w:r>
          </w:p>
        </w:tc>
        <w:tc>
          <w:tcPr>
            <w:tcW w:w="1720" w:type="dxa"/>
            <w:tcBorders/>
            <w:vAlign w:val="center"/>
          </w:tcPr>
          <w:p>
            <w:pPr>
              <w:snapToGrid w:val="0"/>
              <w:jc w:val="right"/>
            </w:pPr>
            <w:r>
              <w:rPr>
                <w:rFonts w:ascii="宋体" w:eastAsia="宋体" w:hAnsi="宋体" w:cs="宋体"/>
                <w:b w:val="0"/>
                <w:i w:val="0"/>
                <w:color w:val="000000"/>
                <w:sz w:val="20"/>
              </w:rPr>
              <w:t xml:space="preserve">1,409,000.26</w:t>
            </w:r>
          </w:p>
        </w:tc>
        <w:tc>
          <w:tcPr>
            <w:tcW w:w="1720" w:type="dxa"/>
            <w:tcBorders/>
            <w:vAlign w:val="center"/>
          </w:tcPr>
          <w:p>
            <w:pPr>
              <w:snapToGrid w:val="0"/>
              <w:jc w:val="right"/>
            </w:pPr>
            <w:r>
              <w:rPr>
                <w:rFonts w:ascii="宋体" w:eastAsia="宋体" w:hAnsi="宋体" w:cs="宋体"/>
                <w:b w:val="0"/>
                <w:i w:val="0"/>
                <w:color w:val="000000"/>
                <w:sz w:val="20"/>
              </w:rPr>
              <w:t xml:space="preserve">70,000.00</w:t>
            </w:r>
          </w:p>
        </w:tc>
        <w:tc>
          <w:tcPr>
            <w:tcW w:w="1720" w:type="dxa"/>
            <w:tcBorders/>
            <w:vAlign w:val="center"/>
          </w:tcPr>
          <w:p>
            <w:pPr>
              <w:snapToGrid w:val="0"/>
              <w:jc w:val="right"/>
            </w:pPr>
            <w:r>
              <w:rPr>
                <w:rFonts w:ascii="宋体" w:eastAsia="宋体" w:hAnsi="宋体" w:cs="宋体"/>
                <w:b w:val="0"/>
                <w:i w:val="0"/>
                <w:color w:val="000000"/>
                <w:sz w:val="20"/>
              </w:rPr>
              <w:t xml:space="preserve">70,000.00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1,339,000.26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3,220,328.51</w:t>
            </w:r>
          </w:p>
        </w:tc>
        <w:tc>
          <w:tcPr>
            <w:tcW w:w="1720" w:type="dxa"/>
            <w:tcBorders/>
            <w:vAlign w:val="center"/>
          </w:tcPr>
          <w:p>
            <w:pPr>
              <w:snapToGrid w:val="0"/>
              <w:jc w:val="right"/>
            </w:pPr>
            <w:r>
              <w:rPr>
                <w:rFonts w:ascii="宋体" w:eastAsia="宋体" w:hAnsi="宋体" w:cs="宋体"/>
                <w:b w:val="0"/>
                <w:i w:val="0"/>
                <w:color w:val="000000"/>
                <w:sz w:val="20"/>
              </w:rPr>
              <w:t xml:space="preserve">3,220,328.51</w:t>
            </w:r>
          </w:p>
        </w:tc>
        <w:tc>
          <w:tcPr>
            <w:tcW w:w="1720" w:type="dxa"/>
            <w:tcBorders/>
            <w:vAlign w:val="center"/>
          </w:tcPr>
          <w:p>
            <w:pPr>
              <w:snapToGrid w:val="0"/>
              <w:jc w:val="right"/>
            </w:pPr>
            <w:r>
              <w:rPr>
                <w:rFonts w:ascii="宋体" w:eastAsia="宋体" w:hAnsi="宋体" w:cs="宋体"/>
                <w:b w:val="0"/>
                <w:i w:val="0"/>
                <w:color w:val="000000"/>
                <w:sz w:val="20"/>
              </w:rPr>
              <w:t xml:space="preserve">3,220,328.51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3,220,328.51</w:t>
            </w:r>
          </w:p>
        </w:tc>
        <w:tc>
          <w:tcPr>
            <w:tcW w:w="1720" w:type="dxa"/>
            <w:tcBorders/>
            <w:vAlign w:val="center"/>
          </w:tcPr>
          <w:p>
            <w:pPr>
              <w:snapToGrid w:val="0"/>
              <w:jc w:val="right"/>
            </w:pPr>
            <w:r>
              <w:rPr>
                <w:rFonts w:ascii="宋体" w:eastAsia="宋体" w:hAnsi="宋体" w:cs="宋体"/>
                <w:b w:val="0"/>
                <w:i w:val="0"/>
                <w:color w:val="000000"/>
                <w:sz w:val="20"/>
              </w:rPr>
              <w:t xml:space="preserve">3,220,328.51</w:t>
            </w:r>
          </w:p>
        </w:tc>
        <w:tc>
          <w:tcPr>
            <w:tcW w:w="1720" w:type="dxa"/>
            <w:tcBorders/>
            <w:vAlign w:val="center"/>
          </w:tcPr>
          <w:p>
            <w:pPr>
              <w:snapToGrid w:val="0"/>
              <w:jc w:val="right"/>
            </w:pPr>
            <w:r>
              <w:rPr>
                <w:rFonts w:ascii="宋体" w:eastAsia="宋体" w:hAnsi="宋体" w:cs="宋体"/>
                <w:b w:val="0"/>
                <w:i w:val="0"/>
                <w:color w:val="000000"/>
                <w:sz w:val="20"/>
              </w:rPr>
              <w:t xml:space="preserve">3,220,328.51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2,736,784.67</w:t>
            </w:r>
          </w:p>
        </w:tc>
        <w:tc>
          <w:tcPr>
            <w:tcW w:w="1720" w:type="dxa"/>
            <w:tcBorders/>
            <w:vAlign w:val="center"/>
          </w:tcPr>
          <w:p>
            <w:pPr>
              <w:snapToGrid w:val="0"/>
              <w:jc w:val="right"/>
            </w:pPr>
            <w:r>
              <w:rPr>
                <w:rFonts w:ascii="宋体" w:eastAsia="宋体" w:hAnsi="宋体" w:cs="宋体"/>
                <w:b w:val="0"/>
                <w:i w:val="0"/>
                <w:color w:val="000000"/>
                <w:sz w:val="20"/>
              </w:rPr>
              <w:t xml:space="preserve">2,736,784.67</w:t>
            </w:r>
          </w:p>
        </w:tc>
        <w:tc>
          <w:tcPr>
            <w:tcW w:w="1720" w:type="dxa"/>
            <w:tcBorders/>
            <w:vAlign w:val="center"/>
          </w:tcPr>
          <w:p>
            <w:pPr>
              <w:snapToGrid w:val="0"/>
              <w:jc w:val="right"/>
            </w:pPr>
            <w:r>
              <w:rPr>
                <w:rFonts w:ascii="宋体" w:eastAsia="宋体" w:hAnsi="宋体" w:cs="宋体"/>
                <w:b w:val="0"/>
                <w:i w:val="0"/>
                <w:color w:val="000000"/>
                <w:sz w:val="20"/>
              </w:rPr>
              <w:t xml:space="preserve">2,736,784.67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131,900.00</w:t>
            </w:r>
          </w:p>
        </w:tc>
        <w:tc>
          <w:tcPr>
            <w:tcW w:w="1720" w:type="dxa"/>
            <w:tcBorders/>
            <w:vAlign w:val="center"/>
          </w:tcPr>
          <w:p>
            <w:pPr>
              <w:snapToGrid w:val="0"/>
              <w:jc w:val="right"/>
            </w:pPr>
            <w:r>
              <w:rPr>
                <w:rFonts w:ascii="宋体" w:eastAsia="宋体" w:hAnsi="宋体" w:cs="宋体"/>
                <w:b w:val="0"/>
                <w:i w:val="0"/>
                <w:color w:val="000000"/>
                <w:sz w:val="20"/>
              </w:rPr>
              <w:t xml:space="preserve">131,900.00</w:t>
            </w:r>
          </w:p>
        </w:tc>
        <w:tc>
          <w:tcPr>
            <w:tcW w:w="1720" w:type="dxa"/>
            <w:tcBorders/>
            <w:vAlign w:val="center"/>
          </w:tcPr>
          <w:p>
            <w:pPr>
              <w:snapToGrid w:val="0"/>
              <w:jc w:val="right"/>
            </w:pPr>
            <w:r>
              <w:rPr>
                <w:rFonts w:ascii="宋体" w:eastAsia="宋体" w:hAnsi="宋体" w:cs="宋体"/>
                <w:b w:val="0"/>
                <w:i w:val="0"/>
                <w:color w:val="000000"/>
                <w:sz w:val="20"/>
              </w:rPr>
              <w:t xml:space="preserve">131,900.00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351,643.84</w:t>
            </w:r>
          </w:p>
        </w:tc>
        <w:tc>
          <w:tcPr>
            <w:tcW w:w="1720" w:type="dxa"/>
            <w:tcBorders/>
            <w:vAlign w:val="center"/>
          </w:tcPr>
          <w:p>
            <w:pPr>
              <w:snapToGrid w:val="0"/>
              <w:jc w:val="right"/>
            </w:pPr>
            <w:r>
              <w:rPr>
                <w:rFonts w:ascii="宋体" w:eastAsia="宋体" w:hAnsi="宋体" w:cs="宋体"/>
                <w:b w:val="0"/>
                <w:i w:val="0"/>
                <w:color w:val="000000"/>
                <w:sz w:val="20"/>
              </w:rPr>
              <w:t xml:space="preserve">351,643.84</w:t>
            </w:r>
          </w:p>
        </w:tc>
        <w:tc>
          <w:tcPr>
            <w:tcW w:w="1720" w:type="dxa"/>
            <w:tcBorders/>
            <w:vAlign w:val="center"/>
          </w:tcPr>
          <w:p>
            <w:pPr>
              <w:snapToGrid w:val="0"/>
              <w:jc w:val="right"/>
            </w:pPr>
            <w:r>
              <w:rPr>
                <w:rFonts w:ascii="宋体" w:eastAsia="宋体" w:hAnsi="宋体" w:cs="宋体"/>
                <w:b w:val="0"/>
                <w:i w:val="0"/>
                <w:color w:val="000000"/>
                <w:sz w:val="20"/>
              </w:rPr>
              <w:t xml:space="preserve">351,643.84</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63,603,999.97</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7,964,938.82</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10,169,685.00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558,301.66</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13,420,445.90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51,000.00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50,000.00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12,106,736.07</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58.50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45,100.00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743,272.00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83,745.46</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4,590,650.81</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560,000.00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2,293,173.28</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347,712.00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2,868,684.67</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595,929.05</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351,643.84</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461,950.79</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511,005.40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128,079.17</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15,302,874.00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70,000.00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1,245,829.00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1,734,721.00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930,979.40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snapToGrid w:val="0"/>
              <w:jc w:val="right"/>
            </w:pPr>
            <w:r>
              <w:rPr>
                <w:rFonts w:ascii="宋体" w:eastAsia="宋体" w:hAnsi="宋体" w:cs="宋体"/>
                <w:b w:val="0"/>
                <w:i w:val="0"/>
                <w:color w:val="000000"/>
                <w:sz w:val="14"/>
              </w:rPr>
              <w:t xml:space="preserve">392,897.00</w:t>
            </w: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snapToGrid w:val="0"/>
              <w:jc w:val="right"/>
            </w:pPr>
            <w:r>
              <w:rPr>
                <w:rFonts w:ascii="宋体" w:eastAsia="宋体" w:hAnsi="宋体" w:cs="宋体"/>
                <w:b w:val="0"/>
                <w:i w:val="0"/>
                <w:color w:val="000000"/>
                <w:sz w:val="14"/>
              </w:rPr>
              <w:t xml:space="preserve">4,900.00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156,461.40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799,200.00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266,617.29</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767,900.00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715.00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860,342.70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460,884.13</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1,769,550.00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253,668.20</w:t>
            </w: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133,668.07</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65,338,720.97</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8,014,938.82</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972277765"/>
      <w:bookmarkStart w:id="27" w:name="_Toc1186085211"/>
      <w:bookmarkStart w:id="28" w:name="_Toc2050619938"/>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天津市宝坻区市场监督管理局（本级）2024年度政府性基金预算财政拨款收入支出决算表为空表。</w:t>
      </w:r>
      <w:bookmarkStart w:id="30" w:name="_Toc1662304910"/>
      <w:bookmarkStart w:id="31" w:name="_Toc81643052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天津市宝坻区市场监督管理局（本级）2024年国有资本经营预算财政拨款收入支出决算表为空表。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460,884.13</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460,884.13</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460,884.13</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2044509788"/>
      <w:bookmarkStart w:id="40" w:name="_Toc173785173"/>
      <w:bookmarkStart w:id="41" w:name="_Toc18079597"/>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8,717,127.49</w:t>
            </w:r>
          </w:p>
        </w:tc>
        <w:tc>
          <w:tcPr>
            <w:tcW w:w="1240" w:type="dxa"/>
            <w:tcBorders/>
            <w:vAlign w:val="center"/>
          </w:tcPr>
          <w:p>
            <w:pPr>
              <w:snapToGrid w:val="0"/>
              <w:jc w:val="right"/>
            </w:pPr>
            <w:r>
              <w:rPr>
                <w:rFonts w:ascii="宋体" w:eastAsia="宋体" w:hAnsi="宋体" w:cs="宋体"/>
                <w:b w:val="0"/>
                <w:i w:val="0"/>
                <w:color w:val="000000"/>
                <w:sz w:val="14"/>
              </w:rPr>
              <w:t xml:space="preserve">8,717,127.49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w:t>
            </w:r>
          </w:p>
        </w:tc>
        <w:tc>
          <w:tcPr>
            <w:tcW w:w="524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160" w:type="dxa"/>
            <w:tcBorders/>
            <w:vAlign w:val="center"/>
          </w:tcPr>
          <w:p>
            <w:pPr>
              <w:snapToGrid w:val="0"/>
              <w:jc w:val="right"/>
            </w:pPr>
            <w:r>
              <w:rPr>
                <w:rFonts w:ascii="宋体" w:eastAsia="宋体" w:hAnsi="宋体" w:cs="宋体"/>
                <w:b w:val="0"/>
                <w:i w:val="0"/>
                <w:color w:val="000000"/>
                <w:sz w:val="14"/>
              </w:rPr>
              <w:t xml:space="preserve">7,378,127.23</w:t>
            </w:r>
          </w:p>
        </w:tc>
        <w:tc>
          <w:tcPr>
            <w:tcW w:w="1240" w:type="dxa"/>
            <w:tcBorders/>
            <w:vAlign w:val="center"/>
          </w:tcPr>
          <w:p>
            <w:pPr>
              <w:snapToGrid w:val="0"/>
              <w:jc w:val="right"/>
            </w:pPr>
            <w:r>
              <w:rPr>
                <w:rFonts w:ascii="宋体" w:eastAsia="宋体" w:hAnsi="宋体" w:cs="宋体"/>
                <w:b w:val="0"/>
                <w:i w:val="0"/>
                <w:color w:val="000000"/>
                <w:sz w:val="14"/>
              </w:rPr>
              <w:t xml:space="preserve">7,378,127.23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w:t>
            </w:r>
          </w:p>
        </w:tc>
        <w:tc>
          <w:tcPr>
            <w:tcW w:w="5240" w:type="dxa"/>
            <w:tcBorders/>
            <w:vAlign w:val="center"/>
          </w:tcPr>
          <w:p>
            <w:pPr>
              <w:snapToGrid w:val="0"/>
              <w:jc w:val="left"/>
            </w:pPr>
            <w:r>
              <w:rPr>
                <w:rFonts w:ascii="宋体" w:eastAsia="宋体" w:hAnsi="宋体" w:cs="宋体"/>
                <w:b w:val="0"/>
                <w:i w:val="0"/>
                <w:color w:val="000000"/>
                <w:sz w:val="14"/>
              </w:rPr>
              <w:t xml:space="preserve">市场监督管理事务</w:t>
            </w:r>
          </w:p>
        </w:tc>
        <w:tc>
          <w:tcPr>
            <w:tcW w:w="1160" w:type="dxa"/>
            <w:tcBorders/>
            <w:vAlign w:val="center"/>
          </w:tcPr>
          <w:p>
            <w:pPr>
              <w:snapToGrid w:val="0"/>
              <w:jc w:val="right"/>
            </w:pPr>
            <w:r>
              <w:rPr>
                <w:rFonts w:ascii="宋体" w:eastAsia="宋体" w:hAnsi="宋体" w:cs="宋体"/>
                <w:b w:val="0"/>
                <w:i w:val="0"/>
                <w:color w:val="000000"/>
                <w:sz w:val="14"/>
              </w:rPr>
              <w:t xml:space="preserve">7,378,127.23</w:t>
            </w:r>
          </w:p>
        </w:tc>
        <w:tc>
          <w:tcPr>
            <w:tcW w:w="1240" w:type="dxa"/>
            <w:tcBorders/>
            <w:vAlign w:val="center"/>
          </w:tcPr>
          <w:p>
            <w:pPr>
              <w:snapToGrid w:val="0"/>
              <w:jc w:val="right"/>
            </w:pPr>
            <w:r>
              <w:rPr>
                <w:rFonts w:ascii="宋体" w:eastAsia="宋体" w:hAnsi="宋体" w:cs="宋体"/>
                <w:b w:val="0"/>
                <w:i w:val="0"/>
                <w:color w:val="000000"/>
                <w:sz w:val="14"/>
              </w:rPr>
              <w:t xml:space="preserve">7,378,127.23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2013801</w:t>
            </w:r>
          </w:p>
        </w:tc>
        <w:tc>
          <w:tcPr>
            <w:tcW w:w="5240" w:type="dxa"/>
            <w:tcBorders/>
            <w:vAlign w:val="center"/>
          </w:tcPr>
          <w:p>
            <w:pPr>
              <w:snapToGrid w:val="0"/>
              <w:jc w:val="left"/>
            </w:pPr>
            <w:r>
              <w:rPr>
                <w:rFonts w:ascii="宋体" w:eastAsia="宋体" w:hAnsi="宋体" w:cs="宋体"/>
                <w:b w:val="0"/>
                <w:i w:val="0"/>
                <w:color w:val="000000"/>
                <w:sz w:val="14"/>
              </w:rPr>
              <w:t xml:space="preserve">行政运行</w:t>
            </w:r>
          </w:p>
        </w:tc>
        <w:tc>
          <w:tcPr>
            <w:tcW w:w="1160" w:type="dxa"/>
            <w:tcBorders/>
            <w:vAlign w:val="center"/>
          </w:tcPr>
          <w:p>
            <w:pPr>
              <w:snapToGrid w:val="0"/>
              <w:jc w:val="right"/>
            </w:pPr>
            <w:r>
              <w:rPr>
                <w:rFonts w:ascii="宋体" w:eastAsia="宋体" w:hAnsi="宋体" w:cs="宋体"/>
                <w:b w:val="0"/>
                <w:i w:val="0"/>
                <w:color w:val="000000"/>
                <w:sz w:val="14"/>
              </w:rPr>
              <w:t xml:space="preserve">2,232,627.23</w:t>
            </w:r>
          </w:p>
        </w:tc>
        <w:tc>
          <w:tcPr>
            <w:tcW w:w="1240" w:type="dxa"/>
            <w:tcBorders/>
            <w:vAlign w:val="center"/>
          </w:tcPr>
          <w:p>
            <w:pPr>
              <w:snapToGrid w:val="0"/>
              <w:jc w:val="right"/>
            </w:pPr>
            <w:r>
              <w:rPr>
                <w:rFonts w:ascii="宋体" w:eastAsia="宋体" w:hAnsi="宋体" w:cs="宋体"/>
                <w:b w:val="0"/>
                <w:i w:val="0"/>
                <w:color w:val="000000"/>
                <w:sz w:val="14"/>
              </w:rPr>
              <w:t xml:space="preserve">2,232,627.23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2013801</w:t>
            </w:r>
          </w:p>
        </w:tc>
        <w:tc>
          <w:tcPr>
            <w:tcW w:w="5240" w:type="dxa"/>
            <w:tcBorders/>
            <w:vAlign w:val="center"/>
          </w:tcPr>
          <w:p>
            <w:pPr>
              <w:snapToGrid w:val="0"/>
              <w:jc w:val="left"/>
            </w:pPr>
            <w:r>
              <w:rPr>
                <w:rFonts w:ascii="宋体" w:eastAsia="宋体" w:hAnsi="宋体" w:cs="宋体"/>
                <w:b w:val="0"/>
                <w:i w:val="0"/>
                <w:color w:val="000000"/>
                <w:sz w:val="14"/>
              </w:rPr>
              <w:t xml:space="preserve">劳务派遣人员经费</w:t>
            </w:r>
          </w:p>
        </w:tc>
        <w:tc>
          <w:tcPr>
            <w:tcW w:w="1160" w:type="dxa"/>
            <w:tcBorders/>
            <w:vAlign w:val="center"/>
          </w:tcPr>
          <w:p>
            <w:pPr>
              <w:snapToGrid w:val="0"/>
              <w:jc w:val="right"/>
            </w:pPr>
            <w:r>
              <w:rPr>
                <w:rFonts w:ascii="宋体" w:eastAsia="宋体" w:hAnsi="宋体" w:cs="宋体"/>
                <w:b w:val="0"/>
                <w:i w:val="0"/>
                <w:color w:val="000000"/>
                <w:sz w:val="14"/>
              </w:rPr>
              <w:t xml:space="preserve">2,232,627.23</w:t>
            </w:r>
          </w:p>
        </w:tc>
        <w:tc>
          <w:tcPr>
            <w:tcW w:w="1240" w:type="dxa"/>
            <w:tcBorders/>
            <w:vAlign w:val="center"/>
          </w:tcPr>
          <w:p>
            <w:pPr>
              <w:snapToGrid w:val="0"/>
              <w:jc w:val="right"/>
            </w:pPr>
            <w:r>
              <w:rPr>
                <w:rFonts w:ascii="宋体" w:eastAsia="宋体" w:hAnsi="宋体" w:cs="宋体"/>
                <w:b w:val="0"/>
                <w:i w:val="0"/>
                <w:color w:val="000000"/>
                <w:sz w:val="14"/>
              </w:rPr>
              <w:t xml:space="preserve">2,232,627.23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2013899</w:t>
            </w:r>
          </w:p>
        </w:tc>
        <w:tc>
          <w:tcPr>
            <w:tcW w:w="5240" w:type="dxa"/>
            <w:tcBorders/>
            <w:vAlign w:val="center"/>
          </w:tcPr>
          <w:p>
            <w:pPr>
              <w:snapToGrid w:val="0"/>
              <w:jc w:val="left"/>
            </w:pPr>
            <w:r>
              <w:rPr>
                <w:rFonts w:ascii="宋体" w:eastAsia="宋体" w:hAnsi="宋体" w:cs="宋体"/>
                <w:b w:val="0"/>
                <w:i w:val="0"/>
                <w:color w:val="000000"/>
                <w:sz w:val="14"/>
              </w:rPr>
              <w:t xml:space="preserve">其他市场监督管理事务</w:t>
            </w:r>
          </w:p>
        </w:tc>
        <w:tc>
          <w:tcPr>
            <w:tcW w:w="1160" w:type="dxa"/>
            <w:tcBorders/>
            <w:vAlign w:val="center"/>
          </w:tcPr>
          <w:p>
            <w:pPr>
              <w:snapToGrid w:val="0"/>
              <w:jc w:val="right"/>
            </w:pPr>
            <w:r>
              <w:rPr>
                <w:rFonts w:ascii="宋体" w:eastAsia="宋体" w:hAnsi="宋体" w:cs="宋体"/>
                <w:b w:val="0"/>
                <w:i w:val="0"/>
                <w:color w:val="000000"/>
                <w:sz w:val="14"/>
              </w:rPr>
              <w:t xml:space="preserve">5,145,500.00</w:t>
            </w:r>
          </w:p>
        </w:tc>
        <w:tc>
          <w:tcPr>
            <w:tcW w:w="1240" w:type="dxa"/>
            <w:tcBorders/>
            <w:vAlign w:val="center"/>
          </w:tcPr>
          <w:p>
            <w:pPr>
              <w:snapToGrid w:val="0"/>
              <w:jc w:val="right"/>
            </w:pPr>
            <w:r>
              <w:rPr>
                <w:rFonts w:ascii="宋体" w:eastAsia="宋体" w:hAnsi="宋体" w:cs="宋体"/>
                <w:b w:val="0"/>
                <w:i w:val="0"/>
                <w:color w:val="000000"/>
                <w:sz w:val="14"/>
              </w:rPr>
              <w:t xml:space="preserve">5,145,500.00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2013899</w:t>
            </w:r>
          </w:p>
        </w:tc>
        <w:tc>
          <w:tcPr>
            <w:tcW w:w="5240" w:type="dxa"/>
            <w:tcBorders/>
            <w:vAlign w:val="center"/>
          </w:tcPr>
          <w:p>
            <w:pPr>
              <w:snapToGrid w:val="0"/>
              <w:jc w:val="left"/>
            </w:pPr>
            <w:r>
              <w:rPr>
                <w:rFonts w:ascii="宋体" w:eastAsia="宋体" w:hAnsi="宋体" w:cs="宋体"/>
                <w:b w:val="0"/>
                <w:i w:val="0"/>
                <w:color w:val="000000"/>
                <w:sz w:val="14"/>
              </w:rPr>
              <w:t xml:space="preserve">市场监管经费</w:t>
            </w:r>
          </w:p>
        </w:tc>
        <w:tc>
          <w:tcPr>
            <w:tcW w:w="1160" w:type="dxa"/>
            <w:tcBorders/>
            <w:vAlign w:val="center"/>
          </w:tcPr>
          <w:p>
            <w:pPr>
              <w:snapToGrid w:val="0"/>
              <w:jc w:val="right"/>
            </w:pPr>
            <w:r>
              <w:rPr>
                <w:rFonts w:ascii="宋体" w:eastAsia="宋体" w:hAnsi="宋体" w:cs="宋体"/>
                <w:b w:val="0"/>
                <w:i w:val="0"/>
                <w:color w:val="000000"/>
                <w:sz w:val="14"/>
              </w:rPr>
              <w:t xml:space="preserve">5,145,500.00</w:t>
            </w:r>
          </w:p>
        </w:tc>
        <w:tc>
          <w:tcPr>
            <w:tcW w:w="1240" w:type="dxa"/>
            <w:tcBorders/>
            <w:vAlign w:val="center"/>
          </w:tcPr>
          <w:p>
            <w:pPr>
              <w:snapToGrid w:val="0"/>
              <w:jc w:val="right"/>
            </w:pPr>
            <w:r>
              <w:rPr>
                <w:rFonts w:ascii="宋体" w:eastAsia="宋体" w:hAnsi="宋体" w:cs="宋体"/>
                <w:b w:val="0"/>
                <w:i w:val="0"/>
                <w:color w:val="000000"/>
                <w:sz w:val="14"/>
              </w:rPr>
              <w:t xml:space="preserve">5,145,500.00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w:t>
            </w:r>
          </w:p>
        </w:tc>
        <w:tc>
          <w:tcPr>
            <w:tcW w:w="524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160" w:type="dxa"/>
            <w:tcBorders/>
            <w:vAlign w:val="center"/>
          </w:tcPr>
          <w:p>
            <w:pPr>
              <w:snapToGrid w:val="0"/>
              <w:jc w:val="right"/>
            </w:pPr>
            <w:r>
              <w:rPr>
                <w:rFonts w:ascii="宋体" w:eastAsia="宋体" w:hAnsi="宋体" w:cs="宋体"/>
                <w:b w:val="0"/>
                <w:i w:val="0"/>
                <w:color w:val="000000"/>
                <w:sz w:val="14"/>
              </w:rPr>
              <w:t xml:space="preserve">1,339,000.26</w:t>
            </w:r>
          </w:p>
        </w:tc>
        <w:tc>
          <w:tcPr>
            <w:tcW w:w="1240" w:type="dxa"/>
            <w:tcBorders/>
            <w:vAlign w:val="center"/>
          </w:tcPr>
          <w:p>
            <w:pPr>
              <w:snapToGrid w:val="0"/>
              <w:jc w:val="right"/>
            </w:pPr>
            <w:r>
              <w:rPr>
                <w:rFonts w:ascii="宋体" w:eastAsia="宋体" w:hAnsi="宋体" w:cs="宋体"/>
                <w:b w:val="0"/>
                <w:i w:val="0"/>
                <w:color w:val="000000"/>
                <w:sz w:val="14"/>
              </w:rPr>
              <w:t xml:space="preserve">1,339,000.26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20809</w:t>
            </w:r>
          </w:p>
        </w:tc>
        <w:tc>
          <w:tcPr>
            <w:tcW w:w="5240" w:type="dxa"/>
            <w:tcBorders/>
            <w:vAlign w:val="center"/>
          </w:tcPr>
          <w:p>
            <w:pPr>
              <w:snapToGrid w:val="0"/>
              <w:jc w:val="left"/>
            </w:pPr>
            <w:r>
              <w:rPr>
                <w:rFonts w:ascii="宋体" w:eastAsia="宋体" w:hAnsi="宋体" w:cs="宋体"/>
                <w:b w:val="0"/>
                <w:i w:val="0"/>
                <w:color w:val="000000"/>
                <w:sz w:val="14"/>
              </w:rPr>
              <w:t xml:space="preserve">退役安置</w:t>
            </w:r>
          </w:p>
        </w:tc>
        <w:tc>
          <w:tcPr>
            <w:tcW w:w="1160" w:type="dxa"/>
            <w:tcBorders/>
            <w:vAlign w:val="center"/>
          </w:tcPr>
          <w:p>
            <w:pPr>
              <w:snapToGrid w:val="0"/>
              <w:jc w:val="right"/>
            </w:pPr>
            <w:r>
              <w:rPr>
                <w:rFonts w:ascii="宋体" w:eastAsia="宋体" w:hAnsi="宋体" w:cs="宋体"/>
                <w:b w:val="0"/>
                <w:i w:val="0"/>
                <w:color w:val="000000"/>
                <w:sz w:val="14"/>
              </w:rPr>
              <w:t xml:space="preserve">1,339,000.26</w:t>
            </w:r>
          </w:p>
        </w:tc>
        <w:tc>
          <w:tcPr>
            <w:tcW w:w="1240" w:type="dxa"/>
            <w:tcBorders/>
            <w:vAlign w:val="center"/>
          </w:tcPr>
          <w:p>
            <w:pPr>
              <w:snapToGrid w:val="0"/>
              <w:jc w:val="right"/>
            </w:pPr>
            <w:r>
              <w:rPr>
                <w:rFonts w:ascii="宋体" w:eastAsia="宋体" w:hAnsi="宋体" w:cs="宋体"/>
                <w:b w:val="0"/>
                <w:i w:val="0"/>
                <w:color w:val="000000"/>
                <w:sz w:val="14"/>
              </w:rPr>
              <w:t xml:space="preserve">1,339,000.26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2080901</w:t>
            </w:r>
          </w:p>
        </w:tc>
        <w:tc>
          <w:tcPr>
            <w:tcW w:w="5240" w:type="dxa"/>
            <w:tcBorders/>
            <w:vAlign w:val="center"/>
          </w:tcPr>
          <w:p>
            <w:pPr>
              <w:snapToGrid w:val="0"/>
              <w:jc w:val="left"/>
            </w:pPr>
            <w:r>
              <w:rPr>
                <w:rFonts w:ascii="宋体" w:eastAsia="宋体" w:hAnsi="宋体" w:cs="宋体"/>
                <w:b w:val="0"/>
                <w:i w:val="0"/>
                <w:color w:val="000000"/>
                <w:sz w:val="14"/>
              </w:rPr>
              <w:t xml:space="preserve">退役士兵安置</w:t>
            </w:r>
          </w:p>
        </w:tc>
        <w:tc>
          <w:tcPr>
            <w:tcW w:w="1160" w:type="dxa"/>
            <w:tcBorders/>
            <w:vAlign w:val="center"/>
          </w:tcPr>
          <w:p>
            <w:pPr>
              <w:snapToGrid w:val="0"/>
              <w:jc w:val="right"/>
            </w:pPr>
            <w:r>
              <w:rPr>
                <w:rFonts w:ascii="宋体" w:eastAsia="宋体" w:hAnsi="宋体" w:cs="宋体"/>
                <w:b w:val="0"/>
                <w:i w:val="0"/>
                <w:color w:val="000000"/>
                <w:sz w:val="14"/>
              </w:rPr>
              <w:t xml:space="preserve">1,339,000.26</w:t>
            </w:r>
          </w:p>
        </w:tc>
        <w:tc>
          <w:tcPr>
            <w:tcW w:w="1240" w:type="dxa"/>
            <w:tcBorders/>
            <w:vAlign w:val="center"/>
          </w:tcPr>
          <w:p>
            <w:pPr>
              <w:snapToGrid w:val="0"/>
              <w:jc w:val="right"/>
            </w:pPr>
            <w:r>
              <w:rPr>
                <w:rFonts w:ascii="宋体" w:eastAsia="宋体" w:hAnsi="宋体" w:cs="宋体"/>
                <w:b w:val="0"/>
                <w:i w:val="0"/>
                <w:color w:val="000000"/>
                <w:sz w:val="14"/>
              </w:rPr>
              <w:t xml:space="preserve">1,339,000.26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2080901</w:t>
            </w:r>
          </w:p>
        </w:tc>
        <w:tc>
          <w:tcPr>
            <w:tcW w:w="5240" w:type="dxa"/>
            <w:tcBorders/>
            <w:vAlign w:val="center"/>
          </w:tcPr>
          <w:p>
            <w:pPr>
              <w:snapToGrid w:val="0"/>
              <w:jc w:val="left"/>
            </w:pPr>
            <w:r>
              <w:rPr>
                <w:rFonts w:ascii="宋体" w:eastAsia="宋体" w:hAnsi="宋体" w:cs="宋体"/>
                <w:b w:val="0"/>
                <w:i w:val="0"/>
                <w:color w:val="000000"/>
                <w:sz w:val="14"/>
              </w:rPr>
              <w:t xml:space="preserve">退役士兵工资</w:t>
            </w:r>
          </w:p>
        </w:tc>
        <w:tc>
          <w:tcPr>
            <w:tcW w:w="1160" w:type="dxa"/>
            <w:tcBorders/>
            <w:vAlign w:val="center"/>
          </w:tcPr>
          <w:p>
            <w:pPr>
              <w:snapToGrid w:val="0"/>
              <w:jc w:val="right"/>
            </w:pPr>
            <w:r>
              <w:rPr>
                <w:rFonts w:ascii="宋体" w:eastAsia="宋体" w:hAnsi="宋体" w:cs="宋体"/>
                <w:b w:val="0"/>
                <w:i w:val="0"/>
                <w:color w:val="000000"/>
                <w:sz w:val="14"/>
              </w:rPr>
              <w:t xml:space="preserve">1,339,000.26</w:t>
            </w:r>
          </w:p>
        </w:tc>
        <w:tc>
          <w:tcPr>
            <w:tcW w:w="1240" w:type="dxa"/>
            <w:tcBorders/>
            <w:vAlign w:val="center"/>
          </w:tcPr>
          <w:p>
            <w:pPr>
              <w:snapToGrid w:val="0"/>
              <w:jc w:val="right"/>
            </w:pPr>
            <w:r>
              <w:rPr>
                <w:rFonts w:ascii="宋体" w:eastAsia="宋体" w:hAnsi="宋体" w:cs="宋体"/>
                <w:b w:val="0"/>
                <w:i w:val="0"/>
                <w:color w:val="000000"/>
                <w:sz w:val="14"/>
              </w:rPr>
              <w:t xml:space="preserve">1,339,000.26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90171269"/>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752851347"/>
      <w:bookmarkStart w:id="47" w:name="_Toc576593978"/>
      <w:bookmarkStart w:id="48" w:name="_Toc1512537805"/>
      <w:bookmarkStart w:id="49" w:name="_Toc429281603"/>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天津市宝坻区市场监督管理局（本级）</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83,394,554.81</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减少20,733,164.44元，下降19.911%</w:t>
      </w:r>
      <w:r>
        <w:rPr>
          <w:rFonts w:eastAsia="仿宋_GB2312" w:hint="eastAsia"/>
          <w:sz w:val="30"/>
          <w:szCs w:val="30"/>
        </w:rPr>
        <w:t xml:space="preserve">，主要原因是</w:t>
      </w:r>
      <w:r>
        <w:rPr>
          <w:rFonts w:eastAsia="仿宋_GB2312" w:hint="eastAsia"/>
          <w:sz w:val="30"/>
          <w:szCs w:val="30"/>
        </w:rPr>
        <w:t xml:space="preserve">2023年度将以前年度往来款列入收支，同时严格财政收支</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一般公共预算财政拨款收入80,721,070.70元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一般公共服务支出70,557,634.42元、社会保障和就业支出8,292,824.35元、卫生健康支出3,220,328.51元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538331348"/>
      <w:bookmarkStart w:id="52" w:name="_Toc198940905"/>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天津市宝坻区市场监督管理局（本级）</w:t>
      </w:r>
      <w:r>
        <w:rPr>
          <w:rFonts w:eastAsia="仿宋_GB2312" w:hint="eastAsia"/>
          <w:sz w:val="30"/>
          <w:szCs w:val="30"/>
        </w:rPr>
        <w:t xml:space="preserve">2024年度本年收入合计</w:t>
      </w:r>
      <w:r>
        <w:rPr>
          <w:rFonts w:eastAsia="仿宋_GB2312" w:hint="eastAsia"/>
          <w:sz w:val="30"/>
          <w:szCs w:val="30"/>
        </w:rPr>
        <w:t xml:space="preserve">80,721,070.70</w:t>
      </w:r>
      <w:r>
        <w:rPr>
          <w:rFonts w:eastAsia="仿宋_GB2312" w:hint="eastAsia"/>
          <w:sz w:val="30"/>
          <w:szCs w:val="30"/>
        </w:rPr>
        <w:t xml:space="preserve">元，与2023年度相比</w:t>
      </w:r>
      <w:r>
        <w:rPr>
          <w:rFonts w:eastAsia="仿宋_GB2312" w:hint="eastAsia"/>
          <w:sz w:val="30"/>
          <w:szCs w:val="30"/>
        </w:rPr>
        <w:t xml:space="preserve">减少23,376,274.67元，</w:t>
      </w:r>
      <w:r>
        <w:rPr>
          <w:rFonts w:eastAsia="仿宋_GB2312" w:hint="eastAsia"/>
          <w:sz w:val="30"/>
          <w:szCs w:val="30"/>
        </w:rPr>
        <w:t xml:space="preserve">主要原因是</w:t>
      </w:r>
      <w:r>
        <w:rPr>
          <w:rFonts w:eastAsia="仿宋_GB2312" w:hint="eastAsia"/>
          <w:sz w:val="30"/>
          <w:szCs w:val="30"/>
        </w:rPr>
        <w:t xml:space="preserve">2023年度将以前年度往来款列入收支</w:t>
      </w:r>
      <w:r>
        <w:rPr>
          <w:rFonts w:eastAsia="仿宋_GB2312" w:hint="eastAsia"/>
          <w:sz w:val="30"/>
          <w:szCs w:val="30"/>
        </w:rPr>
        <w:t xml:space="preserve">。其中：</w:t>
      </w:r>
      <w:r>
        <w:rPr>
          <w:rFonts w:eastAsia="仿宋_GB2312" w:hint="eastAsia"/>
          <w:sz w:val="30"/>
          <w:szCs w:val="30"/>
        </w:rPr>
        <w:t xml:space="preserve">一般公共预算财政拨款收入80,721,070.70元，占100.000%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22681810"/>
      <w:bookmarkStart w:id="55" w:name="_Toc1179339603"/>
      <w:bookmarkStart w:id="56" w:name="_Toc757245026"/>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天津市宝坻区市场监督管理局（本级）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82,070,787.28</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减少19,383,447.86元，</w:t>
      </w:r>
      <w:r>
        <w:rPr>
          <w:rFonts w:eastAsia="仿宋_GB2312" w:hint="eastAsia"/>
          <w:sz w:val="30"/>
          <w:szCs w:val="30"/>
        </w:rPr>
        <w:t xml:space="preserve">主要原因是</w:t>
      </w:r>
      <w:r>
        <w:rPr>
          <w:rFonts w:eastAsia="仿宋_GB2312" w:hint="eastAsia"/>
          <w:sz w:val="30"/>
          <w:szCs w:val="30"/>
        </w:rPr>
        <w:t xml:space="preserve">2023年度将以前年度往来款列入收支</w:t>
      </w:r>
      <w:r>
        <w:rPr>
          <w:rFonts w:eastAsia="仿宋_GB2312" w:hint="eastAsia"/>
          <w:sz w:val="30"/>
          <w:szCs w:val="30"/>
        </w:rPr>
        <w:t xml:space="preserve">。其中：</w:t>
      </w:r>
      <w:r>
        <w:rPr>
          <w:rFonts w:eastAsia="仿宋_GB2312" w:hint="eastAsia"/>
          <w:sz w:val="30"/>
          <w:szCs w:val="30"/>
        </w:rPr>
        <w:t xml:space="preserve">基本支出73,353,659.79元，占89.379%；项目支出8,717,127.49元，占10.621%</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320487183"/>
      <w:bookmarkStart w:id="59" w:name="_Toc1121858128"/>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天津市宝坻区市场监督管理局（本级）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83,394,554.81</w:t>
      </w:r>
      <w:r>
        <w:rPr>
          <w:rFonts w:eastAsia="仿宋_GB2312" w:hint="eastAsia"/>
          <w:sz w:val="30"/>
          <w:szCs w:val="30"/>
        </w:rPr>
        <w:t xml:space="preserve">元。与2023年度相比，财政拨款收、支总计各</w:t>
      </w:r>
      <w:r>
        <w:rPr>
          <w:rFonts w:eastAsia="仿宋_GB2312" w:hint="eastAsia"/>
          <w:sz w:val="30"/>
          <w:szCs w:val="30"/>
        </w:rPr>
        <w:t xml:space="preserve">减少20,727,812.77元，下降19.907%，</w:t>
      </w:r>
      <w:r>
        <w:rPr>
          <w:rFonts w:eastAsia="仿宋_GB2312" w:hint="eastAsia"/>
          <w:sz w:val="30"/>
          <w:szCs w:val="30"/>
        </w:rPr>
        <w:t xml:space="preserve">主要原因是</w:t>
      </w:r>
      <w:r>
        <w:rPr>
          <w:rFonts w:eastAsia="仿宋_GB2312" w:hint="eastAsia"/>
          <w:sz w:val="30"/>
          <w:szCs w:val="30"/>
        </w:rPr>
        <w:t xml:space="preserve">2023年度将以前年度往来款列入收支</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一般公共预算财政拨款80,721,070.70元、年初财政拨款结转和结余2,673,484.11元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一般公共服务支出70,557,634.42元、社会保障和就业支出8,292,824.35元、卫生健康支出3,220,328.51元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332076583"/>
      <w:bookmarkStart w:id="63" w:name="_Toc1821624013"/>
      <w:bookmarkStart w:id="64" w:name="_Toc163136636"/>
      <w:bookmarkStart w:id="65" w:name="_Toc1723257729"/>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天津市宝坻区市场监督管理局（本级）2024年度部门决算一般公共预算财政拨款支出合计82,070,787.28元，占本年支出合计的100.000%。与2023年度相比，一般公共预算财政拨款支出</w:t>
      </w:r>
      <w:r>
        <w:rPr>
          <w:rFonts w:eastAsia="仿宋_GB2312" w:hint="eastAsia"/>
          <w:sz w:val="30"/>
          <w:szCs w:val="30"/>
        </w:rPr>
        <w:t xml:space="preserve">减少19,383,206.76元</w:t>
      </w:r>
      <w:r>
        <w:rPr>
          <w:rFonts w:eastAsia="仿宋_GB2312" w:hint="eastAsia"/>
          <w:sz w:val="30"/>
          <w:szCs w:val="30"/>
          <w:lang w:eastAsia="zh-CN"/>
        </w:rPr>
        <w:t xml:space="preserve">，下降19.105%</w:t>
      </w:r>
      <w:r>
        <w:rPr>
          <w:rFonts w:eastAsia="仿宋_GB2312" w:hint="eastAsia"/>
          <w:sz w:val="30"/>
          <w:szCs w:val="30"/>
        </w:rPr>
        <w:t xml:space="preserve">，主要原因是2023年度将以前年度往来款列入收支。</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2024年度一般公共预算财政拨款支出82,070,787.28元，主要用于以下方面：</w:t>
      </w:r>
      <w:r>
        <w:rPr>
          <w:rFonts w:eastAsia="仿宋_GB2312" w:hint="eastAsia"/>
          <w:sz w:val="30"/>
          <w:szCs w:val="30"/>
        </w:rPr>
        <w:t xml:space="preserve">一般公共服务支出（类）支出70,557,634.42元，占85.972%,社会保障和就业支出（类）支出8,292,824.35元，占10.104%,卫生健康支出（类）支出3,220,328.51元，占3.924%</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2024年度一般公共预算财政拨款支出年初预算为83,705,484.11元，支出决算为82,070,787.28元</w:t>
      </w:r>
      <w:r>
        <w:rPr>
          <w:rFonts w:eastAsia="仿宋_GB2312" w:hint="eastAsia"/>
          <w:sz w:val="30"/>
          <w:szCs w:val="30"/>
        </w:rPr>
        <w:t xml:space="preserve">，完成年初预算的98.047%</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市场监督管理事务（款）行政运行（项）年初预算为59,639,142.09元，支出决算为62,676,421.56元，完成年初预算的105.093%，决算数大于预算数的主要原因是：年中追加抚恤金、未休假补助、优秀公务员奖励等预算656.85万元。</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一般公共服务支出（类）市场监督管理事务（款）事业运行（项）年初预算为2,473,097.22元，支出决算为2,735,712.86元，完成年初预算的110.619%，决算数大于预算数的主要原因是：年中追加未休假补助等预算28.02万元。</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一般公共服务支出（类）市场监督管理事务（款）其他市场监督管理事务（项）年初预算为7,926,000.00元，支出决算为5,145,500.00元，完成年初预算的64.919%，决算数小于预算数的主要原因是：严格按实际支出执行，预算有结余。</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基本养老保险缴费支出（项）年初预算为5,461,118.40元，支出决算为4,590,650.81元，完成年初预算的84.061%，决算数小于预算数的主要原因是：年度内人员减少，退休和调出22人，新增和调入9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社会保障和就业支出（类）行政事业单位养老支出（款）机关事业单位职业年金缴费支出（项）年初预算为2,740,822.18元，支出决算为2,293,173.28元，完成年初预算的83.667%，决算数小于预算数的主要原因是：年度内人员减少，退休和调出22人，新增和调入9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6.社会保障和就业支出（类）退役安置（款）退役士兵安置（项）年初预算为1,390,000.00元，支出决算为1,409,000.26元，完成年初预算的101.367%，决算数大于预算数的主要原因是：年中追加预算7万元。</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行政事业单位医疗（款）行政单位医疗（项）年初预算为3,356,166.50元，支出决算为2,736,784.67元，完成年初预算的81.545%，决算数小于预算数的主要原因是：年度内人员减少，退休和调出22人，新增和调入9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8.卫生健康支出（类）行政事业单位医疗（款）事业单位医疗（项）年初预算为131,900.00元，支出决算为131,900.00元，完成年初预算的100.000%，决算数与预算数持平的主要原因是：人员无变动。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卫生健康支出（类）行政事业单位医疗（款）公务员医疗补助（项）年初预算为587,237.72元，支出决算为351,643.84元，完成年初预算的59.881%，决算数小于预算数的主要原因是：年内人员减少和部分使用上年结余结转经费支出。</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828187861"/>
      <w:bookmarkStart w:id="68" w:name="_Toc1507914859"/>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天津市宝坻区市场监督管理局（本级）</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73,353,659.79</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减少25,665,546.84元，</w:t>
      </w:r>
      <w:r>
        <w:rPr>
          <w:rFonts w:eastAsia="仿宋_GB2312" w:hint="eastAsia"/>
          <w:sz w:val="30"/>
          <w:szCs w:val="30"/>
        </w:rPr>
        <w:t xml:space="preserve">主要原因是</w:t>
      </w:r>
      <w:r>
        <w:rPr>
          <w:rFonts w:eastAsia="仿宋_GB2312" w:hint="eastAsia"/>
          <w:sz w:val="30"/>
          <w:szCs w:val="30"/>
        </w:rPr>
        <w:t xml:space="preserve">2023年度将以前年度往来款列入收支</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人员经费65,338,720.97元，主要包括</w:t>
      </w:r>
      <w:r>
        <w:rPr>
          <w:rFonts w:eastAsia="仿宋_GB2312" w:hint="eastAsia"/>
          <w:sz w:val="30"/>
          <w:szCs w:val="30"/>
        </w:rPr>
        <w:t xml:space="preserve">基本工资、津贴补贴、奖金、绩效工资、机关事业单位基本养老保险缴费、职业年金缴费、职工基本医疗保险缴费、公务员医疗补助缴费、其他社会保障缴费、住房公积金、其他工资福利支出、退休费、抚恤金、生活补助、奖励金、其他对个人和家庭的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公用经费8,014,938.82元，主要包括</w:t>
      </w:r>
      <w:r>
        <w:rPr>
          <w:rFonts w:eastAsia="仿宋_GB2312" w:hint="eastAsia"/>
          <w:sz w:val="30"/>
          <w:szCs w:val="30"/>
        </w:rPr>
        <w:t xml:space="preserve">办公费、印刷费、手续费、水费、电费、邮电费、取暖费、物业管理费、差旅费、维修（护）费、租赁费、劳务费、委托业务费、工会经费、福利费、公务用车运行维护费、其他交通费用、其他商品和服务支出、办公设备购置、其他资本性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070516966"/>
      <w:bookmarkStart w:id="72" w:name="_Toc314288823"/>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天津市宝坻区市场监督管理局（本级）2024年度无政府性基金预算财政拨款收入、支出和结转结余。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560652996"/>
      <w:bookmarkStart w:id="75" w:name="_Toc1589960188"/>
      <w:bookmarkStart w:id="76" w:name="_Toc1172797200"/>
      <w:bookmarkStart w:id="77" w:name="_Toc87315365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天津市宝坻区市场监督管理局（本级）2024年度无国有资本经营预算财政拨款收入、支出和结转结余。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597628234"/>
      <w:bookmarkStart w:id="80" w:name="_Toc1321860095"/>
      <w:bookmarkStart w:id="81" w:name="_Toc1337770055"/>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460,884.13</w:t>
      </w:r>
      <w:r>
        <w:rPr>
          <w:rFonts w:eastAsia="仿宋_GB2312" w:hint="eastAsia"/>
          <w:sz w:val="30"/>
          <w:szCs w:val="30"/>
        </w:rPr>
        <w:t xml:space="preserve">元，支出决算</w:t>
      </w:r>
      <w:r>
        <w:rPr>
          <w:rFonts w:eastAsia="仿宋_GB2312" w:hint="eastAsia"/>
          <w:sz w:val="30"/>
          <w:szCs w:val="30"/>
        </w:rPr>
        <w:t xml:space="preserve">460,884.13</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支出决算较上年增加60,884.13元</w:t>
      </w:r>
      <w:r>
        <w:rPr>
          <w:rFonts w:eastAsia="仿宋_GB2312" w:hint="eastAsia"/>
          <w:sz w:val="30"/>
          <w:szCs w:val="30"/>
        </w:rPr>
        <w:t xml:space="preserve">，增长15.221%</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决算数较上年增加的主要原因是本年支付部分上年欠款。</w:t>
      </w:r>
    </w:p>
    <w:p>
      <w:pPr>
        <w:spacing w:line="600" w:lineRule="exact"/>
        <w:ind w:firstLine="600" w:firstLineChars="200"/>
        <w:rPr>
          <w:rFonts w:ascii="楷体" w:eastAsia="楷体" w:hAnsi="楷体" w:cs="楷体"/>
          <w:b/>
          <w:bCs/>
          <w:sz w:val="30"/>
          <w:szCs w:val="30"/>
        </w:rPr>
      </w:pPr>
      <w:bookmarkStart w:id="84" w:name="_Toc13009599"/>
      <w:bookmarkStart w:id="85" w:name="_Toc281353864"/>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460,884.13</w:t>
      </w:r>
      <w:r>
        <w:rPr>
          <w:rFonts w:eastAsia="仿宋_GB2312" w:hint="eastAsia"/>
          <w:sz w:val="30"/>
          <w:szCs w:val="30"/>
        </w:rPr>
        <w:t xml:space="preserve">元，支出决算</w:t>
      </w:r>
      <w:r>
        <w:rPr>
          <w:rFonts w:eastAsia="仿宋_GB2312" w:hint="eastAsia"/>
          <w:sz w:val="30"/>
          <w:szCs w:val="30"/>
        </w:rPr>
        <w:t xml:space="preserve">460,884.13</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支出决算较上年增加60,884.13元</w:t>
      </w:r>
      <w:r>
        <w:rPr>
          <w:rFonts w:eastAsia="仿宋_GB2312" w:hint="eastAsia"/>
          <w:sz w:val="30"/>
          <w:szCs w:val="30"/>
        </w:rPr>
        <w:t xml:space="preserve">，增长15.221%</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决算数较上年增加的主要原因是本年支付上年部分欠款。</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460,884.13</w:t>
      </w:r>
      <w:r>
        <w:rPr>
          <w:rFonts w:eastAsia="仿宋_GB2312" w:hint="eastAsia"/>
          <w:sz w:val="30"/>
          <w:szCs w:val="30"/>
        </w:rPr>
        <w:t xml:space="preserve">元，支出决算</w:t>
      </w:r>
      <w:r>
        <w:rPr>
          <w:rFonts w:eastAsia="仿宋_GB2312" w:hint="eastAsia"/>
          <w:sz w:val="30"/>
          <w:szCs w:val="30"/>
        </w:rPr>
        <w:t xml:space="preserve">460,884.13</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支出决算较上年增加60,884.13元</w:t>
      </w:r>
      <w:r>
        <w:rPr>
          <w:rFonts w:eastAsia="仿宋_GB2312" w:hint="eastAsia"/>
          <w:sz w:val="30"/>
          <w:szCs w:val="30"/>
        </w:rPr>
        <w:t xml:space="preserve">，增长15.221%</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决算数较上年增加的主要原因是本年支付上年部分欠款。</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34</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bookmarkStart w:id="86" w:name="_GoBack"/>
      <w:bookmarkEnd w:id="86"/>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895013942"/>
      <w:bookmarkStart w:id="90" w:name="_Toc1349690397"/>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宝坻区市场监督管理局（本级）2024年度机关运行经费年初预算0.00元，决算数8,014,938.82元，与年初预算相比</w:t>
      </w:r>
      <w:r>
        <w:rPr>
          <w:rFonts w:eastAsia="仿宋_GB2312" w:hint="eastAsia"/>
          <w:sz w:val="30"/>
          <w:szCs w:val="30"/>
        </w:rPr>
        <w:t xml:space="preserve">增加8,014,938.82元，</w:t>
      </w:r>
      <w:r>
        <w:rPr>
          <w:rFonts w:eastAsia="仿宋_GB2312" w:hint="eastAsia"/>
          <w:sz w:val="30"/>
          <w:szCs w:val="30"/>
        </w:rPr>
        <w:t xml:space="preserve">比2023年增加1,605,625.88元</w:t>
      </w:r>
      <w:r>
        <w:rPr>
          <w:rFonts w:eastAsia="仿宋_GB2312" w:hint="eastAsia"/>
          <w:sz w:val="30"/>
          <w:szCs w:val="30"/>
        </w:rPr>
        <w:t xml:space="preserve">，增长25.051%</w:t>
      </w:r>
      <w:r>
        <w:rPr>
          <w:rFonts w:eastAsia="仿宋_GB2312" w:hint="eastAsia"/>
          <w:sz w:val="30"/>
          <w:szCs w:val="30"/>
        </w:rPr>
        <w:t xml:space="preserve">，主要原因是：本年支付部分上年欠款。</w:t>
      </w:r>
    </w:p>
    <w:p>
      <w:pPr>
        <w:pStyle w:val="Heading2"/>
        <w:spacing w:before="0" w:after="0" w:line="600" w:lineRule="exact"/>
        <w:ind w:firstLine="600" w:firstLineChars="200"/>
        <w:rPr>
          <w:rFonts w:ascii="黑体" w:eastAsia="黑体" w:hAnsi="黑体" w:cs="仿宋_GB2312"/>
          <w:sz w:val="30"/>
          <w:szCs w:val="30"/>
        </w:rPr>
      </w:pPr>
      <w:bookmarkStart w:id="91" w:name="_Toc376739118"/>
      <w:bookmarkStart w:id="92" w:name="_Toc169354537"/>
      <w:bookmarkStart w:id="93" w:name="_Toc1464993319"/>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宝坻区市场监督管理局（本级）2024年政府采购支出总额4,145,366.00元，其中：政府采购货物支出38,016.00元、政府采购工程支出0.00元、政府采购服务支出4,107,350.00元。授予中小企业合同金额3,115,716.00元，占政府采购支出总额的75.161%，其中：授予小微企业合同金额2,530,716.00元，占政府采购支出总额的61.049%；货物采购授予中小企业合同金额占货物支出金额的100.000%，工程采购授予中小企业合同金额占工程支出金额的0.000%，服务采购授予中小企业合同金额占服务支出金额的74.932%。</w:t>
      </w:r>
    </w:p>
    <w:p>
      <w:pPr>
        <w:pStyle w:val="Heading2"/>
        <w:spacing w:before="0" w:after="0" w:line="600" w:lineRule="exact"/>
        <w:ind w:firstLine="600" w:firstLineChars="200"/>
        <w:rPr>
          <w:rFonts w:ascii="黑体" w:eastAsia="黑体" w:hAnsi="黑体" w:cs="仿宋_GB2312"/>
          <w:sz w:val="30"/>
          <w:szCs w:val="30"/>
        </w:rPr>
      </w:pPr>
      <w:bookmarkStart w:id="95" w:name="_Toc1242699578"/>
      <w:bookmarkStart w:id="96" w:name="_Toc925871084"/>
      <w:bookmarkStart w:id="97" w:name="_Toc125708453"/>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截至2024年12月31日，天津市宝坻区市场监督管理局（本级）共有车辆34辆</w:t>
      </w:r>
      <w:r>
        <w:rPr>
          <w:rFonts w:eastAsia="仿宋_GB2312" w:hint="eastAsia"/>
          <w:sz w:val="30"/>
          <w:szCs w:val="30"/>
        </w:rPr>
        <w:t xml:space="preserve">，其中：</w:t>
      </w:r>
      <w:r>
        <w:rPr>
          <w:rFonts w:eastAsia="仿宋_GB2312" w:hint="eastAsia"/>
          <w:sz w:val="30"/>
          <w:szCs w:val="30"/>
        </w:rPr>
        <w:t xml:space="preserve">执法执勤用车28辆、离退休干部服务用车3辆、其他用车3辆</w:t>
      </w:r>
      <w:r>
        <w:rPr>
          <w:rFonts w:eastAsia="仿宋_GB2312" w:hint="eastAsia"/>
          <w:sz w:val="30"/>
          <w:szCs w:val="30"/>
        </w:rPr>
        <w:t xml:space="preserve">，其他用车主要包括食品检测专用车2辆、天津市宝坻区个体民营企业协会用车1辆</w:t>
      </w:r>
      <w:r>
        <w:rPr>
          <w:rFonts w:eastAsia="仿宋_GB2312" w:hint="eastAsia"/>
          <w:sz w:val="30"/>
          <w:szCs w:val="30"/>
        </w:rPr>
        <w:t xml:space="preserve">。单价100万元以上的设备1台（套）。</w:t>
      </w:r>
    </w:p>
    <w:p>
      <w:pPr>
        <w:pStyle w:val="Heading2"/>
        <w:spacing w:before="0" w:after="0" w:line="600" w:lineRule="exact"/>
        <w:ind w:firstLine="600" w:firstLineChars="200"/>
        <w:rPr>
          <w:rFonts w:ascii="黑体" w:eastAsia="黑体" w:hAnsi="黑体" w:cs="仿宋_GB2312"/>
          <w:sz w:val="30"/>
          <w:szCs w:val="30"/>
        </w:rPr>
      </w:pPr>
      <w:bookmarkStart w:id="100" w:name="_Toc1773340371"/>
      <w:bookmarkStart w:id="101" w:name="_Toc1805544570"/>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根据预算绩效管理要求，天津市宝坻区市场监督管理局已对6个2024年度市级项目开展绩效自评，涉及金额8717127.49元，自评结果已随部门决算一并公开。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374094560"/>
      <w:bookmarkStart w:id="105" w:name="_Toc1753562331"/>
      <w:bookmarkStart w:id="106" w:name="_Toc1063166918"/>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天津市宝坻区市场监督管理局（本级）不属于乡、镇、街级单位，不涉及公开2024年度教育、医疗卫生、社会保障和就业、住房保障、涉农补贴等民生支出情况。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368130082"/>
      <w:bookmarkStart w:id="108" w:name="_Toc1582447786"/>
      <w:bookmarkStart w:id="109" w:name="_Toc282832597"/>
      <w:bookmarkStart w:id="110" w:name="_Toc56525689"/>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header" Target="header1.xml" /><Relationship Id="rId38" Type="http://schemas.openxmlformats.org/officeDocument/2006/relationships/header" Target="header2.xml" /><Relationship Id="rId39" Type="http://schemas.openxmlformats.org/officeDocument/2006/relationships/header" Target="header3.xml" /><Relationship Id="rId4" Type="http://schemas.openxmlformats.org/officeDocument/2006/relationships/customXml" Target="../customXml/item4.xml" /><Relationship Id="rId40" Type="http://schemas.openxmlformats.org/officeDocument/2006/relationships/footer" Target="footer1.xml" /><Relationship Id="rId41" Type="http://schemas.openxmlformats.org/officeDocument/2006/relationships/footer" Target="footer2.xml" /><Relationship Id="rId42" Type="http://schemas.openxmlformats.org/officeDocument/2006/relationships/footer" Target="footer3.xml" /><Relationship Id="rId43" Type="http://schemas.openxmlformats.org/officeDocument/2006/relationships/footer" Target="footer4.xml" /><Relationship Id="rId44" Type="http://schemas.openxmlformats.org/officeDocument/2006/relationships/footer" Target="footer5.xml" /><Relationship Id="rId45" Type="http://schemas.openxmlformats.org/officeDocument/2006/relationships/theme" Target="theme/theme1.xml" /><Relationship Id="rId46" Type="http://schemas.openxmlformats.org/officeDocument/2006/relationships/styles" Target="styles.xml" /><Relationship Id="rId47" Type="http://schemas.openxmlformats.org/officeDocument/2006/relationships/webSettings" Target="webSettings.xml" /><Relationship Id="rId48" Type="http://schemas.openxmlformats.org/officeDocument/2006/relationships/fontTable" Target="fontTable.xml" /><Relationship Id="rId49"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3.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4.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6.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2.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8.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4ed23dc8-767f-490f-a0b9-df4f4f281aa6}">
  <ds:schemaRefs/>
</ds:datastoreItem>
</file>

<file path=customXml/itemProps11.xml><?xml version="1.0" encoding="utf-8"?>
<ds:datastoreItem xmlns:ds="http://schemas.openxmlformats.org/officeDocument/2006/customXml" ds:itemID="{29C29699-4F72-40F4-B55A-008B4CA23939}">
  <ds:schemaRefs/>
</ds:datastoreItem>
</file>

<file path=customXml/itemProps12.xml><?xml version="1.0" encoding="utf-8"?>
<ds:datastoreItem xmlns:ds="http://schemas.openxmlformats.org/officeDocument/2006/customXml" ds:itemID="{1709EA4B-BC17-47D8-8A6C-F6BE750A562F}">
  <ds:schemaRefs/>
</ds:datastoreItem>
</file>

<file path=customXml/itemProps13.xml><?xml version="1.0" encoding="utf-8"?>
<ds:datastoreItem xmlns:ds="http://schemas.openxmlformats.org/officeDocument/2006/customXml" ds:itemID="{c447a779-d5f4-4941-a464-54880d6879cc}">
  <ds:schemaRefs/>
</ds:datastoreItem>
</file>

<file path=customXml/itemProps14.xml><?xml version="1.0" encoding="utf-8"?>
<ds:datastoreItem xmlns:ds="http://schemas.openxmlformats.org/officeDocument/2006/customXml" ds:itemID="{722b1942-97a3-4a66-9c38-b649a49e4044}">
  <ds:schemaRefs/>
</ds:datastoreItem>
</file>

<file path=customXml/itemProps15.xml><?xml version="1.0" encoding="utf-8"?>
<ds:datastoreItem xmlns:ds="http://schemas.openxmlformats.org/officeDocument/2006/customXml" ds:itemID="{0024a619-d889-4032-b30d-b6c538a1ba0a}">
  <ds:schemaRefs/>
</ds:datastoreItem>
</file>

<file path=customXml/itemProps16.xml><?xml version="1.0" encoding="utf-8"?>
<ds:datastoreItem xmlns:ds="http://schemas.openxmlformats.org/officeDocument/2006/customXml" ds:itemID="{ebb219b7-e323-469c-99f6-358b1f500cb8}">
  <ds:schemaRefs/>
</ds:datastoreItem>
</file>

<file path=customXml/itemProps17.xml><?xml version="1.0" encoding="utf-8"?>
<ds:datastoreItem xmlns:ds="http://schemas.openxmlformats.org/officeDocument/2006/customXml" ds:itemID="{52C2F3B5-2FED-4CF7-BADE-85673CCA97A7}">
  <ds:schemaRefs/>
</ds:datastoreItem>
</file>

<file path=customXml/itemProps18.xml><?xml version="1.0" encoding="utf-8"?>
<ds:datastoreItem xmlns:ds="http://schemas.openxmlformats.org/officeDocument/2006/customXml" ds:itemID="{9B7E5BBC-85B6-4507-A266-8A5908359F3F}">
  <ds:schemaRefs/>
</ds:datastoreItem>
</file>

<file path=customXml/itemProps19.xml><?xml version="1.0" encoding="utf-8"?>
<ds:datastoreItem xmlns:ds="http://schemas.openxmlformats.org/officeDocument/2006/customXml" ds:itemID="{A7A12F52-7F7E-49E8-9DED-3D2E6E172A8B}">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4bad73e6-5b55-4045-92d1-c7ae96d89a0b}">
  <ds:schemaRefs/>
</ds:datastoreItem>
</file>

<file path=customXml/itemProps21.xml><?xml version="1.0" encoding="utf-8"?>
<ds:datastoreItem xmlns:ds="http://schemas.openxmlformats.org/officeDocument/2006/customXml" ds:itemID="{30725F48-01CB-48AA-A7BB-504ED9A54385}">
  <ds:schemaRefs/>
</ds:datastoreItem>
</file>

<file path=customXml/itemProps22.xml><?xml version="1.0" encoding="utf-8"?>
<ds:datastoreItem xmlns:ds="http://schemas.openxmlformats.org/officeDocument/2006/customXml" ds:itemID="{a7ef6bbb-569c-4264-8181-8d00be1b18bf}">
  <ds:schemaRefs/>
</ds:datastoreItem>
</file>

<file path=customXml/itemProps23.xml><?xml version="1.0" encoding="utf-8"?>
<ds:datastoreItem xmlns:ds="http://schemas.openxmlformats.org/officeDocument/2006/customXml" ds:itemID="{696F2980-23D8-403F-A1D5-FC1C8D10704C}">
  <ds:schemaRefs/>
</ds:datastoreItem>
</file>

<file path=customXml/itemProps24.xml><?xml version="1.0" encoding="utf-8"?>
<ds:datastoreItem xmlns:ds="http://schemas.openxmlformats.org/officeDocument/2006/customXml" ds:itemID="{A1C04600-05AE-494A-A77E-2766C36D7927}">
  <ds:schemaRefs/>
</ds:datastoreItem>
</file>

<file path=customXml/itemProps25.xml><?xml version="1.0" encoding="utf-8"?>
<ds:datastoreItem xmlns:ds="http://schemas.openxmlformats.org/officeDocument/2006/customXml" ds:itemID="{9A986101-A5D4-42F8-9BD2-ED831C27E849}">
  <ds:schemaRefs/>
</ds:datastoreItem>
</file>

<file path=customXml/itemProps26.xml><?xml version="1.0" encoding="utf-8"?>
<ds:datastoreItem xmlns:ds="http://schemas.openxmlformats.org/officeDocument/2006/customXml" ds:itemID="{A460A401-5645-4B19-9032-4F3214354AD2}">
  <ds:schemaRefs/>
</ds:datastoreItem>
</file>

<file path=customXml/itemProps27.xml><?xml version="1.0" encoding="utf-8"?>
<ds:datastoreItem xmlns:ds="http://schemas.openxmlformats.org/officeDocument/2006/customXml" ds:itemID="{8445723E-1C18-4162-BEE5-0642E591AE1D}">
  <ds:schemaRefs/>
</ds:datastoreItem>
</file>

<file path=customXml/itemProps28.xml><?xml version="1.0" encoding="utf-8"?>
<ds:datastoreItem xmlns:ds="http://schemas.openxmlformats.org/officeDocument/2006/customXml" ds:itemID="{4fef8546-f89c-4e58-a735-047dc1104a75}">
  <ds:schemaRefs/>
</ds:datastoreItem>
</file>

<file path=customXml/itemProps29.xml><?xml version="1.0" encoding="utf-8"?>
<ds:datastoreItem xmlns:ds="http://schemas.openxmlformats.org/officeDocument/2006/customXml" ds:itemID="{8cb6d6f4-9f1b-4b0d-8d68-117c027a6042}">
  <ds:schemaRefs/>
</ds:datastoreItem>
</file>

<file path=customXml/itemProps3.xml><?xml version="1.0" encoding="utf-8"?>
<ds:datastoreItem xmlns:ds="http://schemas.openxmlformats.org/officeDocument/2006/customXml" ds:itemID="{8B3B8D83-7812-4532-AAD4-C9247D36013A}">
  <ds:schemaRefs/>
</ds:datastoreItem>
</file>

<file path=customXml/itemProps30.xml><?xml version="1.0" encoding="utf-8"?>
<ds:datastoreItem xmlns:ds="http://schemas.openxmlformats.org/officeDocument/2006/customXml" ds:itemID="{3ff9ae3b-1b31-429a-b6e1-bcfcbdd7b44f}">
  <ds:schemaRefs/>
</ds:datastoreItem>
</file>

<file path=customXml/itemProps31.xml><?xml version="1.0" encoding="utf-8"?>
<ds:datastoreItem xmlns:ds="http://schemas.openxmlformats.org/officeDocument/2006/customXml" ds:itemID="{6ed81b1d-aba1-4c64-90a7-ed44f21a5373}">
  <ds:schemaRefs/>
</ds:datastoreItem>
</file>

<file path=customXml/itemProps32.xml><?xml version="1.0" encoding="utf-8"?>
<ds:datastoreItem xmlns:ds="http://schemas.openxmlformats.org/officeDocument/2006/customXml" ds:itemID="{E3799C1F-725D-428D-8919-8F8656367B63}">
  <ds:schemaRefs/>
</ds:datastoreItem>
</file>

<file path=customXml/itemProps33.xml><?xml version="1.0" encoding="utf-8"?>
<ds:datastoreItem xmlns:ds="http://schemas.openxmlformats.org/officeDocument/2006/customXml" ds:itemID="{c0bc8a20-1c00-45d9-b65d-5c0b2c99a12a}">
  <ds:schemaRefs/>
</ds:datastoreItem>
</file>

<file path=customXml/itemProps34.xml><?xml version="1.0" encoding="utf-8"?>
<ds:datastoreItem xmlns:ds="http://schemas.openxmlformats.org/officeDocument/2006/customXml" ds:itemID="{c404e32b-e76f-45dd-b575-14f731f1ed4d}">
  <ds:schemaRefs/>
</ds:datastoreItem>
</file>

<file path=customXml/itemProps35.xml><?xml version="1.0" encoding="utf-8"?>
<ds:datastoreItem xmlns:ds="http://schemas.openxmlformats.org/officeDocument/2006/customXml" ds:itemID="{68CD3A8F-9C94-403B-AEAA-050E2144B593}">
  <ds:schemaRefs/>
</ds:datastoreItem>
</file>

<file path=customXml/itemProps36.xml><?xml version="1.0" encoding="utf-8"?>
<ds:datastoreItem xmlns:ds="http://schemas.openxmlformats.org/officeDocument/2006/customXml" ds:itemID="{c8b188cd-979f-4874-83e6-b3681f8e177b}">
  <ds:schemaRefs/>
</ds:datastoreItem>
</file>

<file path=customXml/itemProps4.xml><?xml version="1.0" encoding="utf-8"?>
<ds:datastoreItem xmlns:ds="http://schemas.openxmlformats.org/officeDocument/2006/customXml" ds:itemID="{C3AB585A-6BA2-4FC7-BE37-D151DAAAB6C4}">
  <ds:schemaRefs/>
</ds:datastoreItem>
</file>

<file path=customXml/itemProps5.xml><?xml version="1.0" encoding="utf-8"?>
<ds:datastoreItem xmlns:ds="http://schemas.openxmlformats.org/officeDocument/2006/customXml" ds:itemID="{093F2D8C-60D1-42DB-8DB8-50630DD737DE}">
  <ds:schemaRefs/>
</ds:datastoreItem>
</file>

<file path=customXml/itemProps6.xml><?xml version="1.0" encoding="utf-8"?>
<ds:datastoreItem xmlns:ds="http://schemas.openxmlformats.org/officeDocument/2006/customXml" ds:itemID="{24123e3d-f0c6-4b61-a1a0-dd5204dab515}">
  <ds:schemaRefs/>
</ds:datastoreItem>
</file>

<file path=customXml/itemProps7.xml><?xml version="1.0" encoding="utf-8"?>
<ds:datastoreItem xmlns:ds="http://schemas.openxmlformats.org/officeDocument/2006/customXml" ds:itemID="{217734FF-E389-4970-B253-703D7FC180DD}">
  <ds:schemaRefs/>
</ds:datastoreItem>
</file>

<file path=customXml/itemProps8.xml><?xml version="1.0" encoding="utf-8"?>
<ds:datastoreItem xmlns:ds="http://schemas.openxmlformats.org/officeDocument/2006/customXml" ds:itemID="{611412D9-9BD1-49C6-898E-32E5B10E4A57}">
  <ds:schemaRefs/>
</ds:datastoreItem>
</file>

<file path=customXml/itemProps9.xml><?xml version="1.0" encoding="utf-8"?>
<ds:datastoreItem xmlns:ds="http://schemas.openxmlformats.org/officeDocument/2006/customXml" ds:itemID="{0bd56c28-6146-4ad0-95ea-a1cf46b5d92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2025-07-08T11:27:00Z</cp:lastPrinted>
  <dcterms:created xsi:type="dcterms:W3CDTF">2019-08-11T02:37:00Z</dcterms:created>
  <dcterms:modified xsi:type="dcterms:W3CDTF">2025-09-04T18:10:00Z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