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附件4</w:t>
      </w:r>
    </w:p>
    <w:p>
      <w:pPr>
        <w:jc w:val="center"/>
        <w:rPr>
          <w:rFonts w:hint="eastAsia" w:ascii="Times New Roman" w:hAnsi="Times New Roman" w:eastAsia="仿宋_GB2312"/>
          <w:b/>
          <w:bCs/>
          <w:sz w:val="40"/>
          <w:szCs w:val="40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40"/>
          <w:szCs w:val="40"/>
          <w:lang w:val="en-US" w:eastAsia="zh-CN"/>
        </w:rPr>
        <w:t>充装单位年度综合工作报告</w:t>
      </w:r>
    </w:p>
    <w:p>
      <w:pPr>
        <w:jc w:val="center"/>
        <w:rPr>
          <w:rFonts w:hint="eastAsia" w:ascii="Times New Roman" w:hAnsi="Times New Roman" w:eastAsia="仿宋_GB2312"/>
          <w:b/>
          <w:bCs/>
          <w:sz w:val="40"/>
          <w:szCs w:val="40"/>
          <w:lang w:val="en-US" w:eastAsia="zh-CN"/>
        </w:rPr>
      </w:pPr>
    </w:p>
    <w:p>
      <w:pPr>
        <w:jc w:val="both"/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包含但不局限于以下内容：</w:t>
      </w:r>
    </w:p>
    <w:p>
      <w:pPr>
        <w:numPr>
          <w:ilvl w:val="0"/>
          <w:numId w:val="1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单位基本情况（主要包括单位名称、地址、充装许可证有关情况，气瓶充装单位年度办理气瓶使用登记情况、登记气瓶数量、停用（报废）气瓶情况、超期气瓶定期检验情况、不合格气瓶和报废气瓶的处理情况等）</w:t>
      </w:r>
    </w:p>
    <w:p>
      <w:pPr>
        <w:numPr>
          <w:ilvl w:val="0"/>
          <w:numId w:val="1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风险分级管控和隐患排查治理情况</w:t>
      </w:r>
    </w:p>
    <w:p>
      <w:pPr>
        <w:numPr>
          <w:ilvl w:val="0"/>
          <w:numId w:val="1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2020年度充装工作开展情况</w:t>
      </w:r>
    </w:p>
    <w:p>
      <w:pPr>
        <w:numPr>
          <w:ilvl w:val="0"/>
          <w:numId w:val="1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充装单位主体责任落实情况（主要从资源条件、质量管理体系运行、充装工作质量等方面描述）</w:t>
      </w:r>
    </w:p>
    <w:p>
      <w:pPr>
        <w:numPr>
          <w:ilvl w:val="0"/>
          <w:numId w:val="1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气瓶信息化管理系统、全国移动式压力容器追溯系统使用情况（系统运行情况，气瓶充装前后检查、充装记录归档情况）</w:t>
      </w:r>
    </w:p>
    <w:p>
      <w:pPr>
        <w:numPr>
          <w:ilvl w:val="0"/>
          <w:numId w:val="1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工作中存在问题和不足之处</w:t>
      </w:r>
    </w:p>
    <w:p>
      <w:pPr>
        <w:numPr>
          <w:ilvl w:val="0"/>
          <w:numId w:val="1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2021年工作安排</w:t>
      </w: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2"/>
          <w:szCs w:val="32"/>
          <w:lang w:val="en-US" w:eastAsia="zh-CN"/>
        </w:rPr>
        <w:t>注：该报告需准备纸质版和电子版各一份，纸质版需要单位法定代表人或单位主要负责人签字，并加盖单位公章，检查组现场检查时递交。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1E308"/>
    <w:multiLevelType w:val="singleLevel"/>
    <w:tmpl w:val="5FB1E30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B3EEB"/>
    <w:rsid w:val="2BF25427"/>
    <w:rsid w:val="2CC9658E"/>
    <w:rsid w:val="589175C6"/>
    <w:rsid w:val="5A6E3CF8"/>
    <w:rsid w:val="5A722199"/>
    <w:rsid w:val="6335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袁鹏程</cp:lastModifiedBy>
  <dcterms:modified xsi:type="dcterms:W3CDTF">2020-11-23T03:39:41Z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