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eastAsia="黑体"/>
          <w:bCs/>
          <w:szCs w:val="32"/>
        </w:rPr>
      </w:pPr>
      <w:r>
        <w:rPr>
          <w:rFonts w:hAnsi="黑体" w:eastAsia="黑体"/>
          <w:bCs/>
          <w:szCs w:val="32"/>
        </w:rPr>
        <w:t>附件</w:t>
      </w:r>
      <w:r>
        <w:rPr>
          <w:rFonts w:eastAsia="黑体"/>
          <w:bCs/>
          <w:szCs w:val="32"/>
        </w:rPr>
        <w:t>1</w:t>
      </w:r>
    </w:p>
    <w:p>
      <w:pPr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eastAsia="黑体"/>
          <w:sz w:val="30"/>
          <w:szCs w:val="30"/>
        </w:rPr>
      </w:pPr>
      <w:r>
        <w:rPr>
          <w:rFonts w:eastAsia="方正小标宋简体"/>
          <w:bCs/>
          <w:sz w:val="44"/>
          <w:szCs w:val="44"/>
        </w:rPr>
        <w:t>电子商务平台知识产权保护制度（参考文本）</w:t>
      </w:r>
    </w:p>
    <w:p>
      <w:pPr>
        <w:spacing w:line="560" w:lineRule="exact"/>
        <w:ind w:left="1218" w:hanging="1218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一、知识产权维权联络</w:t>
      </w:r>
      <w:r>
        <w:rPr>
          <w:rFonts w:hint="eastAsia" w:hAnsi="宋体"/>
          <w:b/>
          <w:sz w:val="36"/>
          <w:szCs w:val="36"/>
          <w:lang w:eastAsia="zh-CN"/>
        </w:rPr>
        <w:t>及纠纷解决</w:t>
      </w:r>
      <w:r>
        <w:rPr>
          <w:rFonts w:hAnsi="宋体"/>
          <w:b/>
          <w:sz w:val="36"/>
          <w:szCs w:val="36"/>
        </w:rPr>
        <w:t>制度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第一条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为维护消费者及知识产权（注册商标、专利）权利人的合法权益，促进商家诚信经营，维护本市场良好的经营秩序，特制定本制度。</w:t>
      </w:r>
    </w:p>
    <w:p>
      <w:pPr>
        <w:spacing w:line="560" w:lineRule="exact"/>
        <w:ind w:left="3" w:leftChars="-336" w:hanging="1078" w:hangingChars="337"/>
        <w:rPr>
          <w:szCs w:val="32"/>
        </w:rPr>
      </w:pPr>
      <w:r>
        <w:rPr>
          <w:szCs w:val="32"/>
        </w:rPr>
        <w:t xml:space="preserve">          </w:t>
      </w:r>
      <w:r>
        <w:rPr>
          <w:rFonts w:eastAsia="黑体"/>
          <w:szCs w:val="32"/>
        </w:rPr>
        <w:t xml:space="preserve"> </w:t>
      </w:r>
      <w:r>
        <w:rPr>
          <w:rFonts w:hAnsi="黑体" w:eastAsia="黑体"/>
          <w:szCs w:val="32"/>
        </w:rPr>
        <w:t>第二条</w:t>
      </w:r>
      <w:r>
        <w:rPr>
          <w:rFonts w:eastAsia="黑体"/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负责收集及公告本平台主要商标品牌、专利权利人或代理人的联系电话，以及本平台负责知识产权监管工作的联系电话、负责知识产权监管工作的监管部门联系电话。当平台经营活动发生有关知识产权权利争议时，各方可据此进行沟通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提供合理协助。</w:t>
      </w:r>
    </w:p>
    <w:p>
      <w:pPr>
        <w:tabs>
          <w:tab w:val="left" w:pos="0"/>
        </w:tabs>
        <w:spacing w:line="560" w:lineRule="exact"/>
        <w:ind w:left="144" w:leftChars="-292" w:hanging="1078" w:hangingChars="337"/>
        <w:jc w:val="left"/>
        <w:rPr>
          <w:szCs w:val="32"/>
        </w:rPr>
      </w:pPr>
      <w:r>
        <w:rPr>
          <w:szCs w:val="32"/>
        </w:rPr>
        <w:t xml:space="preserve">          </w:t>
      </w:r>
      <w:r>
        <w:rPr>
          <w:rFonts w:hAnsi="黑体" w:eastAsia="黑体"/>
          <w:szCs w:val="32"/>
        </w:rPr>
        <w:t>第三条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作为本制度的召集人，可要求各相关方提供有效的联系方式，并及时进行更新公告，公告地点可以是电子商务平台主页或其他合适之处。</w:t>
      </w:r>
    </w:p>
    <w:p>
      <w:pPr>
        <w:spacing w:line="560" w:lineRule="exact"/>
        <w:ind w:left="144" w:leftChars="-292" w:hanging="1078" w:hangingChars="337"/>
        <w:rPr>
          <w:rFonts w:hint="eastAsia" w:eastAsia="仿宋_GB2312"/>
          <w:color w:val="auto"/>
          <w:szCs w:val="32"/>
          <w:lang w:eastAsia="zh-CN"/>
        </w:rPr>
      </w:pPr>
      <w:r>
        <w:rPr>
          <w:szCs w:val="32"/>
        </w:rPr>
        <w:t xml:space="preserve">          </w:t>
      </w:r>
      <w:r>
        <w:rPr>
          <w:rFonts w:hAnsi="黑体" w:eastAsia="黑体"/>
          <w:szCs w:val="32"/>
        </w:rPr>
        <w:t>第四条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辖区知识产权监督管理部门、电子商务平台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分别设立投诉电话共同接受维权投诉举报。</w:t>
      </w:r>
      <w:r>
        <w:rPr>
          <w:rFonts w:hAnsi="仿宋_GB2312"/>
          <w:color w:val="auto"/>
          <w:szCs w:val="32"/>
        </w:rPr>
        <w:t>电子商务平台</w:t>
      </w:r>
      <w:r>
        <w:rPr>
          <w:rFonts w:hint="eastAsia" w:hAnsi="仿宋_GB2312"/>
          <w:color w:val="auto"/>
          <w:szCs w:val="32"/>
          <w:lang w:eastAsia="zh-CN"/>
        </w:rPr>
        <w:t>应建立在线投诉系统、投诉受理电子邮箱或信函地址等侵权通知受理渠道。</w:t>
      </w:r>
    </w:p>
    <w:p>
      <w:pPr>
        <w:spacing w:line="560" w:lineRule="exact"/>
        <w:ind w:left="3" w:leftChars="-336" w:hanging="1078" w:hangingChars="337"/>
        <w:rPr>
          <w:szCs w:val="32"/>
        </w:rPr>
      </w:pPr>
      <w:r>
        <w:rPr>
          <w:szCs w:val="32"/>
        </w:rPr>
        <w:t xml:space="preserve">           </w:t>
      </w:r>
      <w:r>
        <w:rPr>
          <w:rFonts w:hAnsi="黑体" w:eastAsia="黑体"/>
          <w:szCs w:val="32"/>
        </w:rPr>
        <w:t>第五条</w:t>
      </w:r>
      <w:r>
        <w:rPr>
          <w:rFonts w:eastAsia="黑体"/>
          <w:szCs w:val="32"/>
        </w:rPr>
        <w:t xml:space="preserve"> </w:t>
      </w:r>
      <w:r>
        <w:rPr>
          <w:rFonts w:hAnsi="仿宋_GB2312"/>
          <w:szCs w:val="32"/>
        </w:rPr>
        <w:t>上述各方在接到投诉举报时，应及时沟通，积极协作开展合法维权工作，其中知识产权监督管理部门负责行政执法相关工作，电子商务平台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负责配合及协调工作。</w:t>
      </w:r>
    </w:p>
    <w:p>
      <w:pPr>
        <w:spacing w:line="560" w:lineRule="exact"/>
        <w:ind w:left="144" w:leftChars="-292" w:hanging="1078" w:hangingChars="337"/>
        <w:rPr>
          <w:szCs w:val="32"/>
        </w:rPr>
      </w:pPr>
      <w:r>
        <w:rPr>
          <w:szCs w:val="32"/>
        </w:rPr>
        <w:t xml:space="preserve">          </w:t>
      </w:r>
      <w:r>
        <w:rPr>
          <w:rFonts w:ascii="黑体" w:hAnsi="黑体" w:eastAsia="黑体"/>
          <w:szCs w:val="32"/>
        </w:rPr>
        <w:t xml:space="preserve"> 第六条 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对被有效举报或投诉，认定侵权事实的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，</w:t>
      </w:r>
      <w:r>
        <w:rPr>
          <w:rFonts w:hint="eastAsia" w:hAnsi="仿宋_GB2312"/>
          <w:szCs w:val="32"/>
          <w:lang w:eastAsia="zh-CN"/>
        </w:rPr>
        <w:t>采取删除、屏蔽、断开相关商品的侵权链接、移除相关侵权信息、终止交易和服务等措施进行处置。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做好登记工作，并按照已签订的《不经销侵犯知识产权产品承诺书》及有关合同规定做出处理。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hAnsi="仿宋_GB2312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第七条</w:t>
      </w:r>
      <w:r>
        <w:rPr>
          <w:rFonts w:hint="eastAsia" w:ascii="黑体" w:hAnsi="黑体" w:eastAsia="黑体"/>
          <w:szCs w:val="32"/>
          <w:lang w:val="en-US" w:eastAsia="zh-CN"/>
        </w:rPr>
        <w:t xml:space="preserve"> </w:t>
      </w:r>
      <w:r>
        <w:rPr>
          <w:rFonts w:hint="eastAsia"/>
          <w:b/>
          <w:bCs/>
          <w:szCs w:val="32"/>
          <w:lang w:val="en-US" w:eastAsia="zh-CN"/>
        </w:rPr>
        <w:t xml:space="preserve"> </w:t>
      </w:r>
      <w:r>
        <w:rPr>
          <w:rFonts w:hint="eastAsia" w:hAnsi="仿宋_GB2312"/>
          <w:szCs w:val="32"/>
          <w:lang w:val="en-US" w:eastAsia="zh-CN"/>
        </w:rPr>
        <w:t>电子商务平台经营者应建立如下知识产权纠纷解决机制：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hAnsi="仿宋_GB2312"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>（一）可以通过协商和解，请求消费者组织、行业协会或其他依法成立的调解组织（如滨海新区人民调解委员会）解决；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hAnsi="仿宋_GB2312"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>（二）通过向有关部门（如滨海新区市场监管部门）投诉、提请仲裁，或者提起诉讼等方式解决；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/>
          <w:b/>
          <w:bCs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有效运用评价报告快速处置实用新型和外观设计专利侵权投诉。</w:t>
      </w:r>
      <w:r>
        <w:rPr>
          <w:rFonts w:hint="eastAsia" w:hAnsi="仿宋_GB2312"/>
          <w:szCs w:val="32"/>
          <w:lang w:val="en-US" w:eastAsia="zh-CN"/>
        </w:rPr>
        <w:t>应对专利等复杂知识产群纠纷时，宜引入第三方专业机构参与评审。</w:t>
      </w:r>
    </w:p>
    <w:p>
      <w:pPr>
        <w:spacing w:line="560" w:lineRule="exact"/>
        <w:ind w:left="148" w:leftChars="-292" w:hanging="1082" w:hangingChars="337"/>
        <w:rPr>
          <w:szCs w:val="32"/>
        </w:rPr>
      </w:pPr>
      <w:r>
        <w:rPr>
          <w:b/>
          <w:bCs/>
          <w:szCs w:val="32"/>
        </w:rPr>
        <w:t xml:space="preserve">    </w:t>
      </w:r>
    </w:p>
    <w:p>
      <w:pPr>
        <w:spacing w:line="560" w:lineRule="exact"/>
        <w:ind w:left="1083" w:hanging="1082" w:hangingChars="337"/>
        <w:rPr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hAnsi="仿宋_GB2312"/>
          <w:szCs w:val="32"/>
          <w:lang w:val="en" w:eastAsia="zh-CN"/>
        </w:rPr>
      </w:pPr>
      <w:r>
        <w:rPr>
          <w:rFonts w:hint="eastAsia" w:hAnsi="仿宋_GB2312"/>
          <w:szCs w:val="32"/>
          <w:lang w:val="en-US" w:eastAsia="zh-CN"/>
        </w:rPr>
        <w:t>附：</w:t>
      </w:r>
      <w:r>
        <w:rPr>
          <w:rFonts w:hint="eastAsia" w:hAnsi="仿宋_GB2312"/>
          <w:b/>
          <w:bCs/>
          <w:szCs w:val="32"/>
          <w:lang w:val="en-US" w:eastAsia="zh-CN"/>
        </w:rPr>
        <w:t>维权联系方式列表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hAnsi="仿宋_GB2312"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>电子商务平台</w:t>
      </w:r>
      <w:r>
        <w:rPr>
          <w:rFonts w:hint="eastAsia" w:hAnsi="仿宋_GB2312"/>
          <w:szCs w:val="32"/>
          <w:lang w:val="en" w:eastAsia="zh-CN"/>
        </w:rPr>
        <w:t>经营者</w:t>
      </w:r>
      <w:r>
        <w:rPr>
          <w:rFonts w:hint="eastAsia" w:hAnsi="仿宋_GB2312"/>
          <w:szCs w:val="32"/>
          <w:lang w:val="en-US" w:eastAsia="zh-CN"/>
        </w:rPr>
        <w:t>投诉电话：XXXX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hAnsi="仿宋_GB2312"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>滨海新区知识产权局投诉举报方式：12315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hAnsi="仿宋_GB2312"/>
          <w:szCs w:val="32"/>
          <w:lang w:val="en-US" w:eastAsia="zh-CN"/>
        </w:rPr>
      </w:pPr>
      <w:r>
        <w:rPr>
          <w:rFonts w:hint="eastAsia" w:hAnsi="仿宋_GB2312"/>
          <w:szCs w:val="32"/>
          <w:lang w:val="en-US" w:eastAsia="zh-CN"/>
        </w:rPr>
        <w:t xml:space="preserve">政府服务热线：12345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hAnsi="仿宋_GB2312"/>
          <w:szCs w:val="32"/>
          <w:lang w:val="en-US" w:eastAsia="zh-CN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二、信用承诺公示制度</w:t>
      </w:r>
      <w:bookmarkStart w:id="0" w:name="_GoBack"/>
      <w:bookmarkEnd w:id="0"/>
    </w:p>
    <w:p>
      <w:pPr>
        <w:spacing w:line="560" w:lineRule="exact"/>
        <w:ind w:left="144" w:leftChars="-292" w:hanging="1078" w:hangingChars="337"/>
        <w:rPr>
          <w:szCs w:val="32"/>
        </w:rPr>
      </w:pPr>
      <w:r>
        <w:rPr>
          <w:szCs w:val="32"/>
        </w:rPr>
        <w:t xml:space="preserve">           </w:t>
      </w:r>
      <w:r>
        <w:rPr>
          <w:rFonts w:hAnsi="黑体" w:eastAsia="黑体"/>
          <w:szCs w:val="32"/>
        </w:rPr>
        <w:t>第一条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为维护电子商务平台的良好声誉和消费者的合法权益，加强电子商务平台信用管理，促使经营者诚信经营，特制定本制度。</w:t>
      </w:r>
    </w:p>
    <w:p>
      <w:pPr>
        <w:spacing w:line="560" w:lineRule="exact"/>
        <w:ind w:left="143" w:leftChars="-43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第二条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签订《保护知识产权承诺书》，并自觉落实该保证书内容。</w:t>
      </w:r>
    </w:p>
    <w:p>
      <w:pPr>
        <w:spacing w:line="560" w:lineRule="exact"/>
        <w:ind w:left="284" w:leftChars="-248" w:hanging="1078" w:hangingChars="337"/>
        <w:rPr>
          <w:szCs w:val="32"/>
        </w:rPr>
      </w:pPr>
      <w:r>
        <w:rPr>
          <w:szCs w:val="32"/>
        </w:rPr>
        <w:t xml:space="preserve">          </w:t>
      </w:r>
      <w:r>
        <w:rPr>
          <w:rFonts w:hAnsi="黑体" w:eastAsia="黑体"/>
          <w:szCs w:val="32"/>
        </w:rPr>
        <w:t>第三条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进入电子商务平台经营的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应在本店铺主页或显眼位置标示</w:t>
      </w:r>
      <w:r>
        <w:rPr>
          <w:szCs w:val="32"/>
        </w:rPr>
        <w:t>“</w:t>
      </w:r>
      <w:r>
        <w:rPr>
          <w:rFonts w:hAnsi="仿宋_GB2312"/>
          <w:szCs w:val="32"/>
        </w:rPr>
        <w:t>不销售假冒伪劣和侵权商品</w:t>
      </w:r>
      <w:r>
        <w:rPr>
          <w:szCs w:val="32"/>
        </w:rPr>
        <w:t>”</w:t>
      </w:r>
      <w:r>
        <w:rPr>
          <w:rFonts w:hAnsi="仿宋_GB2312"/>
          <w:szCs w:val="32"/>
        </w:rPr>
        <w:t>承诺或标志，自觉接受消费者和社会各界监督。</w:t>
      </w:r>
    </w:p>
    <w:p>
      <w:pPr>
        <w:spacing w:line="560" w:lineRule="exact"/>
        <w:ind w:left="284" w:leftChars="-248" w:hanging="1078" w:hangingChars="337"/>
        <w:rPr>
          <w:szCs w:val="32"/>
        </w:rPr>
      </w:pPr>
      <w:r>
        <w:rPr>
          <w:szCs w:val="32"/>
        </w:rPr>
        <w:t xml:space="preserve">          </w:t>
      </w:r>
      <w:r>
        <w:rPr>
          <w:rFonts w:hAnsi="黑体" w:eastAsia="黑体"/>
          <w:szCs w:val="32"/>
        </w:rPr>
        <w:t>第四条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电子平台内</w:t>
      </w:r>
      <w:r>
        <w:rPr>
          <w:rFonts w:hAnsi="仿宋_GB2312"/>
          <w:szCs w:val="32"/>
          <w:lang w:val="en"/>
        </w:rPr>
        <w:t>的商户</w:t>
      </w:r>
      <w:r>
        <w:rPr>
          <w:rFonts w:hAnsi="仿宋_GB2312"/>
          <w:szCs w:val="32"/>
        </w:rPr>
        <w:t>应秉承诚信经营原则，做到言行一致，兑现信用承诺。</w:t>
      </w:r>
    </w:p>
    <w:p>
      <w:pPr>
        <w:spacing w:line="560" w:lineRule="exact"/>
        <w:ind w:left="284" w:leftChars="-248" w:hanging="1078" w:hangingChars="337"/>
        <w:rPr>
          <w:szCs w:val="32"/>
        </w:rPr>
      </w:pPr>
      <w:r>
        <w:rPr>
          <w:szCs w:val="32"/>
        </w:rPr>
        <w:t xml:space="preserve">          </w:t>
      </w:r>
      <w:r>
        <w:rPr>
          <w:rFonts w:hAnsi="黑体" w:eastAsia="黑体"/>
          <w:szCs w:val="32"/>
        </w:rPr>
        <w:t>第五条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对违反信用承诺的行为，电子商务平台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有权予以纠正，责令整改，并将该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纳入重点管理；对拒不整改、情节严重的，报请知识产权监督管理部门依法处理。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第六条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对因销售假冒伪劣商品或侵犯注册商标专用权、专利权商品等违法行为受到执法部门处罚的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有权将其违法事实及后果进行公示，公示内容包含：执法部门的处罚决定书和电子商务平台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加注的警示文字。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</w:t>
      </w:r>
      <w:r>
        <w:rPr>
          <w:rFonts w:eastAsia="黑体"/>
          <w:szCs w:val="32"/>
        </w:rPr>
        <w:t xml:space="preserve">  </w:t>
      </w:r>
      <w:r>
        <w:rPr>
          <w:rFonts w:hAnsi="黑体" w:eastAsia="黑体"/>
          <w:szCs w:val="32"/>
        </w:rPr>
        <w:t>第七条</w:t>
      </w:r>
      <w:r>
        <w:rPr>
          <w:rFonts w:eastAsia="黑体"/>
          <w:szCs w:val="32"/>
        </w:rPr>
        <w:t xml:space="preserve"> </w:t>
      </w:r>
      <w:r>
        <w:rPr>
          <w:rFonts w:hAnsi="仿宋_GB2312"/>
          <w:szCs w:val="32"/>
        </w:rPr>
        <w:t>对诚信守法经营、无违反《不经销侵犯知识产权产品承诺书》内容的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可定期张榜公示。</w:t>
      </w:r>
    </w:p>
    <w:p>
      <w:pPr>
        <w:spacing w:line="560" w:lineRule="exact"/>
        <w:ind w:left="1078" w:hanging="1078" w:hangingChars="337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第八条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本电子商务平台内所有经营者均应遵守本制度。</w:t>
      </w:r>
    </w:p>
    <w:p>
      <w:pPr>
        <w:spacing w:line="560" w:lineRule="exact"/>
        <w:rPr>
          <w:rFonts w:eastAsia="宋体"/>
          <w:szCs w:val="32"/>
        </w:rPr>
      </w:pPr>
    </w:p>
    <w:p>
      <w:pPr>
        <w:spacing w:line="560" w:lineRule="exact"/>
        <w:ind w:firstLine="708" w:firstLineChars="19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rFonts w:hAnsi="宋体"/>
          <w:b/>
          <w:sz w:val="36"/>
          <w:szCs w:val="36"/>
        </w:rPr>
        <w:t>三、电子商务平台</w:t>
      </w:r>
      <w:r>
        <w:rPr>
          <w:rFonts w:hAnsi="宋体"/>
          <w:b/>
          <w:sz w:val="36"/>
          <w:szCs w:val="36"/>
          <w:lang w:val="en"/>
        </w:rPr>
        <w:t>经营者</w:t>
      </w:r>
      <w:r>
        <w:rPr>
          <w:rFonts w:hAnsi="宋体"/>
          <w:b/>
          <w:sz w:val="36"/>
          <w:szCs w:val="36"/>
        </w:rPr>
        <w:t>问责制度</w:t>
      </w:r>
    </w:p>
    <w:p>
      <w:pPr>
        <w:spacing w:line="560" w:lineRule="exact"/>
        <w:ind w:left="285" w:leftChars="-261" w:hanging="1120" w:hangingChars="350"/>
        <w:jc w:val="left"/>
        <w:rPr>
          <w:szCs w:val="32"/>
        </w:rPr>
      </w:pPr>
      <w:r>
        <w:rPr>
          <w:szCs w:val="32"/>
        </w:rPr>
        <w:t xml:space="preserve">           </w:t>
      </w:r>
      <w:r>
        <w:rPr>
          <w:rFonts w:hAnsi="黑体" w:eastAsia="黑体"/>
          <w:szCs w:val="32"/>
        </w:rPr>
        <w:t>第一条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为强化知识产权监管工作力度，提高电子商务平台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知识产权保护相关工作的自觉性，维护市场良好信誉，特制定本制度。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第二条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与知识产权监督管理部门签订《保护知识产权承诺书》，并自觉履行相关承诺，如未履行该承诺内容，将承担相应后果。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第三条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在电子商务平台范围内公示该承诺书内容，自觉接受各方监督。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第四条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对被有效投诉或举报销售假冒伪劣商品或侵权商品的行为，电子商务平台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应进行公示，并根据电子商务平台与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签订的《</w:t>
      </w:r>
      <w:r>
        <w:rPr>
          <w:szCs w:val="32"/>
        </w:rPr>
        <w:t>不经销侵犯知识产权产品承诺书</w:t>
      </w:r>
      <w:r>
        <w:rPr>
          <w:rFonts w:hAnsi="仿宋_GB2312"/>
          <w:szCs w:val="32"/>
        </w:rPr>
        <w:t>》及相关合同规定做出处理。如电子商务平台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不作为，根据《商标法》《专利法》等有关法律法规的规定，应承担相应责任。</w:t>
      </w:r>
    </w:p>
    <w:p>
      <w:pPr>
        <w:spacing w:line="560" w:lineRule="exact"/>
        <w:ind w:left="282" w:hanging="281" w:hangingChars="88"/>
        <w:rPr>
          <w:szCs w:val="32"/>
        </w:rPr>
      </w:pPr>
      <w:r>
        <w:rPr>
          <w:szCs w:val="32"/>
        </w:rPr>
        <w:t xml:space="preserve">      </w:t>
      </w:r>
      <w:r>
        <w:rPr>
          <w:rFonts w:hAnsi="黑体" w:eastAsia="黑体"/>
          <w:szCs w:val="32"/>
        </w:rPr>
        <w:t>第五条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积极配合政府职能部门对电子商务平台内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的知识产权监管工作，发挥积极作用，不包庇，不护短。</w:t>
      </w:r>
      <w:r>
        <w:rPr>
          <w:szCs w:val="32"/>
        </w:rPr>
        <w:t xml:space="preserve"> 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left="1218" w:hanging="1217" w:hangingChars="337"/>
        <w:jc w:val="center"/>
        <w:rPr>
          <w:rFonts w:eastAsia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四、电子商务平台违法主体退场制度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第一条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为具体落实落实《</w:t>
      </w:r>
      <w:r>
        <w:rPr>
          <w:szCs w:val="32"/>
        </w:rPr>
        <w:t>保护知识产权承诺书》</w:t>
      </w:r>
      <w:r>
        <w:rPr>
          <w:rFonts w:hAnsi="仿宋_GB2312"/>
          <w:szCs w:val="32"/>
        </w:rPr>
        <w:t>，制定本制度。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第二条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经营者</w:t>
      </w:r>
      <w:r>
        <w:rPr>
          <w:rFonts w:hAnsi="仿宋_GB2312"/>
          <w:szCs w:val="32"/>
        </w:rPr>
        <w:t>负责制定并公示上述</w:t>
      </w:r>
      <w:r>
        <w:rPr>
          <w:szCs w:val="32"/>
        </w:rPr>
        <w:t>“</w:t>
      </w:r>
      <w:r>
        <w:rPr>
          <w:rFonts w:hAnsi="仿宋_GB2312"/>
          <w:szCs w:val="32"/>
        </w:rPr>
        <w:t>承诺书</w:t>
      </w:r>
      <w:r>
        <w:rPr>
          <w:szCs w:val="32"/>
        </w:rPr>
        <w:t>”</w:t>
      </w:r>
      <w:r>
        <w:rPr>
          <w:rFonts w:hAnsi="仿宋_GB2312"/>
          <w:szCs w:val="32"/>
        </w:rPr>
        <w:t>，属地知识产权监管部门负责指导并督促落实。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</w:t>
      </w:r>
      <w:r>
        <w:rPr>
          <w:rFonts w:eastAsia="黑体"/>
          <w:szCs w:val="32"/>
        </w:rPr>
        <w:t xml:space="preserve"> </w:t>
      </w:r>
      <w:r>
        <w:rPr>
          <w:rFonts w:hAnsi="黑体" w:eastAsia="黑体"/>
          <w:szCs w:val="32"/>
        </w:rPr>
        <w:t>第三条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如电子商务平台内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发生销售假冒伪劣商品和侵权商品的行为，情节轻微的，本平台实行函告警示措施，发出警告通知书，责令下架并限期整改。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第四条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如电子商务平台内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发生销售假冒伪劣商品和侵权商品的行为，情节严重，并被执法部门查处的，本平台将按以下规定进行处理：</w:t>
      </w:r>
    </w:p>
    <w:p>
      <w:pPr>
        <w:spacing w:line="560" w:lineRule="exact"/>
        <w:ind w:left="1120" w:hanging="1120" w:hangingChars="350"/>
        <w:rPr>
          <w:szCs w:val="32"/>
        </w:rPr>
      </w:pPr>
      <w:r>
        <w:rPr>
          <w:szCs w:val="32"/>
        </w:rPr>
        <w:t xml:space="preserve">    </w:t>
      </w:r>
      <w:r>
        <w:rPr>
          <w:rFonts w:hAnsi="仿宋_GB2312"/>
          <w:szCs w:val="32"/>
        </w:rPr>
        <w:t>（一）责令违法经营者进行停业整顿，承租人及经营者向本</w:t>
      </w:r>
      <w:r>
        <w:rPr>
          <w:szCs w:val="32"/>
        </w:rPr>
        <w:t xml:space="preserve"> </w:t>
      </w:r>
    </w:p>
    <w:p>
      <w:pPr>
        <w:spacing w:line="560" w:lineRule="exact"/>
        <w:ind w:left="1120" w:hanging="1120" w:hangingChars="350"/>
        <w:rPr>
          <w:szCs w:val="32"/>
        </w:rPr>
      </w:pPr>
      <w:r>
        <w:rPr>
          <w:szCs w:val="32"/>
        </w:rPr>
        <w:t xml:space="preserve"> </w:t>
      </w:r>
      <w:r>
        <w:rPr>
          <w:rFonts w:hAnsi="仿宋_GB2312"/>
          <w:szCs w:val="32"/>
        </w:rPr>
        <w:t>平台作书面检讨。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Ansi="仿宋_GB2312"/>
          <w:szCs w:val="32"/>
        </w:rPr>
        <w:t>（二）如同一经营者侵权违法行为被行政执法部门查处两次以上的，本平台管理方将根据与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签订的《不经销侵犯知识产权产品承诺书》及有关合同条款，立即与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解除合同。</w:t>
      </w:r>
      <w:r>
        <w:rPr>
          <w:szCs w:val="32"/>
        </w:rPr>
        <w:t xml:space="preserve"> 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第五条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区知识产权监督管理部门协助电子商务平台落实本制度，在法定职权内实施行政指导及行政执法。</w:t>
      </w:r>
    </w:p>
    <w:p>
      <w:pPr>
        <w:spacing w:line="560" w:lineRule="exact"/>
        <w:rPr>
          <w:rFonts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五、知识产权（专利、商标）备案制度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第一条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为更好地掌握本电子商务平台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专利、商标使用情况，加强知识产权管理，保护专利权和注册商标专用权，特制定本制度。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第二条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由电子商务平台管理方成立知识产权管理机构，负责电子商务平台内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知识产权情况备案登记工作，重点掌握知名商标的注册情况及授权情况。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第三条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填写备案表并在知识产权（专利、商标）使用情况发生改变时应及时主动更新备案内容。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第四条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电子商务平台知识产权管理机构根据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报备的知识产权情况建立档案，区知识产权监督管理部门定期进行指导和检查。</w:t>
      </w:r>
    </w:p>
    <w:p>
      <w:pPr>
        <w:spacing w:line="560" w:lineRule="exact"/>
        <w:ind w:left="3"/>
        <w:rPr>
          <w:szCs w:val="32"/>
        </w:rPr>
      </w:pPr>
      <w:r>
        <w:rPr>
          <w:szCs w:val="32"/>
        </w:rPr>
        <w:t xml:space="preserve">    </w:t>
      </w:r>
      <w:r>
        <w:rPr>
          <w:rFonts w:hAnsi="黑体" w:eastAsia="黑体"/>
          <w:szCs w:val="32"/>
        </w:rPr>
        <w:t>第五条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电子商务平台</w:t>
      </w:r>
      <w:r>
        <w:rPr>
          <w:rFonts w:hAnsi="仿宋_GB2312"/>
          <w:szCs w:val="32"/>
          <w:lang w:val="en"/>
        </w:rPr>
        <w:t>商户</w:t>
      </w:r>
      <w:r>
        <w:rPr>
          <w:rFonts w:hAnsi="仿宋_GB2312"/>
          <w:szCs w:val="32"/>
        </w:rPr>
        <w:t>必须真实填报资料，平台知识产权管理机构有责任进行核实。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widowControl/>
        <w:spacing w:line="560" w:lineRule="exact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60" w:lineRule="exact"/>
        <w:rPr>
          <w:szCs w:val="32"/>
        </w:rPr>
      </w:pP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电子商务平台保护知识产权承诺书</w:t>
      </w:r>
    </w:p>
    <w:p>
      <w:pPr>
        <w:spacing w:line="560" w:lineRule="exact"/>
        <w:rPr>
          <w:rFonts w:eastAsia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szCs w:val="32"/>
          <w:lang w:val="en"/>
        </w:rPr>
        <w:t>一、</w:t>
      </w:r>
      <w:r>
        <w:rPr>
          <w:szCs w:val="32"/>
        </w:rPr>
        <w:t>严格遵守《中华人民共和国商标法》、《中华人民共和国专利法》、《中华人民共和国电子商务法》等法律法规中关于知识产权保护的规定。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szCs w:val="32"/>
          <w:lang w:val="en"/>
        </w:rPr>
        <w:t>二、</w:t>
      </w:r>
      <w:r>
        <w:rPr>
          <w:szCs w:val="32"/>
        </w:rPr>
        <w:t>对本商务平台上所销售的产品、提供的服务、宣传资料等内容进行审查，确保不侵犯他人的知识产权。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szCs w:val="32"/>
          <w:lang w:val="en"/>
        </w:rPr>
        <w:t>三、</w:t>
      </w:r>
      <w:r>
        <w:rPr>
          <w:szCs w:val="32"/>
        </w:rPr>
        <w:t>电子商务平台积极对商户开展知识产权宣传，引导商户不侵犯他人合法权利和保护自身合法权益，鼓励商户做出不侵权承诺，并在与入驻平台的</w:t>
      </w:r>
      <w:r>
        <w:rPr>
          <w:szCs w:val="32"/>
          <w:lang w:val="en"/>
        </w:rPr>
        <w:t>商户</w:t>
      </w:r>
      <w:r>
        <w:rPr>
          <w:szCs w:val="32"/>
        </w:rPr>
        <w:t>签订的协议里明确不侵犯知识产权的承诺。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szCs w:val="32"/>
          <w:lang w:val="en"/>
        </w:rPr>
        <w:t>四、</w:t>
      </w:r>
      <w:r>
        <w:rPr>
          <w:szCs w:val="32"/>
        </w:rPr>
        <w:t>电子商务平台要积极创新监管方式和手段，加强大数据、云计算、物联网、移动互联网等新信息技术在网络交易监管中的研发应用，提高对网上侵权和假冒产品线索的发现、收集、甄别和挖掘能力。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szCs w:val="32"/>
          <w:lang w:val="en"/>
        </w:rPr>
        <w:t>五、</w:t>
      </w:r>
      <w:r>
        <w:rPr>
          <w:szCs w:val="32"/>
        </w:rPr>
        <w:t xml:space="preserve">如发生知识产权纠纷，遵守相关的规定，主动配合当地知识产权行政管理部门、司法机关进行的执法、调解、询问、勘验、取证等行为。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8" w:leftChars="62"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   </w:t>
      </w:r>
      <w:r>
        <w:rPr>
          <w:szCs w:val="32"/>
        </w:rPr>
        <w:t>承诺方代表人：</w:t>
      </w:r>
    </w:p>
    <w:p>
      <w:pPr>
        <w:widowControl/>
        <w:spacing w:line="560" w:lineRule="exact"/>
        <w:ind w:left="198" w:leftChars="62" w:firstLine="640" w:firstLineChars="200"/>
        <w:jc w:val="center"/>
        <w:rPr>
          <w:szCs w:val="32"/>
        </w:rPr>
      </w:pPr>
      <w:r>
        <w:rPr>
          <w:szCs w:val="32"/>
        </w:rPr>
        <w:t xml:space="preserve">             承诺方（盖章）：</w:t>
      </w:r>
    </w:p>
    <w:p>
      <w:pPr>
        <w:widowControl/>
        <w:spacing w:line="560" w:lineRule="exact"/>
        <w:ind w:left="198" w:leftChars="62" w:firstLine="640" w:firstLineChars="200"/>
        <w:jc w:val="center"/>
        <w:rPr>
          <w:rFonts w:eastAsia="宋体"/>
          <w:sz w:val="21"/>
        </w:rPr>
      </w:pPr>
      <w:r>
        <w:rPr>
          <w:szCs w:val="32"/>
        </w:rPr>
        <w:t xml:space="preserve">           年   月   日</w:t>
      </w:r>
    </w:p>
    <w:p>
      <w:pPr>
        <w:spacing w:line="560" w:lineRule="exact"/>
        <w:rPr>
          <w:rFonts w:eastAsia="黑体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电子商务平台商户不经销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侵犯知识产权产品承诺书</w:t>
      </w:r>
    </w:p>
    <w:p>
      <w:pPr>
        <w:widowControl/>
        <w:spacing w:line="560" w:lineRule="exact"/>
        <w:ind w:left="198" w:leftChars="62" w:firstLine="640" w:firstLineChars="200"/>
        <w:rPr>
          <w:szCs w:val="32"/>
        </w:rPr>
      </w:pPr>
    </w:p>
    <w:p>
      <w:pPr>
        <w:spacing w:line="560" w:lineRule="exact"/>
        <w:ind w:firstLine="640"/>
        <w:rPr>
          <w:szCs w:val="32"/>
        </w:rPr>
      </w:pPr>
      <w:r>
        <w:rPr>
          <w:szCs w:val="32"/>
        </w:rPr>
        <w:t>为了有效保护知识产权，共同维护市场各方的合法权益和平台公平有序的秩序，本企业（本人）作为</w:t>
      </w:r>
      <w:r>
        <w:rPr>
          <w:szCs w:val="32"/>
          <w:u w:val="single"/>
        </w:rPr>
        <w:t xml:space="preserve">            </w:t>
      </w:r>
      <w:r>
        <w:rPr>
          <w:szCs w:val="32"/>
        </w:rPr>
        <w:t>电子商务平台的入驻</w:t>
      </w:r>
      <w:r>
        <w:rPr>
          <w:szCs w:val="32"/>
          <w:lang w:val="en"/>
        </w:rPr>
        <w:t>商户</w:t>
      </w:r>
      <w:r>
        <w:rPr>
          <w:szCs w:val="32"/>
        </w:rPr>
        <w:t>，特做如下承诺：</w:t>
      </w:r>
    </w:p>
    <w:p>
      <w:pPr>
        <w:numPr>
          <w:ilvl w:val="0"/>
          <w:numId w:val="1"/>
        </w:numPr>
        <w:spacing w:line="560" w:lineRule="exact"/>
        <w:ind w:firstLine="640"/>
        <w:rPr>
          <w:szCs w:val="32"/>
        </w:rPr>
      </w:pPr>
      <w:r>
        <w:rPr>
          <w:szCs w:val="32"/>
        </w:rPr>
        <w:t>认真学习有关知识产权的法律法规和政策性文件，遵守相关的规定。</w:t>
      </w:r>
    </w:p>
    <w:p>
      <w:pPr>
        <w:numPr>
          <w:ilvl w:val="0"/>
          <w:numId w:val="1"/>
        </w:numPr>
        <w:spacing w:line="560" w:lineRule="exact"/>
        <w:ind w:firstLine="640"/>
        <w:rPr>
          <w:szCs w:val="32"/>
        </w:rPr>
      </w:pPr>
      <w:r>
        <w:rPr>
          <w:szCs w:val="32"/>
        </w:rPr>
        <w:t>本企业（本人）在平台上供应的所有产品、服务及宣传资料，均不侵犯他人合法的商标权、专利权以及我国法律规定的其他知识产权权利及关联权利。</w:t>
      </w:r>
    </w:p>
    <w:p>
      <w:pPr>
        <w:numPr>
          <w:ilvl w:val="0"/>
          <w:numId w:val="1"/>
        </w:numPr>
        <w:spacing w:line="560" w:lineRule="exact"/>
        <w:ind w:firstLine="640"/>
        <w:rPr>
          <w:szCs w:val="32"/>
        </w:rPr>
      </w:pPr>
      <w:r>
        <w:rPr>
          <w:szCs w:val="32"/>
        </w:rPr>
        <w:t>如有涉诉，本企业（本人）积极配合知识产权行政管理部门或司法机关开展的取证、勘验、询问等工作，并配合平台管理方开办的其他与知识产权相关的工作。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 xml:space="preserve">                承诺人（签字/盖章）：</w:t>
      </w: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 xml:space="preserve">                        年  月  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4</w:t>
      </w: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ind w:firstLine="440" w:firstLineChars="1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电子商务平台知识产权管理人员联络表</w:t>
      </w: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rPr>
          <w:rFonts w:eastAsia="方正小标宋简体"/>
          <w:sz w:val="44"/>
          <w:szCs w:val="44"/>
        </w:rPr>
      </w:pPr>
      <w:r>
        <w:rPr>
          <w:szCs w:val="32"/>
        </w:rPr>
        <w:t>单位名称（盖章）：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职务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手机号码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联系电话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60" w:lineRule="exact"/>
              <w:rPr>
                <w:rFonts w:eastAsia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2098" w:right="1474" w:bottom="1985" w:left="1588" w:header="720" w:footer="7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097A"/>
    <w:multiLevelType w:val="singleLevel"/>
    <w:tmpl w:val="2C5709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3F"/>
    <w:rsid w:val="00183069"/>
    <w:rsid w:val="00192E29"/>
    <w:rsid w:val="00F4743F"/>
    <w:rsid w:val="389DCC1F"/>
    <w:rsid w:val="5FED94C5"/>
    <w:rsid w:val="6EBF7A9F"/>
    <w:rsid w:val="7F7F848F"/>
    <w:rsid w:val="7FFFE16C"/>
    <w:rsid w:val="9B77AA38"/>
    <w:rsid w:val="BEBB2203"/>
    <w:rsid w:val="DAE5C7EB"/>
    <w:rsid w:val="F1FFF08F"/>
    <w:rsid w:val="FA3F8DB4"/>
    <w:rsid w:val="FBE654AD"/>
    <w:rsid w:val="FDB50F60"/>
    <w:rsid w:val="FDB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501</Words>
  <Characters>2857</Characters>
  <Lines>23</Lines>
  <Paragraphs>6</Paragraphs>
  <TotalTime>1</TotalTime>
  <ScaleCrop>false</ScaleCrop>
  <LinksUpToDate>false</LinksUpToDate>
  <CharactersWithSpaces>3352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2021-10-14T07:20:00Z</dcterms:created>
  <dc:creator>李梓烽</dc:creator>
  <cp:lastModifiedBy>kylin</cp:lastModifiedBy>
  <dcterms:modified xsi:type="dcterms:W3CDTF">2021-12-06T11:07:00Z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