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Times New Roman" w:cs="Times New Roman"/>
          <w:sz w:val="48"/>
          <w:shd w:val="clear" w:color="auto" w:fill="auto"/>
        </w:rPr>
      </w:pPr>
    </w:p>
    <w:p>
      <w:pPr>
        <w:jc w:val="center"/>
        <w:rPr>
          <w:rFonts w:ascii="Times New Roman" w:hAnsi="Times New Roman" w:eastAsia="Times New Roman" w:cs="Times New Roman"/>
          <w:sz w:val="48"/>
          <w:shd w:val="clear" w:color="auto" w:fill="auto"/>
        </w:rPr>
      </w:pPr>
    </w:p>
    <w:p>
      <w:pPr>
        <w:jc w:val="center"/>
        <w:rPr>
          <w:rFonts w:ascii="Times New Roman" w:hAnsi="Times New Roman" w:eastAsia="Times New Roman" w:cs="Times New Roman"/>
          <w:sz w:val="48"/>
          <w:shd w:val="clear" w:color="auto" w:fill="auto"/>
        </w:rPr>
      </w:pPr>
    </w:p>
    <w:p>
      <w:pPr>
        <w:jc w:val="center"/>
        <w:rPr>
          <w:rFonts w:ascii="Times New Roman" w:hAnsi="Times New Roman" w:eastAsia="Times New Roman" w:cs="Times New Roman"/>
          <w:sz w:val="48"/>
          <w:shd w:val="clear" w:color="auto" w:fill="auto"/>
        </w:rPr>
      </w:pPr>
    </w:p>
    <w:p>
      <w:pPr>
        <w:jc w:val="center"/>
        <w:rPr>
          <w:rFonts w:ascii="Times New Roman" w:hAnsi="Times New Roman" w:eastAsia="Times New Roman" w:cs="Times New Roman"/>
          <w:sz w:val="48"/>
          <w:shd w:val="clear" w:color="auto" w:fill="auto"/>
        </w:rPr>
      </w:pPr>
    </w:p>
    <w:p>
      <w:pPr>
        <w:jc w:val="center"/>
        <w:rPr>
          <w:rFonts w:ascii="Times New Roman" w:hAnsi="Times New Roman" w:eastAsia="Times New Roman" w:cs="Times New Roman"/>
          <w:sz w:val="48"/>
          <w:shd w:val="clear" w:color="auto" w:fill="auto"/>
        </w:rPr>
      </w:pPr>
    </w:p>
    <w:p>
      <w:pPr>
        <w:jc w:val="center"/>
        <w:rPr>
          <w:rFonts w:ascii="Times New Roman" w:hAnsi="Times New Roman" w:eastAsia="Times New Roman" w:cs="Times New Roman"/>
          <w:sz w:val="48"/>
          <w:shd w:val="clear" w:color="auto" w:fill="auto"/>
        </w:rPr>
      </w:pPr>
    </w:p>
    <w:p>
      <w:pPr>
        <w:jc w:val="center"/>
        <w:rPr>
          <w:rFonts w:ascii="Times New Roman" w:hAnsi="Times New Roman" w:eastAsia="Times New Roman" w:cs="Times New Roman"/>
          <w:sz w:val="48"/>
          <w:shd w:val="clear" w:color="auto" w:fill="auto"/>
        </w:rPr>
      </w:pPr>
    </w:p>
    <w:p>
      <w:pPr>
        <w:jc w:val="center"/>
        <w:rPr>
          <w:rFonts w:ascii="Times New Roman" w:hAnsi="Times New Roman" w:eastAsia="Times New Roman" w:cs="Times New Roman"/>
          <w:sz w:val="48"/>
          <w:shd w:val="clear" w:color="auto" w:fill="auto"/>
        </w:rPr>
      </w:pPr>
      <w:r>
        <w:rPr>
          <w:rFonts w:ascii="宋体" w:hAnsi="宋体" w:eastAsia="宋体" w:cs="宋体"/>
          <w:sz w:val="48"/>
          <w:shd w:val="clear" w:color="auto" w:fill="auto"/>
        </w:rPr>
        <w:t>天津市河北区计量检定所</w:t>
      </w:r>
      <w:r>
        <w:rPr>
          <w:rFonts w:ascii="Times New Roman" w:hAnsi="Times New Roman" w:eastAsia="Times New Roman" w:cs="Times New Roman"/>
          <w:sz w:val="48"/>
          <w:shd w:val="clear" w:color="auto" w:fill="auto"/>
        </w:rPr>
        <w:t>2023</w:t>
      </w:r>
      <w:r>
        <w:rPr>
          <w:rFonts w:ascii="宋体" w:hAnsi="宋体" w:eastAsia="宋体" w:cs="宋体"/>
          <w:sz w:val="48"/>
          <w:shd w:val="clear" w:color="auto" w:fill="auto"/>
        </w:rPr>
        <w:t>年度部门决算</w:t>
      </w:r>
    </w:p>
    <w:p>
      <w:pPr>
        <w:widowControl/>
        <w:jc w:val="left"/>
        <w:rPr>
          <w:rFonts w:ascii="Times New Roman" w:hAnsi="Times New Roman" w:eastAsia="Times New Roman" w:cs="Times New Roman"/>
          <w:sz w:val="48"/>
          <w:shd w:val="clear" w:color="auto" w:fill="auto"/>
        </w:rPr>
      </w:pPr>
      <w:r>
        <w:rPr>
          <w:rFonts w:ascii="Times New Roman" w:hAnsi="Times New Roman" w:eastAsia="Times New Roman" w:cs="Times New Roman"/>
          <w:sz w:val="48"/>
          <w:shd w:val="clear" w:color="auto" w:fill="auto"/>
        </w:rPr>
        <w:br w:type="page"/>
      </w:r>
    </w:p>
    <w:p>
      <w:pPr>
        <w:jc w:val="center"/>
        <w:rPr>
          <w:rFonts w:ascii="Times New Roman" w:hAnsi="Times New Roman" w:eastAsia="Times New Roman" w:cs="Times New Roman"/>
          <w:sz w:val="44"/>
          <w:shd w:val="clear" w:color="auto" w:fill="auto"/>
        </w:rPr>
      </w:pPr>
      <w:r>
        <w:rPr>
          <w:rFonts w:ascii="宋体" w:hAnsi="宋体" w:eastAsia="宋体" w:cs="宋体"/>
          <w:sz w:val="44"/>
          <w:shd w:val="clear" w:color="auto" w:fill="auto"/>
        </w:rPr>
        <w:t>目</w:t>
      </w:r>
      <w:r>
        <w:rPr>
          <w:rFonts w:ascii="Times New Roman" w:hAnsi="Times New Roman" w:eastAsia="Times New Roman" w:cs="Times New Roman"/>
          <w:sz w:val="44"/>
          <w:shd w:val="clear" w:color="auto" w:fill="auto"/>
        </w:rPr>
        <w:t xml:space="preserve">   </w:t>
      </w:r>
      <w:r>
        <w:rPr>
          <w:rFonts w:ascii="宋体" w:hAnsi="宋体" w:eastAsia="宋体" w:cs="宋体"/>
          <w:sz w:val="44"/>
          <w:shd w:val="clear" w:color="auto" w:fill="auto"/>
        </w:rPr>
        <w:t>录</w:t>
      </w:r>
    </w:p>
    <w:p>
      <w:pPr>
        <w:spacing w:line="600" w:lineRule="auto"/>
        <w:jc w:val="left"/>
        <w:rPr>
          <w:rFonts w:ascii="Times New Roman" w:hAnsi="Times New Roman" w:eastAsia="Times New Roman" w:cs="Times New Roman"/>
          <w:sz w:val="30"/>
          <w:shd w:val="clear" w:color="auto" w:fill="auto"/>
        </w:rPr>
      </w:pPr>
    </w:p>
    <w:p>
      <w:pPr>
        <w:tabs>
          <w:tab w:val="right" w:leader="dot" w:pos="8306"/>
        </w:tabs>
        <w:spacing w:line="700" w:lineRule="auto"/>
        <w:jc w:val="left"/>
        <w:outlineLvl w:val="0"/>
        <w:rPr>
          <w:rFonts w:ascii="Times New Roman" w:hAnsi="Times New Roman" w:eastAsia="Times New Roman" w:cs="Times New Roman"/>
          <w:sz w:val="30"/>
          <w:shd w:val="clear" w:color="auto" w:fill="auto"/>
        </w:rPr>
      </w:pPr>
      <w:r>
        <w:rPr>
          <w:rFonts w:ascii="宋体" w:hAnsi="宋体" w:eastAsia="宋体" w:cs="宋体"/>
          <w:sz w:val="30"/>
          <w:shd w:val="clear" w:color="auto" w:fill="auto"/>
        </w:rPr>
        <w:t>第一部分</w:t>
      </w:r>
      <w:r>
        <w:rPr>
          <w:rFonts w:ascii="Times New Roman" w:hAnsi="Times New Roman" w:eastAsia="Times New Roman" w:cs="Times New Roman"/>
          <w:sz w:val="30"/>
          <w:shd w:val="clear" w:color="auto" w:fill="auto"/>
        </w:rPr>
        <w:t xml:space="preserve">  </w:t>
      </w:r>
      <w:r>
        <w:rPr>
          <w:rFonts w:ascii="宋体" w:hAnsi="宋体" w:eastAsia="宋体" w:cs="宋体"/>
          <w:sz w:val="30"/>
          <w:shd w:val="clear" w:color="auto" w:fill="auto"/>
        </w:rPr>
        <w:t>概</w:t>
      </w:r>
      <w:r>
        <w:rPr>
          <w:rFonts w:ascii="Times New Roman" w:hAnsi="Times New Roman" w:eastAsia="Times New Roman" w:cs="Times New Roman"/>
          <w:sz w:val="30"/>
          <w:shd w:val="clear" w:color="auto" w:fill="auto"/>
        </w:rPr>
        <w:t xml:space="preserve"> </w:t>
      </w:r>
      <w:r>
        <w:rPr>
          <w:rFonts w:ascii="宋体" w:hAnsi="宋体" w:eastAsia="宋体" w:cs="宋体"/>
          <w:sz w:val="30"/>
          <w:shd w:val="clear" w:color="auto" w:fill="auto"/>
        </w:rPr>
        <w:t>况</w:t>
      </w:r>
    </w:p>
    <w:p>
      <w:pPr>
        <w:tabs>
          <w:tab w:val="right" w:leader="dot" w:pos="8306"/>
        </w:tabs>
        <w:spacing w:line="700" w:lineRule="auto"/>
        <w:ind w:left="220"/>
        <w:jc w:val="left"/>
        <w:rPr>
          <w:rFonts w:ascii="Times New Roman" w:hAnsi="Times New Roman" w:eastAsia="Times New Roman" w:cs="Times New Roman"/>
          <w:sz w:val="30"/>
          <w:shd w:val="clear" w:color="auto" w:fill="auto"/>
        </w:rPr>
      </w:pPr>
      <w:r>
        <w:rPr>
          <w:rFonts w:ascii="宋体" w:hAnsi="宋体" w:eastAsia="宋体" w:cs="宋体"/>
          <w:sz w:val="30"/>
          <w:shd w:val="clear" w:color="auto" w:fill="auto"/>
        </w:rPr>
        <w:t>一、主要职责</w:t>
      </w:r>
    </w:p>
    <w:p>
      <w:pPr>
        <w:tabs>
          <w:tab w:val="right" w:leader="dot" w:pos="8306"/>
        </w:tabs>
        <w:spacing w:line="700" w:lineRule="auto"/>
        <w:ind w:left="220"/>
        <w:jc w:val="left"/>
        <w:rPr>
          <w:rFonts w:ascii="Times New Roman" w:hAnsi="Times New Roman" w:eastAsia="Times New Roman" w:cs="Times New Roman"/>
          <w:sz w:val="30"/>
          <w:shd w:val="clear" w:color="auto" w:fill="auto"/>
        </w:rPr>
      </w:pPr>
      <w:r>
        <w:rPr>
          <w:rFonts w:ascii="宋体" w:hAnsi="宋体" w:eastAsia="宋体" w:cs="宋体"/>
          <w:sz w:val="30"/>
          <w:shd w:val="clear" w:color="auto" w:fill="auto"/>
        </w:rPr>
        <w:t>二、机构设置</w:t>
      </w:r>
    </w:p>
    <w:p>
      <w:pPr>
        <w:tabs>
          <w:tab w:val="right" w:leader="dot" w:pos="8306"/>
        </w:tabs>
        <w:spacing w:line="700" w:lineRule="auto"/>
        <w:jc w:val="left"/>
        <w:outlineLvl w:val="0"/>
        <w:rPr>
          <w:rFonts w:ascii="Times New Roman" w:hAnsi="Times New Roman" w:eastAsia="Times New Roman" w:cs="Times New Roman"/>
          <w:sz w:val="30"/>
          <w:shd w:val="clear" w:color="auto" w:fill="auto"/>
        </w:rPr>
      </w:pPr>
      <w:r>
        <w:rPr>
          <w:rFonts w:ascii="宋体" w:hAnsi="宋体" w:eastAsia="宋体" w:cs="宋体"/>
          <w:sz w:val="30"/>
          <w:shd w:val="clear" w:color="auto" w:fill="auto"/>
        </w:rPr>
        <w:t>第二部分</w:t>
      </w:r>
      <w:r>
        <w:rPr>
          <w:rFonts w:ascii="Times New Roman" w:hAnsi="Times New Roman" w:eastAsia="Times New Roman" w:cs="Times New Roman"/>
          <w:sz w:val="30"/>
          <w:shd w:val="clear" w:color="auto" w:fill="auto"/>
        </w:rPr>
        <w:t xml:space="preserve">  2023</w:t>
      </w:r>
      <w:r>
        <w:rPr>
          <w:rFonts w:ascii="宋体" w:hAnsi="宋体" w:eastAsia="宋体" w:cs="宋体"/>
          <w:sz w:val="30"/>
          <w:shd w:val="clear" w:color="auto" w:fill="auto"/>
        </w:rPr>
        <w:t>年度部门决算表</w:t>
      </w:r>
    </w:p>
    <w:p>
      <w:pPr>
        <w:tabs>
          <w:tab w:val="right" w:leader="dot" w:pos="8306"/>
        </w:tabs>
        <w:spacing w:line="700" w:lineRule="auto"/>
        <w:ind w:left="220"/>
        <w:jc w:val="left"/>
        <w:rPr>
          <w:rFonts w:ascii="Times New Roman" w:hAnsi="Times New Roman" w:eastAsia="Times New Roman" w:cs="Times New Roman"/>
          <w:sz w:val="30"/>
          <w:shd w:val="clear" w:color="auto" w:fill="auto"/>
        </w:rPr>
      </w:pPr>
      <w:r>
        <w:rPr>
          <w:rFonts w:ascii="宋体" w:hAnsi="宋体" w:eastAsia="宋体" w:cs="宋体"/>
          <w:sz w:val="30"/>
          <w:shd w:val="clear" w:color="auto" w:fill="auto"/>
        </w:rPr>
        <w:t>一、收入支出决算总表</w:t>
      </w:r>
    </w:p>
    <w:p>
      <w:pPr>
        <w:tabs>
          <w:tab w:val="right" w:leader="dot" w:pos="8306"/>
        </w:tabs>
        <w:spacing w:line="700" w:lineRule="auto"/>
        <w:ind w:left="220"/>
        <w:jc w:val="left"/>
        <w:rPr>
          <w:rFonts w:ascii="Times New Roman" w:hAnsi="Times New Roman" w:eastAsia="Times New Roman" w:cs="Times New Roman"/>
          <w:sz w:val="30"/>
          <w:shd w:val="clear" w:color="auto" w:fill="auto"/>
        </w:rPr>
      </w:pPr>
      <w:r>
        <w:rPr>
          <w:rFonts w:ascii="宋体" w:hAnsi="宋体" w:eastAsia="宋体" w:cs="宋体"/>
          <w:sz w:val="30"/>
          <w:shd w:val="clear" w:color="auto" w:fill="auto"/>
        </w:rPr>
        <w:t>二、收入决算表（按功能分类列示）</w:t>
      </w:r>
    </w:p>
    <w:p>
      <w:pPr>
        <w:tabs>
          <w:tab w:val="right" w:leader="dot" w:pos="8306"/>
        </w:tabs>
        <w:spacing w:line="700" w:lineRule="auto"/>
        <w:ind w:left="220"/>
        <w:jc w:val="left"/>
        <w:rPr>
          <w:rFonts w:ascii="Times New Roman" w:hAnsi="Times New Roman" w:eastAsia="Times New Roman" w:cs="Times New Roman"/>
          <w:sz w:val="30"/>
          <w:shd w:val="clear" w:color="auto" w:fill="auto"/>
        </w:rPr>
      </w:pPr>
      <w:r>
        <w:rPr>
          <w:rFonts w:ascii="宋体" w:hAnsi="宋体" w:eastAsia="宋体" w:cs="宋体"/>
          <w:sz w:val="30"/>
          <w:shd w:val="clear" w:color="auto" w:fill="auto"/>
        </w:rPr>
        <w:t>三、收入决算表（按单位列示）</w:t>
      </w:r>
    </w:p>
    <w:p>
      <w:pPr>
        <w:tabs>
          <w:tab w:val="right" w:leader="dot" w:pos="8306"/>
        </w:tabs>
        <w:spacing w:line="700" w:lineRule="auto"/>
        <w:ind w:left="220"/>
        <w:jc w:val="left"/>
        <w:rPr>
          <w:rFonts w:ascii="Times New Roman" w:hAnsi="Times New Roman" w:eastAsia="Times New Roman" w:cs="Times New Roman"/>
          <w:sz w:val="30"/>
          <w:shd w:val="clear" w:color="auto" w:fill="auto"/>
        </w:rPr>
      </w:pPr>
      <w:r>
        <w:rPr>
          <w:rFonts w:ascii="宋体" w:hAnsi="宋体" w:eastAsia="宋体" w:cs="宋体"/>
          <w:sz w:val="30"/>
          <w:shd w:val="clear" w:color="auto" w:fill="auto"/>
        </w:rPr>
        <w:t>四、支出决算表</w:t>
      </w:r>
    </w:p>
    <w:p>
      <w:pPr>
        <w:tabs>
          <w:tab w:val="right" w:leader="dot" w:pos="8306"/>
        </w:tabs>
        <w:spacing w:line="700" w:lineRule="auto"/>
        <w:ind w:left="220"/>
        <w:jc w:val="left"/>
        <w:rPr>
          <w:rFonts w:ascii="Times New Roman" w:hAnsi="Times New Roman" w:eastAsia="Times New Roman" w:cs="Times New Roman"/>
          <w:sz w:val="30"/>
          <w:shd w:val="clear" w:color="auto" w:fill="auto"/>
        </w:rPr>
      </w:pPr>
      <w:r>
        <w:rPr>
          <w:rFonts w:ascii="宋体" w:hAnsi="宋体" w:eastAsia="宋体" w:cs="宋体"/>
          <w:sz w:val="30"/>
          <w:shd w:val="clear" w:color="auto" w:fill="auto"/>
        </w:rPr>
        <w:t>五、财政拨款收入支出决算总表</w:t>
      </w:r>
    </w:p>
    <w:p>
      <w:pPr>
        <w:tabs>
          <w:tab w:val="right" w:leader="dot" w:pos="8306"/>
        </w:tabs>
        <w:spacing w:line="700" w:lineRule="auto"/>
        <w:ind w:left="220"/>
        <w:jc w:val="left"/>
        <w:rPr>
          <w:rFonts w:ascii="Times New Roman" w:hAnsi="Times New Roman" w:eastAsia="Times New Roman" w:cs="Times New Roman"/>
          <w:sz w:val="30"/>
          <w:shd w:val="clear" w:color="auto" w:fill="auto"/>
        </w:rPr>
      </w:pPr>
      <w:r>
        <w:rPr>
          <w:rFonts w:ascii="宋体" w:hAnsi="宋体" w:eastAsia="宋体" w:cs="宋体"/>
          <w:sz w:val="30"/>
          <w:shd w:val="clear" w:color="auto" w:fill="auto"/>
        </w:rPr>
        <w:t>六、一般公共预算财政拨款支出决算表</w:t>
      </w:r>
    </w:p>
    <w:p>
      <w:pPr>
        <w:tabs>
          <w:tab w:val="right" w:leader="dot" w:pos="8306"/>
        </w:tabs>
        <w:spacing w:line="700" w:lineRule="auto"/>
        <w:ind w:left="220"/>
        <w:jc w:val="left"/>
        <w:rPr>
          <w:rFonts w:ascii="Times New Roman" w:hAnsi="Times New Roman" w:eastAsia="Times New Roman" w:cs="Times New Roman"/>
          <w:sz w:val="30"/>
          <w:shd w:val="clear" w:color="auto" w:fill="auto"/>
        </w:rPr>
      </w:pPr>
      <w:r>
        <w:rPr>
          <w:rFonts w:ascii="宋体" w:hAnsi="宋体" w:eastAsia="宋体" w:cs="宋体"/>
          <w:sz w:val="30"/>
          <w:shd w:val="clear" w:color="auto" w:fill="auto"/>
        </w:rPr>
        <w:t>七、一般公共预算财政拨款基本支出决算表</w:t>
      </w:r>
    </w:p>
    <w:p>
      <w:pPr>
        <w:tabs>
          <w:tab w:val="right" w:leader="dot" w:pos="8306"/>
        </w:tabs>
        <w:spacing w:line="700" w:lineRule="auto"/>
        <w:ind w:left="220"/>
        <w:jc w:val="left"/>
        <w:rPr>
          <w:rFonts w:ascii="Times New Roman" w:hAnsi="Times New Roman" w:eastAsia="Times New Roman" w:cs="Times New Roman"/>
          <w:sz w:val="30"/>
          <w:shd w:val="clear" w:color="auto" w:fill="auto"/>
        </w:rPr>
      </w:pPr>
      <w:r>
        <w:rPr>
          <w:rFonts w:ascii="宋体" w:hAnsi="宋体" w:eastAsia="宋体" w:cs="宋体"/>
          <w:sz w:val="30"/>
          <w:shd w:val="clear" w:color="auto" w:fill="auto"/>
        </w:rPr>
        <w:t>八、政府性基金预算财政拨款收入支出决算表</w:t>
      </w:r>
    </w:p>
    <w:p>
      <w:pPr>
        <w:tabs>
          <w:tab w:val="right" w:leader="dot" w:pos="8306"/>
        </w:tabs>
        <w:spacing w:line="700" w:lineRule="auto"/>
        <w:ind w:left="220"/>
        <w:jc w:val="left"/>
        <w:rPr>
          <w:rFonts w:ascii="Times New Roman" w:hAnsi="Times New Roman" w:eastAsia="Times New Roman" w:cs="Times New Roman"/>
          <w:sz w:val="30"/>
          <w:shd w:val="clear" w:color="auto" w:fill="auto"/>
        </w:rPr>
      </w:pPr>
      <w:r>
        <w:rPr>
          <w:rFonts w:ascii="宋体" w:hAnsi="宋体" w:eastAsia="宋体" w:cs="宋体"/>
          <w:sz w:val="30"/>
          <w:shd w:val="clear" w:color="auto" w:fill="auto"/>
        </w:rPr>
        <w:t>九、国有资本经营预算财政拨款收入支出决算表</w:t>
      </w:r>
    </w:p>
    <w:p>
      <w:pPr>
        <w:tabs>
          <w:tab w:val="right" w:leader="dot" w:pos="8306"/>
        </w:tabs>
        <w:spacing w:line="700" w:lineRule="auto"/>
        <w:ind w:left="220"/>
        <w:jc w:val="left"/>
        <w:rPr>
          <w:rFonts w:ascii="Times New Roman" w:hAnsi="Times New Roman" w:eastAsia="Times New Roman" w:cs="Times New Roman"/>
          <w:sz w:val="30"/>
          <w:shd w:val="clear" w:color="auto" w:fill="auto"/>
        </w:rPr>
      </w:pPr>
      <w:r>
        <w:rPr>
          <w:rFonts w:ascii="宋体" w:hAnsi="宋体" w:eastAsia="宋体" w:cs="宋体"/>
          <w:sz w:val="30"/>
          <w:shd w:val="clear" w:color="auto" w:fill="auto"/>
        </w:rPr>
        <w:t>十、财政拨款“三公”经费支出决算表</w:t>
      </w:r>
    </w:p>
    <w:p>
      <w:pPr>
        <w:tabs>
          <w:tab w:val="right" w:leader="dot" w:pos="8306"/>
        </w:tabs>
        <w:spacing w:line="700" w:lineRule="auto"/>
        <w:ind w:left="220"/>
        <w:jc w:val="left"/>
        <w:rPr>
          <w:rFonts w:ascii="Times New Roman" w:hAnsi="Times New Roman" w:eastAsia="Times New Roman" w:cs="Times New Roman"/>
          <w:sz w:val="30"/>
          <w:shd w:val="clear" w:color="auto" w:fill="auto"/>
        </w:rPr>
      </w:pPr>
      <w:r>
        <w:rPr>
          <w:rFonts w:ascii="宋体" w:hAnsi="宋体" w:eastAsia="宋体" w:cs="宋体"/>
          <w:sz w:val="30"/>
          <w:shd w:val="clear" w:color="auto" w:fill="auto"/>
        </w:rPr>
        <w:t>十一、项目支出决算表</w:t>
      </w:r>
    </w:p>
    <w:p>
      <w:pPr>
        <w:tabs>
          <w:tab w:val="right" w:leader="dot" w:pos="8306"/>
        </w:tabs>
        <w:spacing w:line="700" w:lineRule="auto"/>
        <w:ind w:left="220"/>
        <w:jc w:val="left"/>
        <w:rPr>
          <w:rFonts w:ascii="Times New Roman" w:hAnsi="Times New Roman" w:eastAsia="Times New Roman" w:cs="Times New Roman"/>
          <w:sz w:val="30"/>
          <w:shd w:val="clear" w:color="auto" w:fill="auto"/>
        </w:rPr>
      </w:pPr>
      <w:r>
        <w:rPr>
          <w:rFonts w:ascii="宋体" w:hAnsi="宋体" w:eastAsia="宋体" w:cs="宋体"/>
          <w:sz w:val="30"/>
          <w:shd w:val="clear" w:color="auto" w:fill="auto"/>
        </w:rPr>
        <w:t>十二、关于空表的说明</w:t>
      </w:r>
    </w:p>
    <w:p>
      <w:pPr>
        <w:tabs>
          <w:tab w:val="right" w:leader="dot" w:pos="8306"/>
        </w:tabs>
        <w:spacing w:line="700" w:lineRule="auto"/>
        <w:jc w:val="left"/>
        <w:outlineLvl w:val="0"/>
        <w:rPr>
          <w:rFonts w:ascii="Times New Roman" w:hAnsi="Times New Roman" w:eastAsia="Times New Roman" w:cs="Times New Roman"/>
          <w:sz w:val="30"/>
          <w:shd w:val="clear" w:color="auto" w:fill="auto"/>
        </w:rPr>
      </w:pPr>
      <w:r>
        <w:rPr>
          <w:rFonts w:ascii="宋体" w:hAnsi="宋体" w:eastAsia="宋体" w:cs="宋体"/>
          <w:sz w:val="30"/>
          <w:shd w:val="clear" w:color="auto" w:fill="auto"/>
        </w:rPr>
        <w:t>第三部分</w:t>
      </w:r>
      <w:r>
        <w:rPr>
          <w:rFonts w:ascii="Times New Roman" w:hAnsi="Times New Roman" w:eastAsia="Times New Roman" w:cs="Times New Roman"/>
          <w:sz w:val="30"/>
          <w:shd w:val="clear" w:color="auto" w:fill="auto"/>
        </w:rPr>
        <w:t xml:space="preserve">  2023</w:t>
      </w:r>
      <w:r>
        <w:rPr>
          <w:rFonts w:ascii="宋体" w:hAnsi="宋体" w:eastAsia="宋体" w:cs="宋体"/>
          <w:sz w:val="30"/>
          <w:shd w:val="clear" w:color="auto" w:fill="auto"/>
        </w:rPr>
        <w:t>年度部门决算情况说明</w:t>
      </w:r>
    </w:p>
    <w:p>
      <w:pPr>
        <w:tabs>
          <w:tab w:val="right" w:leader="dot" w:pos="8306"/>
        </w:tabs>
        <w:spacing w:line="700" w:lineRule="auto"/>
        <w:ind w:left="220"/>
        <w:jc w:val="left"/>
        <w:rPr>
          <w:rFonts w:ascii="Times New Roman" w:hAnsi="Times New Roman" w:eastAsia="Times New Roman" w:cs="Times New Roman"/>
          <w:sz w:val="30"/>
          <w:shd w:val="clear" w:color="auto" w:fill="auto"/>
        </w:rPr>
      </w:pPr>
      <w:r>
        <w:rPr>
          <w:rFonts w:ascii="宋体" w:hAnsi="宋体" w:eastAsia="宋体" w:cs="宋体"/>
          <w:sz w:val="30"/>
          <w:shd w:val="clear" w:color="auto" w:fill="auto"/>
        </w:rPr>
        <w:t>一、收支决算总体情况说明</w:t>
      </w:r>
    </w:p>
    <w:p>
      <w:pPr>
        <w:tabs>
          <w:tab w:val="right" w:leader="dot" w:pos="8306"/>
        </w:tabs>
        <w:spacing w:line="700" w:lineRule="auto"/>
        <w:ind w:left="220"/>
        <w:jc w:val="left"/>
        <w:rPr>
          <w:rFonts w:ascii="Times New Roman" w:hAnsi="Times New Roman" w:eastAsia="Times New Roman" w:cs="Times New Roman"/>
          <w:sz w:val="30"/>
          <w:shd w:val="clear" w:color="auto" w:fill="auto"/>
        </w:rPr>
      </w:pPr>
      <w:r>
        <w:rPr>
          <w:rFonts w:ascii="宋体" w:hAnsi="宋体" w:eastAsia="宋体" w:cs="宋体"/>
          <w:sz w:val="30"/>
          <w:shd w:val="clear" w:color="auto" w:fill="auto"/>
        </w:rPr>
        <w:t>二、收入决算情况说明</w:t>
      </w:r>
    </w:p>
    <w:p>
      <w:pPr>
        <w:tabs>
          <w:tab w:val="right" w:leader="dot" w:pos="8306"/>
        </w:tabs>
        <w:spacing w:line="700" w:lineRule="auto"/>
        <w:ind w:left="220"/>
        <w:jc w:val="left"/>
        <w:rPr>
          <w:rFonts w:ascii="Times New Roman" w:hAnsi="Times New Roman" w:eastAsia="Times New Roman" w:cs="Times New Roman"/>
          <w:sz w:val="30"/>
          <w:shd w:val="clear" w:color="auto" w:fill="auto"/>
        </w:rPr>
      </w:pPr>
      <w:r>
        <w:rPr>
          <w:rFonts w:ascii="宋体" w:hAnsi="宋体" w:eastAsia="宋体" w:cs="宋体"/>
          <w:sz w:val="30"/>
          <w:shd w:val="clear" w:color="auto" w:fill="auto"/>
        </w:rPr>
        <w:t>三、支出决算情况说明</w:t>
      </w:r>
    </w:p>
    <w:p>
      <w:pPr>
        <w:tabs>
          <w:tab w:val="right" w:leader="dot" w:pos="8306"/>
        </w:tabs>
        <w:spacing w:line="700" w:lineRule="auto"/>
        <w:ind w:left="220"/>
        <w:jc w:val="left"/>
        <w:rPr>
          <w:rFonts w:ascii="Times New Roman" w:hAnsi="Times New Roman" w:eastAsia="Times New Roman" w:cs="Times New Roman"/>
          <w:sz w:val="30"/>
          <w:shd w:val="clear" w:color="auto" w:fill="auto"/>
        </w:rPr>
      </w:pPr>
      <w:r>
        <w:rPr>
          <w:rFonts w:ascii="宋体" w:hAnsi="宋体" w:eastAsia="宋体" w:cs="宋体"/>
          <w:sz w:val="30"/>
          <w:shd w:val="clear" w:color="auto" w:fill="auto"/>
        </w:rPr>
        <w:t>四、财政拨款收支决算总体情况说明</w:t>
      </w:r>
    </w:p>
    <w:p>
      <w:pPr>
        <w:tabs>
          <w:tab w:val="right" w:leader="dot" w:pos="8306"/>
        </w:tabs>
        <w:spacing w:line="700" w:lineRule="auto"/>
        <w:ind w:left="220"/>
        <w:jc w:val="left"/>
        <w:rPr>
          <w:rFonts w:ascii="Times New Roman" w:hAnsi="Times New Roman" w:eastAsia="Times New Roman" w:cs="Times New Roman"/>
          <w:sz w:val="30"/>
          <w:shd w:val="clear" w:color="auto" w:fill="auto"/>
        </w:rPr>
      </w:pPr>
      <w:r>
        <w:rPr>
          <w:rFonts w:ascii="宋体" w:hAnsi="宋体" w:eastAsia="宋体" w:cs="宋体"/>
          <w:sz w:val="30"/>
          <w:shd w:val="clear" w:color="auto" w:fill="auto"/>
        </w:rPr>
        <w:t>五、一般公共预算财政拨款支出决算情况说明</w:t>
      </w:r>
    </w:p>
    <w:p>
      <w:pPr>
        <w:tabs>
          <w:tab w:val="right" w:leader="dot" w:pos="8306"/>
        </w:tabs>
        <w:spacing w:line="700" w:lineRule="auto"/>
        <w:ind w:left="220"/>
        <w:jc w:val="left"/>
        <w:rPr>
          <w:rFonts w:ascii="Times New Roman" w:hAnsi="Times New Roman" w:eastAsia="Times New Roman" w:cs="Times New Roman"/>
          <w:sz w:val="30"/>
          <w:shd w:val="clear" w:color="auto" w:fill="auto"/>
        </w:rPr>
      </w:pPr>
      <w:r>
        <w:rPr>
          <w:rFonts w:ascii="宋体" w:hAnsi="宋体" w:eastAsia="宋体" w:cs="宋体"/>
          <w:sz w:val="30"/>
          <w:shd w:val="clear" w:color="auto" w:fill="auto"/>
        </w:rPr>
        <w:t>六、一般公共预算财政拨款基本支出决算情况说明</w:t>
      </w:r>
    </w:p>
    <w:p>
      <w:pPr>
        <w:tabs>
          <w:tab w:val="right" w:leader="dot" w:pos="8306"/>
        </w:tabs>
        <w:spacing w:line="700" w:lineRule="auto"/>
        <w:ind w:left="220"/>
        <w:jc w:val="left"/>
        <w:rPr>
          <w:rFonts w:ascii="Times New Roman" w:hAnsi="Times New Roman" w:eastAsia="Times New Roman" w:cs="Times New Roman"/>
          <w:sz w:val="30"/>
          <w:shd w:val="clear" w:color="auto" w:fill="auto"/>
        </w:rPr>
      </w:pPr>
      <w:r>
        <w:rPr>
          <w:rFonts w:ascii="宋体" w:hAnsi="宋体" w:eastAsia="宋体" w:cs="宋体"/>
          <w:sz w:val="30"/>
          <w:shd w:val="clear" w:color="auto" w:fill="auto"/>
        </w:rPr>
        <w:t>七、政府性基金预算财政拨款收支决算情况说明</w:t>
      </w:r>
    </w:p>
    <w:p>
      <w:pPr>
        <w:tabs>
          <w:tab w:val="right" w:leader="dot" w:pos="8306"/>
        </w:tabs>
        <w:spacing w:line="700" w:lineRule="auto"/>
        <w:ind w:left="220"/>
        <w:jc w:val="left"/>
        <w:rPr>
          <w:rFonts w:ascii="Times New Roman" w:hAnsi="Times New Roman" w:eastAsia="Times New Roman" w:cs="Times New Roman"/>
          <w:sz w:val="30"/>
          <w:shd w:val="clear" w:color="auto" w:fill="auto"/>
        </w:rPr>
      </w:pPr>
      <w:r>
        <w:rPr>
          <w:rFonts w:ascii="宋体" w:hAnsi="宋体" w:eastAsia="宋体" w:cs="宋体"/>
          <w:sz w:val="30"/>
          <w:shd w:val="clear" w:color="auto" w:fill="auto"/>
        </w:rPr>
        <w:t>八、国有资本经营预算财政拨款收支决算情况说明</w:t>
      </w:r>
    </w:p>
    <w:p>
      <w:pPr>
        <w:tabs>
          <w:tab w:val="right" w:leader="dot" w:pos="8306"/>
        </w:tabs>
        <w:spacing w:line="700" w:lineRule="auto"/>
        <w:ind w:left="220"/>
        <w:jc w:val="left"/>
        <w:rPr>
          <w:rFonts w:ascii="Times New Roman" w:hAnsi="Times New Roman" w:eastAsia="Times New Roman" w:cs="Times New Roman"/>
          <w:sz w:val="30"/>
          <w:shd w:val="clear" w:color="auto" w:fill="auto"/>
        </w:rPr>
      </w:pPr>
      <w:r>
        <w:rPr>
          <w:rFonts w:ascii="宋体" w:hAnsi="宋体" w:eastAsia="宋体" w:cs="宋体"/>
          <w:sz w:val="30"/>
          <w:shd w:val="clear" w:color="auto" w:fill="auto"/>
        </w:rPr>
        <w:t>九、财政拨款“三公”经费支出决算情况说明</w:t>
      </w:r>
    </w:p>
    <w:p>
      <w:pPr>
        <w:tabs>
          <w:tab w:val="right" w:leader="dot" w:pos="8306"/>
        </w:tabs>
        <w:spacing w:line="700" w:lineRule="auto"/>
        <w:ind w:left="220"/>
        <w:jc w:val="left"/>
        <w:rPr>
          <w:rFonts w:ascii="Times New Roman" w:hAnsi="Times New Roman" w:eastAsia="Times New Roman" w:cs="Times New Roman"/>
          <w:sz w:val="30"/>
          <w:shd w:val="clear" w:color="auto" w:fill="auto"/>
        </w:rPr>
      </w:pPr>
      <w:r>
        <w:rPr>
          <w:rFonts w:ascii="宋体" w:hAnsi="宋体" w:eastAsia="宋体" w:cs="宋体"/>
          <w:sz w:val="30"/>
          <w:shd w:val="clear" w:color="auto" w:fill="auto"/>
        </w:rPr>
        <w:t>十、机关运行经费支出情况说明</w:t>
      </w:r>
    </w:p>
    <w:p>
      <w:pPr>
        <w:tabs>
          <w:tab w:val="right" w:leader="dot" w:pos="8306"/>
        </w:tabs>
        <w:spacing w:line="700" w:lineRule="auto"/>
        <w:ind w:left="220"/>
        <w:jc w:val="left"/>
        <w:rPr>
          <w:rFonts w:ascii="Times New Roman" w:hAnsi="Times New Roman" w:eastAsia="Times New Roman" w:cs="Times New Roman"/>
          <w:sz w:val="30"/>
          <w:shd w:val="clear" w:color="auto" w:fill="auto"/>
        </w:rPr>
      </w:pPr>
      <w:r>
        <w:rPr>
          <w:rFonts w:ascii="宋体" w:hAnsi="宋体" w:eastAsia="宋体" w:cs="宋体"/>
          <w:sz w:val="30"/>
          <w:shd w:val="clear" w:color="auto" w:fill="auto"/>
        </w:rPr>
        <w:t>十一、政府采购支出情况说明</w:t>
      </w:r>
    </w:p>
    <w:p>
      <w:pPr>
        <w:tabs>
          <w:tab w:val="right" w:leader="dot" w:pos="8306"/>
        </w:tabs>
        <w:spacing w:line="700" w:lineRule="auto"/>
        <w:ind w:left="220"/>
        <w:jc w:val="left"/>
        <w:rPr>
          <w:rFonts w:ascii="Times New Roman" w:hAnsi="Times New Roman" w:eastAsia="Times New Roman" w:cs="Times New Roman"/>
          <w:sz w:val="30"/>
          <w:shd w:val="clear" w:color="auto" w:fill="auto"/>
        </w:rPr>
      </w:pPr>
      <w:r>
        <w:rPr>
          <w:rFonts w:ascii="宋体" w:hAnsi="宋体" w:eastAsia="宋体" w:cs="宋体"/>
          <w:sz w:val="30"/>
          <w:shd w:val="clear" w:color="auto" w:fill="auto"/>
        </w:rPr>
        <w:t>十二、国有资产占有使用情况说明</w:t>
      </w:r>
    </w:p>
    <w:p>
      <w:pPr>
        <w:tabs>
          <w:tab w:val="right" w:leader="dot" w:pos="8306"/>
        </w:tabs>
        <w:spacing w:line="700" w:lineRule="auto"/>
        <w:ind w:left="220"/>
        <w:jc w:val="left"/>
        <w:rPr>
          <w:rFonts w:ascii="Times New Roman" w:hAnsi="Times New Roman" w:eastAsia="Times New Roman" w:cs="Times New Roman"/>
          <w:sz w:val="30"/>
          <w:shd w:val="clear" w:color="auto" w:fill="auto"/>
        </w:rPr>
      </w:pPr>
      <w:r>
        <w:rPr>
          <w:rFonts w:ascii="宋体" w:hAnsi="宋体" w:eastAsia="宋体" w:cs="宋体"/>
          <w:sz w:val="30"/>
          <w:shd w:val="clear" w:color="auto" w:fill="auto"/>
        </w:rPr>
        <w:t>十三、预算绩效情况说明</w:t>
      </w:r>
    </w:p>
    <w:p>
      <w:pPr>
        <w:tabs>
          <w:tab w:val="right" w:leader="dot" w:pos="8306"/>
        </w:tabs>
        <w:spacing w:line="700" w:lineRule="auto"/>
        <w:ind w:left="220"/>
        <w:jc w:val="left"/>
        <w:rPr>
          <w:rFonts w:ascii="Times New Roman" w:hAnsi="Times New Roman" w:eastAsia="Times New Roman" w:cs="Times New Roman"/>
          <w:sz w:val="30"/>
          <w:shd w:val="clear" w:color="auto" w:fill="auto"/>
        </w:rPr>
      </w:pPr>
      <w:r>
        <w:rPr>
          <w:rFonts w:ascii="宋体" w:hAnsi="宋体" w:eastAsia="宋体" w:cs="宋体"/>
          <w:sz w:val="30"/>
          <w:shd w:val="clear" w:color="auto" w:fill="auto"/>
        </w:rPr>
        <w:t>十四、教育、医疗卫生、社会保障和就业、住房保障、涉农补贴等民生支出情况说明</w:t>
      </w:r>
    </w:p>
    <w:p>
      <w:pPr>
        <w:tabs>
          <w:tab w:val="right" w:leader="dot" w:pos="8306"/>
        </w:tabs>
        <w:spacing w:line="700" w:lineRule="auto"/>
        <w:jc w:val="left"/>
        <w:rPr>
          <w:rFonts w:ascii="Times New Roman" w:hAnsi="Times New Roman" w:eastAsia="Times New Roman" w:cs="Times New Roman"/>
          <w:sz w:val="30"/>
          <w:shd w:val="clear" w:color="auto" w:fill="auto"/>
        </w:rPr>
      </w:pPr>
      <w:r>
        <w:rPr>
          <w:rFonts w:ascii="宋体" w:hAnsi="宋体" w:eastAsia="宋体" w:cs="宋体"/>
          <w:sz w:val="30"/>
          <w:shd w:val="clear" w:color="auto" w:fill="auto"/>
        </w:rPr>
        <w:t>第四部分</w:t>
      </w:r>
      <w:r>
        <w:rPr>
          <w:rFonts w:ascii="Times New Roman" w:hAnsi="Times New Roman" w:eastAsia="Times New Roman" w:cs="Times New Roman"/>
          <w:sz w:val="30"/>
          <w:shd w:val="clear" w:color="auto" w:fill="auto"/>
        </w:rPr>
        <w:t xml:space="preserve">  </w:t>
      </w:r>
      <w:r>
        <w:rPr>
          <w:rFonts w:ascii="宋体" w:hAnsi="宋体" w:eastAsia="宋体" w:cs="宋体"/>
          <w:sz w:val="30"/>
          <w:shd w:val="clear" w:color="auto" w:fill="auto"/>
        </w:rPr>
        <w:t>名词解释</w:t>
      </w:r>
    </w:p>
    <w:p>
      <w:pPr>
        <w:tabs>
          <w:tab w:val="right" w:leader="dot" w:pos="8306"/>
        </w:tabs>
        <w:spacing w:line="700" w:lineRule="auto"/>
        <w:jc w:val="left"/>
        <w:rPr>
          <w:rFonts w:ascii="Times New Roman" w:hAnsi="Times New Roman" w:eastAsia="Times New Roman" w:cs="Times New Roman"/>
          <w:sz w:val="30"/>
          <w:shd w:val="clear" w:color="auto" w:fill="auto"/>
        </w:rPr>
      </w:pPr>
      <w:r>
        <w:rPr>
          <w:rFonts w:ascii="Times New Roman" w:hAnsi="Times New Roman" w:eastAsia="Times New Roman" w:cs="Times New Roman"/>
          <w:sz w:val="30"/>
          <w:shd w:val="clear" w:color="auto" w:fill="auto"/>
        </w:rPr>
        <w:t xml:space="preserve"> </w:t>
      </w:r>
    </w:p>
    <w:p>
      <w:pPr>
        <w:widowControl/>
        <w:jc w:val="left"/>
        <w:rPr>
          <w:rFonts w:ascii="Times New Roman" w:hAnsi="Times New Roman" w:eastAsia="Times New Roman" w:cs="Times New Roman"/>
          <w:sz w:val="30"/>
          <w:shd w:val="clear" w:color="auto" w:fill="auto"/>
        </w:rPr>
      </w:pPr>
      <w:r>
        <w:rPr>
          <w:rFonts w:ascii="Times New Roman" w:hAnsi="Times New Roman" w:eastAsia="Times New Roman" w:cs="Times New Roman"/>
          <w:sz w:val="30"/>
          <w:shd w:val="clear" w:color="auto" w:fill="auto"/>
        </w:rPr>
        <w:br w:type="page"/>
      </w:r>
    </w:p>
    <w:p>
      <w:pPr>
        <w:tabs>
          <w:tab w:val="right" w:leader="dot" w:pos="8306"/>
        </w:tabs>
        <w:spacing w:line="700" w:lineRule="auto"/>
        <w:jc w:val="center"/>
        <w:rPr>
          <w:rFonts w:ascii="Times New Roman" w:hAnsi="Times New Roman" w:eastAsia="Times New Roman" w:cs="Times New Roman"/>
          <w:sz w:val="44"/>
          <w:shd w:val="clear" w:color="auto" w:fill="auto"/>
        </w:rPr>
      </w:pPr>
      <w:r>
        <w:rPr>
          <w:rFonts w:ascii="宋体" w:hAnsi="宋体" w:eastAsia="宋体" w:cs="宋体"/>
          <w:sz w:val="44"/>
          <w:shd w:val="clear" w:color="auto" w:fill="auto"/>
        </w:rPr>
        <w:t>第一部分</w:t>
      </w:r>
      <w:r>
        <w:rPr>
          <w:rFonts w:ascii="Times New Roman" w:hAnsi="Times New Roman" w:eastAsia="Times New Roman" w:cs="Times New Roman"/>
          <w:sz w:val="44"/>
          <w:shd w:val="clear" w:color="auto" w:fill="auto"/>
        </w:rPr>
        <w:t xml:space="preserve">  </w:t>
      </w:r>
      <w:r>
        <w:rPr>
          <w:rFonts w:ascii="宋体" w:hAnsi="宋体" w:eastAsia="宋体" w:cs="宋体"/>
          <w:sz w:val="44"/>
          <w:shd w:val="clear" w:color="auto" w:fill="auto"/>
        </w:rPr>
        <w:t>概</w:t>
      </w:r>
      <w:r>
        <w:rPr>
          <w:rFonts w:ascii="Times New Roman" w:hAnsi="Times New Roman" w:eastAsia="Times New Roman" w:cs="Times New Roman"/>
          <w:sz w:val="44"/>
          <w:shd w:val="clear" w:color="auto" w:fill="auto"/>
        </w:rPr>
        <w:t xml:space="preserve"> </w:t>
      </w:r>
      <w:r>
        <w:rPr>
          <w:rFonts w:ascii="宋体" w:hAnsi="宋体" w:eastAsia="宋体" w:cs="宋体"/>
          <w:sz w:val="44"/>
          <w:shd w:val="clear" w:color="auto" w:fill="auto"/>
        </w:rPr>
        <w:t>况</w:t>
      </w:r>
    </w:p>
    <w:p>
      <w:pPr>
        <w:keepNext/>
        <w:keepLines/>
        <w:spacing w:line="600" w:lineRule="auto"/>
        <w:ind w:firstLine="600"/>
        <w:jc w:val="left"/>
        <w:outlineLvl w:val="1"/>
        <w:rPr>
          <w:rFonts w:hint="eastAsia" w:ascii="黑体" w:hAnsi="黑体" w:eastAsia="黑体" w:cs="黑体"/>
          <w:sz w:val="30"/>
          <w:shd w:val="clear" w:color="auto" w:fill="auto"/>
        </w:rPr>
      </w:pPr>
      <w:r>
        <w:rPr>
          <w:rFonts w:hint="eastAsia" w:ascii="黑体" w:hAnsi="黑体" w:eastAsia="黑体" w:cs="黑体"/>
          <w:sz w:val="30"/>
          <w:shd w:val="clear" w:color="auto" w:fill="auto"/>
        </w:rPr>
        <w:t>一、主要职责</w:t>
      </w:r>
    </w:p>
    <w:p>
      <w:pPr>
        <w:spacing w:line="360" w:lineRule="auto"/>
        <w:ind w:firstLine="600"/>
        <w:jc w:val="left"/>
        <w:rPr>
          <w:rFonts w:hint="eastAsia" w:ascii="仿宋_GB2312" w:hAnsi="仿宋_GB2312" w:eastAsia="仿宋_GB2312" w:cs="仿宋_GB2312"/>
          <w:sz w:val="30"/>
          <w:shd w:val="clear" w:color="auto" w:fill="auto"/>
        </w:rPr>
      </w:pPr>
      <w:r>
        <w:rPr>
          <w:rFonts w:hint="eastAsia" w:ascii="仿宋_GB2312" w:hAnsi="仿宋_GB2312" w:eastAsia="仿宋_GB2312" w:cs="仿宋_GB2312"/>
          <w:sz w:val="30"/>
          <w:shd w:val="clear" w:color="auto" w:fill="auto"/>
        </w:rPr>
        <w:t>为量值准确提供测试实验检定保障。工作计量器具强制检定，工作计量器具检定测试与校准，计量技术咨询，计量技术服务，计量技术人员技术培训。</w:t>
      </w:r>
    </w:p>
    <w:p>
      <w:pPr>
        <w:keepNext/>
        <w:keepLines/>
        <w:spacing w:line="600" w:lineRule="auto"/>
        <w:ind w:firstLine="600"/>
        <w:jc w:val="left"/>
        <w:outlineLvl w:val="1"/>
        <w:rPr>
          <w:rFonts w:hint="eastAsia" w:ascii="黑体" w:hAnsi="黑体" w:eastAsia="黑体" w:cs="黑体"/>
          <w:sz w:val="30"/>
          <w:shd w:val="clear" w:color="auto" w:fill="auto"/>
        </w:rPr>
      </w:pPr>
      <w:r>
        <w:rPr>
          <w:rFonts w:hint="eastAsia" w:ascii="黑体" w:hAnsi="黑体" w:eastAsia="黑体" w:cs="黑体"/>
          <w:sz w:val="30"/>
          <w:shd w:val="clear" w:color="auto" w:fill="auto"/>
        </w:rPr>
        <w:t>二、机构设置</w:t>
      </w:r>
    </w:p>
    <w:p>
      <w:pPr>
        <w:spacing w:line="360" w:lineRule="auto"/>
        <w:ind w:firstLine="600"/>
        <w:jc w:val="left"/>
        <w:rPr>
          <w:rFonts w:hint="eastAsia" w:ascii="仿宋_GB2312" w:hAnsi="仿宋_GB2312" w:eastAsia="仿宋_GB2312" w:cs="仿宋_GB2312"/>
          <w:sz w:val="30"/>
          <w:shd w:val="clear" w:color="auto" w:fill="auto"/>
        </w:rPr>
      </w:pPr>
      <w:r>
        <w:rPr>
          <w:rFonts w:hint="eastAsia" w:ascii="仿宋_GB2312" w:hAnsi="仿宋_GB2312" w:eastAsia="仿宋_GB2312" w:cs="仿宋_GB2312"/>
          <w:sz w:val="30"/>
          <w:shd w:val="clear" w:color="auto" w:fill="auto"/>
        </w:rPr>
        <w:t>天津市河北区计量检定所内设0个职能科室。下辖0个预算单位。纳入天津市河北区计量检定所2023年度部门决算编制范围的单位包括：</w:t>
      </w:r>
    </w:p>
    <w:p>
      <w:pPr>
        <w:spacing w:line="360" w:lineRule="auto"/>
        <w:ind w:firstLine="600"/>
        <w:jc w:val="left"/>
        <w:outlineLvl w:val="2"/>
        <w:rPr>
          <w:rFonts w:hint="eastAsia" w:ascii="仿宋_GB2312" w:hAnsi="仿宋_GB2312" w:eastAsia="仿宋_GB2312" w:cs="仿宋_GB2312"/>
          <w:sz w:val="30"/>
          <w:shd w:val="clear" w:color="auto" w:fill="auto"/>
        </w:rPr>
      </w:pPr>
      <w:r>
        <w:rPr>
          <w:rFonts w:hint="eastAsia" w:ascii="仿宋_GB2312" w:hAnsi="仿宋_GB2312" w:eastAsia="仿宋_GB2312" w:cs="仿宋_GB2312"/>
          <w:sz w:val="30"/>
          <w:shd w:val="clear" w:color="auto" w:fill="auto"/>
        </w:rPr>
        <w:t>1.天津市河北区计量检定所</w:t>
      </w:r>
    </w:p>
    <w:p>
      <w:pPr>
        <w:spacing w:line="600" w:lineRule="auto"/>
        <w:ind w:firstLine="600"/>
        <w:jc w:val="left"/>
        <w:rPr>
          <w:rFonts w:ascii="Times New Roman" w:hAnsi="Times New Roman" w:eastAsia="Times New Roman" w:cs="Times New Roman"/>
          <w:sz w:val="30"/>
          <w:shd w:val="clear" w:color="auto" w:fill="auto"/>
        </w:rPr>
      </w:pPr>
      <w:r>
        <w:rPr>
          <w:rFonts w:ascii="Times New Roman" w:hAnsi="Times New Roman" w:eastAsia="Times New Roman" w:cs="Times New Roman"/>
          <w:sz w:val="30"/>
          <w:shd w:val="clear" w:color="auto" w:fill="auto"/>
        </w:rPr>
        <w:t xml:space="preserve"> </w:t>
      </w:r>
    </w:p>
    <w:p>
      <w:pPr>
        <w:widowControl/>
        <w:jc w:val="left"/>
        <w:rPr>
          <w:rFonts w:ascii="Times New Roman" w:hAnsi="Times New Roman" w:eastAsia="Times New Roman" w:cs="Times New Roman"/>
          <w:sz w:val="30"/>
          <w:shd w:val="clear" w:color="auto" w:fill="auto"/>
        </w:rPr>
      </w:pPr>
      <w:r>
        <w:rPr>
          <w:rFonts w:ascii="Times New Roman" w:hAnsi="Times New Roman" w:eastAsia="Times New Roman" w:cs="Times New Roman"/>
          <w:sz w:val="30"/>
          <w:shd w:val="clear" w:color="auto" w:fill="auto"/>
        </w:rPr>
        <w:br w:type="page"/>
      </w:r>
    </w:p>
    <w:p>
      <w:pPr>
        <w:keepNext/>
        <w:keepLines/>
        <w:autoSpaceDE w:val="0"/>
        <w:autoSpaceDN w:val="0"/>
        <w:adjustRightInd w:val="0"/>
        <w:spacing w:line="600" w:lineRule="exact"/>
        <w:jc w:val="center"/>
        <w:outlineLvl w:val="0"/>
        <w:rPr>
          <w:rFonts w:hint="eastAsia" w:ascii="宋体" w:hAnsi="宋体" w:eastAsia="宋体" w:cs="宋体"/>
          <w:kern w:val="44"/>
          <w:sz w:val="44"/>
          <w:szCs w:val="44"/>
          <w:highlight w:val="none"/>
          <w14:ligatures w14:val="standardContextual"/>
        </w:rPr>
      </w:pPr>
      <w:r>
        <w:rPr>
          <w:rFonts w:hint="eastAsia" w:ascii="宋体" w:hAnsi="宋体" w:eastAsia="宋体" w:cs="宋体"/>
          <w:kern w:val="44"/>
          <w:sz w:val="44"/>
          <w:szCs w:val="44"/>
          <w:highlight w:val="none"/>
          <w14:ligatures w14:val="standardContextual"/>
        </w:rPr>
        <w:t>第二部分  2023年度部门决算表</w:t>
      </w:r>
    </w:p>
    <w:p>
      <w:pPr>
        <w:spacing w:line="600" w:lineRule="auto"/>
        <w:jc w:val="left"/>
        <w:rPr>
          <w:rFonts w:ascii="Times New Roman" w:hAnsi="Times New Roman" w:eastAsia="Times New Roman" w:cs="Times New Roman"/>
          <w:sz w:val="24"/>
          <w:shd w:val="clear" w:color="auto" w:fill="auto"/>
        </w:rPr>
      </w:pPr>
    </w:p>
    <w:p>
      <w:pPr>
        <w:keepNext/>
        <w:keepLines/>
        <w:autoSpaceDE w:val="0"/>
        <w:autoSpaceDN w:val="0"/>
        <w:adjustRightInd w:val="0"/>
        <w:spacing w:line="800" w:lineRule="exact"/>
        <w:ind w:firstLine="600"/>
        <w:jc w:val="left"/>
        <w:outlineLvl w:val="1"/>
        <w:rPr>
          <w:rFonts w:hint="eastAsia" w:ascii="Times New Roman" w:hAnsi="Times New Roman" w:eastAsia="黑体" w:cs="黑体"/>
          <w:kern w:val="0"/>
          <w:sz w:val="30"/>
          <w:szCs w:val="30"/>
          <w:highlight w:val="none"/>
          <w14:ligatures w14:val="standardContextual"/>
        </w:rPr>
      </w:pPr>
      <w:r>
        <w:rPr>
          <w:rFonts w:hint="eastAsia" w:ascii="Times New Roman" w:hAnsi="Times New Roman" w:eastAsia="黑体" w:cs="黑体"/>
          <w:kern w:val="0"/>
          <w:sz w:val="30"/>
          <w:szCs w:val="30"/>
          <w:highlight w:val="none"/>
          <w14:ligatures w14:val="standardContextual"/>
        </w:rPr>
        <w:t>一、《收入支出决算总表》</w:t>
      </w:r>
    </w:p>
    <w:p>
      <w:pPr>
        <w:keepNext/>
        <w:keepLines/>
        <w:autoSpaceDE w:val="0"/>
        <w:autoSpaceDN w:val="0"/>
        <w:adjustRightInd w:val="0"/>
        <w:spacing w:line="800" w:lineRule="exact"/>
        <w:ind w:firstLine="600"/>
        <w:jc w:val="left"/>
        <w:outlineLvl w:val="1"/>
        <w:rPr>
          <w:rFonts w:hint="eastAsia" w:ascii="Times New Roman" w:hAnsi="Times New Roman" w:eastAsia="黑体" w:cs="黑体"/>
          <w:kern w:val="0"/>
          <w:sz w:val="30"/>
          <w:szCs w:val="30"/>
          <w:highlight w:val="none"/>
          <w14:ligatures w14:val="standardContextual"/>
        </w:rPr>
      </w:pPr>
      <w:r>
        <w:rPr>
          <w:rFonts w:hint="eastAsia" w:ascii="Times New Roman" w:hAnsi="Times New Roman" w:eastAsia="黑体" w:cs="黑体"/>
          <w:kern w:val="0"/>
          <w:sz w:val="30"/>
          <w:szCs w:val="30"/>
          <w:highlight w:val="none"/>
          <w14:ligatures w14:val="standardContextual"/>
        </w:rPr>
        <w:t>二、《收入决算表（按功能分类列示）》</w:t>
      </w:r>
    </w:p>
    <w:p>
      <w:pPr>
        <w:keepNext/>
        <w:keepLines/>
        <w:autoSpaceDE w:val="0"/>
        <w:autoSpaceDN w:val="0"/>
        <w:adjustRightInd w:val="0"/>
        <w:spacing w:line="800" w:lineRule="exact"/>
        <w:ind w:firstLine="600"/>
        <w:jc w:val="left"/>
        <w:outlineLvl w:val="1"/>
        <w:rPr>
          <w:rFonts w:hint="eastAsia" w:ascii="Times New Roman" w:hAnsi="Times New Roman" w:eastAsia="黑体" w:cs="黑体"/>
          <w:kern w:val="0"/>
          <w:sz w:val="30"/>
          <w:szCs w:val="30"/>
          <w:highlight w:val="none"/>
          <w14:ligatures w14:val="standardContextual"/>
        </w:rPr>
      </w:pPr>
      <w:r>
        <w:rPr>
          <w:rFonts w:hint="eastAsia" w:ascii="Times New Roman" w:hAnsi="Times New Roman" w:eastAsia="黑体" w:cs="黑体"/>
          <w:kern w:val="0"/>
          <w:sz w:val="30"/>
          <w:szCs w:val="30"/>
          <w:highlight w:val="none"/>
          <w14:ligatures w14:val="standardContextual"/>
        </w:rPr>
        <w:t>三、《收入决算表（按单位列示）》</w:t>
      </w:r>
    </w:p>
    <w:p>
      <w:pPr>
        <w:keepNext/>
        <w:keepLines/>
        <w:autoSpaceDE w:val="0"/>
        <w:autoSpaceDN w:val="0"/>
        <w:adjustRightInd w:val="0"/>
        <w:spacing w:line="800" w:lineRule="exact"/>
        <w:ind w:firstLine="600"/>
        <w:jc w:val="left"/>
        <w:outlineLvl w:val="1"/>
        <w:rPr>
          <w:rFonts w:hint="eastAsia" w:ascii="Times New Roman" w:hAnsi="Times New Roman" w:eastAsia="黑体" w:cs="黑体"/>
          <w:kern w:val="0"/>
          <w:sz w:val="30"/>
          <w:szCs w:val="30"/>
          <w:highlight w:val="none"/>
          <w14:ligatures w14:val="standardContextual"/>
        </w:rPr>
      </w:pPr>
      <w:r>
        <w:rPr>
          <w:rFonts w:hint="eastAsia" w:ascii="Times New Roman" w:hAnsi="Times New Roman" w:eastAsia="黑体" w:cs="黑体"/>
          <w:kern w:val="0"/>
          <w:sz w:val="30"/>
          <w:szCs w:val="30"/>
          <w:highlight w:val="none"/>
          <w14:ligatures w14:val="standardContextual"/>
        </w:rPr>
        <w:t>四、《支出决算表》</w:t>
      </w:r>
    </w:p>
    <w:p>
      <w:pPr>
        <w:keepNext/>
        <w:keepLines/>
        <w:autoSpaceDE w:val="0"/>
        <w:autoSpaceDN w:val="0"/>
        <w:adjustRightInd w:val="0"/>
        <w:spacing w:line="800" w:lineRule="exact"/>
        <w:ind w:firstLine="600"/>
        <w:jc w:val="left"/>
        <w:outlineLvl w:val="1"/>
        <w:rPr>
          <w:rFonts w:hint="eastAsia" w:ascii="Times New Roman" w:hAnsi="Times New Roman" w:eastAsia="黑体" w:cs="黑体"/>
          <w:kern w:val="0"/>
          <w:sz w:val="30"/>
          <w:szCs w:val="30"/>
          <w:highlight w:val="none"/>
          <w14:ligatures w14:val="standardContextual"/>
        </w:rPr>
      </w:pPr>
      <w:r>
        <w:rPr>
          <w:rFonts w:hint="eastAsia" w:ascii="Times New Roman" w:hAnsi="Times New Roman" w:eastAsia="黑体" w:cs="黑体"/>
          <w:kern w:val="0"/>
          <w:sz w:val="30"/>
          <w:szCs w:val="30"/>
          <w:highlight w:val="none"/>
          <w14:ligatures w14:val="standardContextual"/>
        </w:rPr>
        <w:t>五、《财政拨款收入支出决算总表》</w:t>
      </w:r>
    </w:p>
    <w:p>
      <w:pPr>
        <w:keepNext/>
        <w:keepLines/>
        <w:autoSpaceDE w:val="0"/>
        <w:autoSpaceDN w:val="0"/>
        <w:adjustRightInd w:val="0"/>
        <w:spacing w:line="800" w:lineRule="exact"/>
        <w:ind w:firstLine="600"/>
        <w:jc w:val="left"/>
        <w:outlineLvl w:val="1"/>
        <w:rPr>
          <w:rFonts w:hint="eastAsia" w:ascii="Times New Roman" w:hAnsi="Times New Roman" w:eastAsia="黑体" w:cs="黑体"/>
          <w:kern w:val="0"/>
          <w:sz w:val="30"/>
          <w:szCs w:val="30"/>
          <w:highlight w:val="none"/>
          <w14:ligatures w14:val="standardContextual"/>
        </w:rPr>
      </w:pPr>
      <w:r>
        <w:rPr>
          <w:rFonts w:hint="eastAsia" w:ascii="Times New Roman" w:hAnsi="Times New Roman" w:eastAsia="黑体" w:cs="黑体"/>
          <w:kern w:val="0"/>
          <w:sz w:val="30"/>
          <w:szCs w:val="30"/>
          <w:highlight w:val="none"/>
          <w14:ligatures w14:val="standardContextual"/>
        </w:rPr>
        <w:t>六、《一般公共预算财政拨款支出决算表》</w:t>
      </w:r>
    </w:p>
    <w:p>
      <w:pPr>
        <w:keepNext/>
        <w:keepLines/>
        <w:autoSpaceDE w:val="0"/>
        <w:autoSpaceDN w:val="0"/>
        <w:adjustRightInd w:val="0"/>
        <w:spacing w:line="800" w:lineRule="exact"/>
        <w:ind w:firstLine="600"/>
        <w:jc w:val="left"/>
        <w:outlineLvl w:val="1"/>
        <w:rPr>
          <w:rFonts w:hint="eastAsia" w:ascii="Times New Roman" w:hAnsi="Times New Roman" w:eastAsia="黑体" w:cs="黑体"/>
          <w:kern w:val="0"/>
          <w:sz w:val="30"/>
          <w:szCs w:val="30"/>
          <w:highlight w:val="none"/>
          <w14:ligatures w14:val="standardContextual"/>
        </w:rPr>
      </w:pPr>
      <w:r>
        <w:rPr>
          <w:rFonts w:hint="eastAsia" w:ascii="Times New Roman" w:hAnsi="Times New Roman" w:eastAsia="黑体" w:cs="黑体"/>
          <w:kern w:val="0"/>
          <w:sz w:val="30"/>
          <w:szCs w:val="30"/>
          <w:highlight w:val="none"/>
          <w14:ligatures w14:val="standardContextual"/>
        </w:rPr>
        <w:t>七、《一般公共预算财政拨款基本支出决算表》</w:t>
      </w:r>
    </w:p>
    <w:p>
      <w:pPr>
        <w:keepNext/>
        <w:keepLines/>
        <w:autoSpaceDE w:val="0"/>
        <w:autoSpaceDN w:val="0"/>
        <w:adjustRightInd w:val="0"/>
        <w:spacing w:line="800" w:lineRule="exact"/>
        <w:ind w:firstLine="600"/>
        <w:jc w:val="left"/>
        <w:outlineLvl w:val="1"/>
        <w:rPr>
          <w:rFonts w:hint="eastAsia" w:ascii="Times New Roman" w:hAnsi="Times New Roman" w:eastAsia="黑体" w:cs="黑体"/>
          <w:kern w:val="0"/>
          <w:sz w:val="30"/>
          <w:szCs w:val="30"/>
          <w:highlight w:val="none"/>
          <w14:ligatures w14:val="standardContextual"/>
        </w:rPr>
      </w:pPr>
      <w:r>
        <w:rPr>
          <w:rFonts w:hint="eastAsia" w:ascii="Times New Roman" w:hAnsi="Times New Roman" w:eastAsia="黑体" w:cs="黑体"/>
          <w:kern w:val="0"/>
          <w:sz w:val="30"/>
          <w:szCs w:val="30"/>
          <w:highlight w:val="none"/>
          <w14:ligatures w14:val="standardContextual"/>
        </w:rPr>
        <w:t>八、《政府性基金预算财政拨款收入支出决算表》</w:t>
      </w:r>
    </w:p>
    <w:p>
      <w:pPr>
        <w:keepNext/>
        <w:keepLines/>
        <w:autoSpaceDE w:val="0"/>
        <w:autoSpaceDN w:val="0"/>
        <w:adjustRightInd w:val="0"/>
        <w:spacing w:line="800" w:lineRule="exact"/>
        <w:ind w:firstLine="600"/>
        <w:jc w:val="left"/>
        <w:outlineLvl w:val="1"/>
        <w:rPr>
          <w:rFonts w:hint="eastAsia" w:ascii="Times New Roman" w:hAnsi="Times New Roman" w:eastAsia="黑体" w:cs="黑体"/>
          <w:kern w:val="0"/>
          <w:sz w:val="30"/>
          <w:szCs w:val="30"/>
          <w:highlight w:val="none"/>
          <w14:ligatures w14:val="standardContextual"/>
        </w:rPr>
      </w:pPr>
      <w:r>
        <w:rPr>
          <w:rFonts w:hint="eastAsia" w:ascii="Times New Roman" w:hAnsi="Times New Roman" w:eastAsia="黑体" w:cs="黑体"/>
          <w:kern w:val="0"/>
          <w:sz w:val="30"/>
          <w:szCs w:val="30"/>
          <w:highlight w:val="none"/>
          <w14:ligatures w14:val="standardContextual"/>
        </w:rPr>
        <w:t>九、《国有资本经营预算财政拨款收入支出决算表》</w:t>
      </w:r>
    </w:p>
    <w:p>
      <w:pPr>
        <w:keepNext/>
        <w:keepLines/>
        <w:autoSpaceDE w:val="0"/>
        <w:autoSpaceDN w:val="0"/>
        <w:adjustRightInd w:val="0"/>
        <w:spacing w:line="800" w:lineRule="exact"/>
        <w:ind w:firstLine="600"/>
        <w:jc w:val="left"/>
        <w:outlineLvl w:val="1"/>
        <w:rPr>
          <w:rFonts w:hint="eastAsia" w:ascii="Times New Roman" w:hAnsi="Times New Roman" w:eastAsia="黑体" w:cs="黑体"/>
          <w:kern w:val="0"/>
          <w:sz w:val="30"/>
          <w:szCs w:val="30"/>
          <w:highlight w:val="none"/>
          <w14:ligatures w14:val="standardContextual"/>
        </w:rPr>
      </w:pPr>
      <w:r>
        <w:rPr>
          <w:rFonts w:hint="eastAsia" w:ascii="Times New Roman" w:hAnsi="Times New Roman" w:eastAsia="黑体" w:cs="黑体"/>
          <w:kern w:val="0"/>
          <w:sz w:val="30"/>
          <w:szCs w:val="30"/>
          <w:highlight w:val="none"/>
          <w14:ligatures w14:val="standardContextual"/>
        </w:rPr>
        <w:t>十、《财政拨款“三公”经费支出决算表》</w:t>
      </w:r>
    </w:p>
    <w:p>
      <w:pPr>
        <w:keepNext/>
        <w:keepLines/>
        <w:autoSpaceDE w:val="0"/>
        <w:autoSpaceDN w:val="0"/>
        <w:adjustRightInd w:val="0"/>
        <w:spacing w:line="800" w:lineRule="exact"/>
        <w:ind w:firstLine="600"/>
        <w:jc w:val="left"/>
        <w:outlineLvl w:val="1"/>
        <w:rPr>
          <w:rFonts w:hint="eastAsia" w:ascii="Times New Roman" w:hAnsi="Times New Roman" w:eastAsia="黑体" w:cs="黑体"/>
          <w:kern w:val="0"/>
          <w:sz w:val="30"/>
          <w:szCs w:val="30"/>
          <w:highlight w:val="none"/>
          <w14:ligatures w14:val="standardContextual"/>
        </w:rPr>
      </w:pPr>
      <w:r>
        <w:rPr>
          <w:rFonts w:hint="eastAsia" w:ascii="Times New Roman" w:hAnsi="Times New Roman" w:eastAsia="黑体" w:cs="黑体"/>
          <w:kern w:val="0"/>
          <w:sz w:val="30"/>
          <w:szCs w:val="30"/>
          <w:highlight w:val="none"/>
          <w14:ligatures w14:val="standardContextual"/>
        </w:rPr>
        <w:t>十一、《项目支出决算表》</w:t>
      </w:r>
    </w:p>
    <w:p>
      <w:pPr>
        <w:spacing w:line="800" w:lineRule="auto"/>
        <w:jc w:val="left"/>
        <w:rPr>
          <w:rFonts w:ascii="Times New Roman" w:hAnsi="Times New Roman" w:eastAsia="Times New Roman" w:cs="Times New Roman"/>
          <w:sz w:val="30"/>
          <w:shd w:val="clear" w:color="auto" w:fill="auto"/>
        </w:rPr>
      </w:pPr>
      <w:r>
        <w:rPr>
          <w:rFonts w:ascii="宋体" w:hAnsi="宋体" w:eastAsia="宋体" w:cs="宋体"/>
          <w:sz w:val="30"/>
          <w:shd w:val="clear" w:color="auto" w:fill="auto"/>
        </w:rPr>
        <w:t>注：以上决算公开表均作为附表，附于决算公开说明文档后。</w:t>
      </w:r>
    </w:p>
    <w:p>
      <w:pPr>
        <w:spacing w:line="800" w:lineRule="auto"/>
        <w:jc w:val="left"/>
        <w:rPr>
          <w:rFonts w:ascii="Times New Roman" w:hAnsi="Times New Roman" w:eastAsia="Times New Roman" w:cs="Times New Roman"/>
          <w:sz w:val="24"/>
          <w:shd w:val="clear" w:color="auto" w:fill="auto"/>
        </w:rPr>
      </w:pPr>
      <w:r>
        <w:rPr>
          <w:rFonts w:ascii="Times New Roman" w:hAnsi="Times New Roman" w:eastAsia="Times New Roman" w:cs="Times New Roman"/>
          <w:sz w:val="24"/>
          <w:shd w:val="clear" w:color="auto" w:fill="auto"/>
        </w:rPr>
        <w:t xml:space="preserve"> </w:t>
      </w:r>
    </w:p>
    <w:p>
      <w:pPr>
        <w:spacing w:line="800" w:lineRule="auto"/>
        <w:jc w:val="left"/>
        <w:rPr>
          <w:rFonts w:ascii="Times New Roman" w:hAnsi="Times New Roman" w:eastAsia="Times New Roman" w:cs="Times New Roman"/>
          <w:sz w:val="24"/>
          <w:shd w:val="clear" w:color="auto" w:fill="auto"/>
        </w:rPr>
      </w:pPr>
    </w:p>
    <w:p>
      <w:pPr>
        <w:keepNext/>
        <w:keepLines/>
        <w:autoSpaceDE w:val="0"/>
        <w:autoSpaceDN w:val="0"/>
        <w:adjustRightInd w:val="0"/>
        <w:spacing w:line="800" w:lineRule="exact"/>
        <w:ind w:firstLine="600"/>
        <w:jc w:val="left"/>
        <w:outlineLvl w:val="1"/>
        <w:rPr>
          <w:rFonts w:hint="eastAsia" w:ascii="Times New Roman" w:hAnsi="Times New Roman" w:eastAsia="黑体" w:cs="黑体"/>
          <w:kern w:val="0"/>
          <w:sz w:val="30"/>
          <w:szCs w:val="30"/>
          <w:highlight w:val="none"/>
          <w14:ligatures w14:val="standardContextual"/>
        </w:rPr>
      </w:pPr>
      <w:r>
        <w:rPr>
          <w:rFonts w:hint="eastAsia" w:ascii="Times New Roman" w:hAnsi="Times New Roman" w:eastAsia="黑体" w:cs="黑体"/>
          <w:kern w:val="0"/>
          <w:sz w:val="30"/>
          <w:szCs w:val="30"/>
          <w:highlight w:val="none"/>
          <w14:ligatures w14:val="standardContextual"/>
        </w:rPr>
        <w:t>十二、关于空表的说明</w:t>
      </w:r>
    </w:p>
    <w:p>
      <w:pPr>
        <w:spacing w:line="360" w:lineRule="auto"/>
        <w:ind w:firstLine="601"/>
        <w:jc w:val="left"/>
        <w:rPr>
          <w:rFonts w:hint="eastAsia" w:ascii="仿宋_GB2312" w:hAnsi="仿宋_GB2312" w:eastAsia="仿宋_GB2312" w:cs="仿宋_GB2312"/>
          <w:sz w:val="30"/>
          <w:shd w:val="clear" w:color="auto" w:fill="auto"/>
        </w:rPr>
      </w:pPr>
      <w:r>
        <w:rPr>
          <w:rFonts w:hint="eastAsia" w:ascii="仿宋_GB2312" w:hAnsi="仿宋_GB2312" w:eastAsia="仿宋_GB2312" w:cs="仿宋_GB2312"/>
          <w:sz w:val="30"/>
          <w:shd w:val="clear" w:color="auto" w:fill="auto"/>
        </w:rPr>
        <w:t>1.天津市河北区计量检定所2023年度政府性基金预算财政拨款收入支出决算表为空表。</w:t>
      </w:r>
      <w:r>
        <w:rPr>
          <w:rFonts w:hint="eastAsia" w:ascii="仿宋_GB2312" w:hAnsi="仿宋_GB2312" w:eastAsia="仿宋_GB2312" w:cs="仿宋_GB2312"/>
          <w:sz w:val="30"/>
          <w:shd w:val="clear" w:color="auto" w:fill="auto"/>
        </w:rPr>
        <w:br w:type="textWrapping"/>
      </w:r>
      <w:r>
        <w:rPr>
          <w:rFonts w:hint="eastAsia" w:ascii="仿宋_GB2312" w:hAnsi="仿宋_GB2312" w:eastAsia="仿宋_GB2312" w:cs="仿宋_GB2312"/>
          <w:sz w:val="30"/>
          <w:shd w:val="clear" w:color="auto" w:fill="auto"/>
        </w:rPr>
        <w:t xml:space="preserve">    2.天津市河北区计量检定所2023年度国有资本经营预算财政拨款收入支出决算表为空表。</w:t>
      </w:r>
      <w:r>
        <w:rPr>
          <w:rFonts w:hint="eastAsia" w:ascii="仿宋_GB2312" w:hAnsi="仿宋_GB2312" w:eastAsia="仿宋_GB2312" w:cs="仿宋_GB2312"/>
          <w:sz w:val="30"/>
          <w:shd w:val="clear" w:color="auto" w:fill="auto"/>
        </w:rPr>
        <w:br w:type="textWrapping"/>
      </w:r>
      <w:r>
        <w:rPr>
          <w:rFonts w:hint="eastAsia" w:ascii="仿宋_GB2312" w:hAnsi="仿宋_GB2312" w:eastAsia="仿宋_GB2312" w:cs="仿宋_GB2312"/>
          <w:sz w:val="30"/>
          <w:shd w:val="clear" w:color="auto" w:fill="auto"/>
        </w:rPr>
        <w:t xml:space="preserve">    3.天津市河北区计量检定所2023年度财政拨款“三公”经费支出决算表为空表。</w:t>
      </w:r>
      <w:r>
        <w:rPr>
          <w:rFonts w:hint="eastAsia" w:ascii="仿宋_GB2312" w:hAnsi="仿宋_GB2312" w:eastAsia="仿宋_GB2312" w:cs="仿宋_GB2312"/>
          <w:sz w:val="30"/>
          <w:shd w:val="clear" w:color="auto" w:fill="auto"/>
        </w:rPr>
        <w:br w:type="textWrapping"/>
      </w:r>
      <w:r>
        <w:rPr>
          <w:rFonts w:hint="eastAsia" w:ascii="仿宋_GB2312" w:hAnsi="仿宋_GB2312" w:eastAsia="仿宋_GB2312" w:cs="仿宋_GB2312"/>
          <w:sz w:val="30"/>
          <w:shd w:val="clear" w:color="auto" w:fill="auto"/>
        </w:rPr>
        <w:t xml:space="preserve">    4.天津市河北区计量检定所2023年度项目支出决算表为空表。</w:t>
      </w:r>
    </w:p>
    <w:p>
      <w:pPr>
        <w:widowControl/>
        <w:jc w:val="left"/>
        <w:rPr>
          <w:rFonts w:ascii="Times New Roman" w:hAnsi="Times New Roman" w:eastAsia="Times New Roman" w:cs="Times New Roman"/>
          <w:sz w:val="30"/>
          <w:shd w:val="clear" w:color="auto" w:fill="auto"/>
        </w:rPr>
      </w:pPr>
      <w:r>
        <w:rPr>
          <w:rFonts w:ascii="Times New Roman" w:hAnsi="Times New Roman" w:eastAsia="Times New Roman" w:cs="Times New Roman"/>
          <w:sz w:val="30"/>
          <w:shd w:val="clear" w:color="auto" w:fill="auto"/>
        </w:rPr>
        <w:br w:type="page"/>
      </w:r>
    </w:p>
    <w:p>
      <w:pPr>
        <w:spacing w:line="600" w:lineRule="auto"/>
        <w:ind w:firstLine="601"/>
        <w:outlineLvl w:val="0"/>
        <w:rPr>
          <w:rFonts w:ascii="Times New Roman" w:hAnsi="Times New Roman" w:eastAsia="Times New Roman" w:cs="Times New Roman"/>
          <w:sz w:val="44"/>
          <w:shd w:val="clear" w:color="auto" w:fill="auto"/>
        </w:rPr>
      </w:pPr>
      <w:r>
        <w:rPr>
          <w:rFonts w:ascii="宋体" w:hAnsi="宋体" w:eastAsia="宋体" w:cs="宋体"/>
          <w:sz w:val="44"/>
          <w:shd w:val="clear" w:color="auto" w:fill="auto"/>
        </w:rPr>
        <w:t>第三部分</w:t>
      </w:r>
      <w:r>
        <w:rPr>
          <w:rFonts w:ascii="Times New Roman" w:hAnsi="Times New Roman" w:eastAsia="Times New Roman" w:cs="Times New Roman"/>
          <w:sz w:val="44"/>
          <w:shd w:val="clear" w:color="auto" w:fill="auto"/>
        </w:rPr>
        <w:t xml:space="preserve">  2023</w:t>
      </w:r>
      <w:r>
        <w:rPr>
          <w:rFonts w:ascii="宋体" w:hAnsi="宋体" w:eastAsia="宋体" w:cs="宋体"/>
          <w:sz w:val="44"/>
          <w:shd w:val="clear" w:color="auto" w:fill="auto"/>
        </w:rPr>
        <w:t>年度部门决算情况说明</w:t>
      </w:r>
    </w:p>
    <w:p>
      <w:pPr>
        <w:spacing w:line="580" w:lineRule="auto"/>
        <w:ind w:firstLine="600"/>
        <w:jc w:val="left"/>
        <w:rPr>
          <w:rFonts w:ascii="Times New Roman" w:hAnsi="Times New Roman" w:eastAsia="Times New Roman" w:cs="Times New Roman"/>
          <w:sz w:val="30"/>
          <w:shd w:val="clear" w:color="auto" w:fill="auto"/>
        </w:rPr>
      </w:pPr>
    </w:p>
    <w:p>
      <w:pPr>
        <w:keepNext/>
        <w:keepLines/>
        <w:spacing w:line="600" w:lineRule="auto"/>
        <w:ind w:firstLine="602"/>
        <w:jc w:val="left"/>
        <w:outlineLvl w:val="1"/>
        <w:rPr>
          <w:rFonts w:hint="eastAsia" w:ascii="黑体" w:hAnsi="黑体" w:eastAsia="黑体" w:cs="黑体"/>
          <w:b/>
          <w:sz w:val="30"/>
          <w:shd w:val="clear" w:color="auto" w:fill="auto"/>
        </w:rPr>
      </w:pPr>
      <w:r>
        <w:rPr>
          <w:rFonts w:hint="eastAsia" w:ascii="黑体" w:hAnsi="黑体" w:eastAsia="黑体" w:cs="黑体"/>
          <w:b/>
          <w:sz w:val="30"/>
          <w:shd w:val="clear" w:color="auto" w:fill="auto"/>
        </w:rPr>
        <w:t>一、收入支出决算总体情况说明</w:t>
      </w:r>
    </w:p>
    <w:p>
      <w:pPr>
        <w:spacing w:line="360" w:lineRule="auto"/>
        <w:ind w:firstLine="600"/>
        <w:jc w:val="left"/>
        <w:rPr>
          <w:rFonts w:hint="eastAsia" w:ascii="仿宋_GB2312" w:hAnsi="仿宋_GB2312" w:eastAsia="仿宋_GB2312" w:cs="仿宋_GB2312"/>
          <w:sz w:val="30"/>
          <w:shd w:val="clear" w:color="auto" w:fill="auto"/>
        </w:rPr>
      </w:pPr>
      <w:r>
        <w:rPr>
          <w:rFonts w:hint="eastAsia" w:ascii="仿宋_GB2312" w:hAnsi="仿宋_GB2312" w:eastAsia="仿宋_GB2312" w:cs="仿宋_GB2312"/>
          <w:sz w:val="30"/>
          <w:shd w:val="clear" w:color="auto" w:fill="auto"/>
        </w:rPr>
        <w:t>天津市河北区计量检定所2023年度收入、支出决算总计1,742,931.51元，与2022年度相比，收、支总计各增加226,245.03元，增长14.92%，主要原因是：人员工资薪金的增长及社险缴费基数的调整。</w:t>
      </w:r>
    </w:p>
    <w:p>
      <w:pPr>
        <w:keepNext/>
        <w:keepLines/>
        <w:spacing w:line="600" w:lineRule="auto"/>
        <w:ind w:firstLine="602"/>
        <w:jc w:val="left"/>
        <w:outlineLvl w:val="1"/>
        <w:rPr>
          <w:rFonts w:hint="eastAsia" w:ascii="黑体" w:hAnsi="黑体" w:eastAsia="黑体" w:cs="黑体"/>
          <w:b/>
          <w:sz w:val="30"/>
          <w:shd w:val="clear" w:color="auto" w:fill="auto"/>
        </w:rPr>
      </w:pPr>
      <w:r>
        <w:rPr>
          <w:rFonts w:hint="eastAsia" w:ascii="黑体" w:hAnsi="黑体" w:eastAsia="黑体" w:cs="黑体"/>
          <w:b/>
          <w:sz w:val="30"/>
          <w:shd w:val="clear" w:color="auto" w:fill="auto"/>
        </w:rPr>
        <w:t>二、收入决算情况说明</w:t>
      </w:r>
    </w:p>
    <w:p>
      <w:pPr>
        <w:spacing w:line="360" w:lineRule="auto"/>
        <w:ind w:firstLine="600"/>
        <w:jc w:val="left"/>
        <w:rPr>
          <w:rFonts w:hint="eastAsia" w:ascii="仿宋_GB2312" w:hAnsi="仿宋_GB2312" w:eastAsia="仿宋_GB2312" w:cs="仿宋_GB2312"/>
          <w:sz w:val="30"/>
          <w:shd w:val="clear" w:color="auto" w:fill="auto"/>
        </w:rPr>
      </w:pPr>
      <w:r>
        <w:rPr>
          <w:rFonts w:hint="eastAsia" w:ascii="仿宋_GB2312" w:hAnsi="仿宋_GB2312" w:eastAsia="仿宋_GB2312" w:cs="仿宋_GB2312"/>
          <w:sz w:val="30"/>
          <w:shd w:val="clear" w:color="auto" w:fill="auto"/>
        </w:rPr>
        <w:t>天津市河北区计量检定所2023年度本年收入合计1,486,899.73元，与2022年度相比增加29,786.75元，主要原因是：经营收入的减少。</w:t>
      </w:r>
    </w:p>
    <w:p>
      <w:pPr>
        <w:spacing w:line="360" w:lineRule="auto"/>
        <w:ind w:firstLine="600"/>
        <w:jc w:val="left"/>
        <w:rPr>
          <w:rFonts w:hint="eastAsia" w:ascii="仿宋_GB2312" w:hAnsi="仿宋_GB2312" w:eastAsia="仿宋_GB2312" w:cs="仿宋_GB2312"/>
          <w:sz w:val="30"/>
          <w:shd w:val="clear" w:color="auto" w:fill="auto"/>
        </w:rPr>
      </w:pPr>
      <w:r>
        <w:rPr>
          <w:rFonts w:hint="eastAsia" w:ascii="仿宋_GB2312" w:hAnsi="仿宋_GB2312" w:eastAsia="仿宋_GB2312" w:cs="仿宋_GB2312"/>
          <w:sz w:val="30"/>
          <w:shd w:val="clear" w:color="auto" w:fill="auto"/>
        </w:rPr>
        <w:t>其中：一般公共预算财政拨款收入1,462,559.60元，占98.36%；</w:t>
      </w:r>
    </w:p>
    <w:p>
      <w:pPr>
        <w:spacing w:line="360" w:lineRule="auto"/>
        <w:ind w:firstLine="600"/>
        <w:jc w:val="left"/>
        <w:rPr>
          <w:rFonts w:hint="eastAsia" w:ascii="仿宋_GB2312" w:hAnsi="仿宋_GB2312" w:eastAsia="仿宋_GB2312" w:cs="仿宋_GB2312"/>
          <w:sz w:val="30"/>
          <w:shd w:val="clear" w:color="auto" w:fill="auto"/>
        </w:rPr>
      </w:pPr>
      <w:r>
        <w:rPr>
          <w:rFonts w:hint="eastAsia" w:ascii="仿宋_GB2312" w:hAnsi="仿宋_GB2312" w:eastAsia="仿宋_GB2312" w:cs="仿宋_GB2312"/>
          <w:sz w:val="30"/>
          <w:shd w:val="clear" w:color="auto" w:fill="auto"/>
        </w:rPr>
        <w:t>政府性基金预算财政拨款收入0.00元，占0.0%；</w:t>
      </w:r>
    </w:p>
    <w:p>
      <w:pPr>
        <w:spacing w:line="360" w:lineRule="auto"/>
        <w:ind w:firstLine="600"/>
        <w:jc w:val="left"/>
        <w:rPr>
          <w:rFonts w:hint="eastAsia" w:ascii="仿宋_GB2312" w:hAnsi="仿宋_GB2312" w:eastAsia="仿宋_GB2312" w:cs="仿宋_GB2312"/>
          <w:sz w:val="30"/>
          <w:shd w:val="clear" w:color="auto" w:fill="auto"/>
        </w:rPr>
      </w:pPr>
      <w:r>
        <w:rPr>
          <w:rFonts w:hint="eastAsia" w:ascii="仿宋_GB2312" w:hAnsi="仿宋_GB2312" w:eastAsia="仿宋_GB2312" w:cs="仿宋_GB2312"/>
          <w:sz w:val="30"/>
          <w:shd w:val="clear" w:color="auto" w:fill="auto"/>
        </w:rPr>
        <w:t>国有资本经营预算财政拨款收入0.00元，占0.0%；</w:t>
      </w:r>
    </w:p>
    <w:p>
      <w:pPr>
        <w:spacing w:line="360" w:lineRule="auto"/>
        <w:ind w:firstLine="600"/>
        <w:jc w:val="left"/>
        <w:rPr>
          <w:rFonts w:hint="eastAsia" w:ascii="仿宋_GB2312" w:hAnsi="仿宋_GB2312" w:eastAsia="仿宋_GB2312" w:cs="仿宋_GB2312"/>
          <w:sz w:val="30"/>
          <w:shd w:val="clear" w:color="auto" w:fill="auto"/>
        </w:rPr>
      </w:pPr>
      <w:r>
        <w:rPr>
          <w:rFonts w:hint="eastAsia" w:ascii="仿宋_GB2312" w:hAnsi="仿宋_GB2312" w:eastAsia="仿宋_GB2312" w:cs="仿宋_GB2312"/>
          <w:sz w:val="30"/>
          <w:shd w:val="clear" w:color="auto" w:fill="auto"/>
        </w:rPr>
        <w:t>财政专户管理资金收入0.00元，占0.0%；</w:t>
      </w:r>
    </w:p>
    <w:p>
      <w:pPr>
        <w:spacing w:line="360" w:lineRule="auto"/>
        <w:ind w:firstLine="600"/>
        <w:jc w:val="left"/>
        <w:rPr>
          <w:rFonts w:hint="eastAsia" w:ascii="仿宋_GB2312" w:hAnsi="仿宋_GB2312" w:eastAsia="仿宋_GB2312" w:cs="仿宋_GB2312"/>
          <w:sz w:val="30"/>
          <w:shd w:val="clear" w:color="auto" w:fill="auto"/>
        </w:rPr>
      </w:pPr>
      <w:r>
        <w:rPr>
          <w:rFonts w:hint="eastAsia" w:ascii="仿宋_GB2312" w:hAnsi="仿宋_GB2312" w:eastAsia="仿宋_GB2312" w:cs="仿宋_GB2312"/>
          <w:sz w:val="30"/>
          <w:shd w:val="clear" w:color="auto" w:fill="auto"/>
        </w:rPr>
        <w:t>事业收入0.00元，占0.0%；</w:t>
      </w:r>
    </w:p>
    <w:p>
      <w:pPr>
        <w:spacing w:line="360" w:lineRule="auto"/>
        <w:ind w:firstLine="600"/>
        <w:jc w:val="left"/>
        <w:rPr>
          <w:rFonts w:hint="eastAsia" w:ascii="仿宋_GB2312" w:hAnsi="仿宋_GB2312" w:eastAsia="仿宋_GB2312" w:cs="仿宋_GB2312"/>
          <w:sz w:val="30"/>
          <w:shd w:val="clear" w:color="auto" w:fill="auto"/>
        </w:rPr>
      </w:pPr>
      <w:r>
        <w:rPr>
          <w:rFonts w:hint="eastAsia" w:ascii="仿宋_GB2312" w:hAnsi="仿宋_GB2312" w:eastAsia="仿宋_GB2312" w:cs="仿宋_GB2312"/>
          <w:sz w:val="30"/>
          <w:shd w:val="clear" w:color="auto" w:fill="auto"/>
        </w:rPr>
        <w:t>事业单位经营收入23,840.00元，占1.6%；</w:t>
      </w:r>
    </w:p>
    <w:p>
      <w:pPr>
        <w:spacing w:line="360" w:lineRule="auto"/>
        <w:ind w:firstLine="600"/>
        <w:jc w:val="left"/>
        <w:rPr>
          <w:rFonts w:hint="eastAsia" w:ascii="仿宋_GB2312" w:hAnsi="仿宋_GB2312" w:eastAsia="仿宋_GB2312" w:cs="仿宋_GB2312"/>
          <w:sz w:val="30"/>
          <w:shd w:val="clear" w:color="auto" w:fill="auto"/>
        </w:rPr>
      </w:pPr>
      <w:r>
        <w:rPr>
          <w:rFonts w:hint="eastAsia" w:ascii="仿宋_GB2312" w:hAnsi="仿宋_GB2312" w:eastAsia="仿宋_GB2312" w:cs="仿宋_GB2312"/>
          <w:sz w:val="30"/>
          <w:shd w:val="clear" w:color="auto" w:fill="auto"/>
        </w:rPr>
        <w:t>上级补助收入0.00元，占0.0%；</w:t>
      </w:r>
    </w:p>
    <w:p>
      <w:pPr>
        <w:spacing w:line="360" w:lineRule="auto"/>
        <w:ind w:firstLine="600"/>
        <w:jc w:val="left"/>
        <w:rPr>
          <w:rFonts w:hint="eastAsia" w:ascii="仿宋_GB2312" w:hAnsi="仿宋_GB2312" w:eastAsia="仿宋_GB2312" w:cs="仿宋_GB2312"/>
          <w:sz w:val="30"/>
          <w:shd w:val="clear" w:color="auto" w:fill="auto"/>
        </w:rPr>
      </w:pPr>
      <w:r>
        <w:rPr>
          <w:rFonts w:hint="eastAsia" w:ascii="仿宋_GB2312" w:hAnsi="仿宋_GB2312" w:eastAsia="仿宋_GB2312" w:cs="仿宋_GB2312"/>
          <w:sz w:val="30"/>
          <w:shd w:val="clear" w:color="auto" w:fill="auto"/>
        </w:rPr>
        <w:t>附属单位上缴收入0.00元，占0.0%；</w:t>
      </w:r>
    </w:p>
    <w:p>
      <w:pPr>
        <w:spacing w:line="360" w:lineRule="auto"/>
        <w:ind w:firstLine="600"/>
        <w:jc w:val="left"/>
        <w:rPr>
          <w:rFonts w:hint="eastAsia" w:ascii="仿宋_GB2312" w:hAnsi="仿宋_GB2312" w:eastAsia="仿宋_GB2312" w:cs="仿宋_GB2312"/>
          <w:sz w:val="30"/>
          <w:shd w:val="clear" w:color="auto" w:fill="auto"/>
        </w:rPr>
      </w:pPr>
      <w:r>
        <w:rPr>
          <w:rFonts w:hint="eastAsia" w:ascii="仿宋_GB2312" w:hAnsi="仿宋_GB2312" w:eastAsia="仿宋_GB2312" w:cs="仿宋_GB2312"/>
          <w:sz w:val="30"/>
          <w:shd w:val="clear" w:color="auto" w:fill="auto"/>
        </w:rPr>
        <w:t>其他收入500.13元，占0.03%。</w:t>
      </w:r>
    </w:p>
    <w:p>
      <w:pPr>
        <w:keepNext/>
        <w:keepLines/>
        <w:spacing w:line="600" w:lineRule="auto"/>
        <w:ind w:firstLine="602"/>
        <w:jc w:val="left"/>
        <w:outlineLvl w:val="1"/>
        <w:rPr>
          <w:rFonts w:hint="eastAsia" w:ascii="黑体" w:hAnsi="黑体" w:eastAsia="黑体" w:cs="黑体"/>
          <w:b/>
          <w:sz w:val="30"/>
          <w:shd w:val="clear" w:color="auto" w:fill="auto"/>
        </w:rPr>
      </w:pPr>
      <w:r>
        <w:rPr>
          <w:rFonts w:hint="eastAsia" w:ascii="黑体" w:hAnsi="黑体" w:eastAsia="黑体" w:cs="黑体"/>
          <w:b/>
          <w:sz w:val="30"/>
          <w:shd w:val="clear" w:color="auto" w:fill="auto"/>
        </w:rPr>
        <w:t>三、支出决算情况说明</w:t>
      </w:r>
    </w:p>
    <w:p>
      <w:pPr>
        <w:spacing w:line="360" w:lineRule="auto"/>
        <w:ind w:firstLine="600"/>
        <w:jc w:val="left"/>
        <w:rPr>
          <w:rFonts w:hint="eastAsia" w:ascii="仿宋_GB2312" w:hAnsi="仿宋_GB2312" w:eastAsia="仿宋_GB2312" w:cs="仿宋_GB2312"/>
          <w:sz w:val="30"/>
          <w:shd w:val="clear" w:color="auto" w:fill="auto"/>
        </w:rPr>
      </w:pPr>
      <w:r>
        <w:rPr>
          <w:rFonts w:hint="eastAsia" w:ascii="仿宋_GB2312" w:hAnsi="仿宋_GB2312" w:eastAsia="仿宋_GB2312" w:cs="仿宋_GB2312"/>
          <w:sz w:val="30"/>
          <w:shd w:val="clear" w:color="auto" w:fill="auto"/>
        </w:rPr>
        <w:t>天津市河北区计量检定所2023年度本年支出合计1,587,509.25元，与2022年度相比增加103,243.83元，主要原因是：人员工资薪金的增长及社险缴费基数的调整。</w:t>
      </w:r>
    </w:p>
    <w:p>
      <w:pPr>
        <w:spacing w:line="360" w:lineRule="auto"/>
        <w:ind w:firstLine="600"/>
        <w:jc w:val="left"/>
        <w:rPr>
          <w:rFonts w:hint="eastAsia" w:ascii="仿宋_GB2312" w:hAnsi="仿宋_GB2312" w:eastAsia="仿宋_GB2312" w:cs="仿宋_GB2312"/>
          <w:sz w:val="30"/>
          <w:shd w:val="clear" w:color="auto" w:fill="auto"/>
        </w:rPr>
      </w:pPr>
      <w:r>
        <w:rPr>
          <w:rFonts w:hint="eastAsia" w:ascii="仿宋_GB2312" w:hAnsi="仿宋_GB2312" w:eastAsia="仿宋_GB2312" w:cs="仿宋_GB2312"/>
          <w:sz w:val="30"/>
          <w:shd w:val="clear" w:color="auto" w:fill="auto"/>
        </w:rPr>
        <w:t>其中：基本支出1,460,831.14元，占92.02%；</w:t>
      </w:r>
    </w:p>
    <w:p>
      <w:pPr>
        <w:spacing w:line="360" w:lineRule="auto"/>
        <w:ind w:firstLine="600"/>
        <w:jc w:val="left"/>
        <w:rPr>
          <w:rFonts w:hint="eastAsia" w:ascii="仿宋_GB2312" w:hAnsi="仿宋_GB2312" w:eastAsia="仿宋_GB2312" w:cs="仿宋_GB2312"/>
          <w:sz w:val="30"/>
          <w:shd w:val="clear" w:color="auto" w:fill="auto"/>
        </w:rPr>
      </w:pPr>
      <w:r>
        <w:rPr>
          <w:rFonts w:hint="eastAsia" w:ascii="仿宋_GB2312" w:hAnsi="仿宋_GB2312" w:eastAsia="仿宋_GB2312" w:cs="仿宋_GB2312"/>
          <w:sz w:val="30"/>
          <w:shd w:val="clear" w:color="auto" w:fill="auto"/>
        </w:rPr>
        <w:t>项目支出0.00元，占0.0%；</w:t>
      </w:r>
    </w:p>
    <w:p>
      <w:pPr>
        <w:spacing w:line="360" w:lineRule="auto"/>
        <w:ind w:firstLine="600"/>
        <w:jc w:val="left"/>
        <w:rPr>
          <w:rFonts w:hint="eastAsia" w:ascii="仿宋_GB2312" w:hAnsi="仿宋_GB2312" w:eastAsia="仿宋_GB2312" w:cs="仿宋_GB2312"/>
          <w:sz w:val="30"/>
          <w:shd w:val="clear" w:color="auto" w:fill="auto"/>
        </w:rPr>
      </w:pPr>
      <w:r>
        <w:rPr>
          <w:rFonts w:hint="eastAsia" w:ascii="仿宋_GB2312" w:hAnsi="仿宋_GB2312" w:eastAsia="仿宋_GB2312" w:cs="仿宋_GB2312"/>
          <w:sz w:val="30"/>
          <w:shd w:val="clear" w:color="auto" w:fill="auto"/>
        </w:rPr>
        <w:t>上缴上级支出0.00元，占0.0%；</w:t>
      </w:r>
    </w:p>
    <w:p>
      <w:pPr>
        <w:spacing w:line="360" w:lineRule="auto"/>
        <w:ind w:firstLine="600"/>
        <w:jc w:val="left"/>
        <w:rPr>
          <w:rFonts w:hint="eastAsia" w:ascii="仿宋_GB2312" w:hAnsi="仿宋_GB2312" w:eastAsia="仿宋_GB2312" w:cs="仿宋_GB2312"/>
          <w:sz w:val="30"/>
          <w:shd w:val="clear" w:color="auto" w:fill="auto"/>
        </w:rPr>
      </w:pPr>
      <w:r>
        <w:rPr>
          <w:rFonts w:hint="eastAsia" w:ascii="仿宋_GB2312" w:hAnsi="仿宋_GB2312" w:eastAsia="仿宋_GB2312" w:cs="仿宋_GB2312"/>
          <w:sz w:val="30"/>
          <w:shd w:val="clear" w:color="auto" w:fill="auto"/>
        </w:rPr>
        <w:t>经营支出126,678.11元，占7.98%；</w:t>
      </w:r>
    </w:p>
    <w:p>
      <w:pPr>
        <w:spacing w:line="360" w:lineRule="auto"/>
        <w:ind w:firstLine="600"/>
        <w:jc w:val="left"/>
        <w:rPr>
          <w:rFonts w:hint="eastAsia" w:ascii="仿宋_GB2312" w:hAnsi="仿宋_GB2312" w:eastAsia="仿宋_GB2312" w:cs="仿宋_GB2312"/>
          <w:sz w:val="30"/>
          <w:shd w:val="clear" w:color="auto" w:fill="auto"/>
        </w:rPr>
      </w:pPr>
      <w:r>
        <w:rPr>
          <w:rFonts w:hint="eastAsia" w:ascii="仿宋_GB2312" w:hAnsi="仿宋_GB2312" w:eastAsia="仿宋_GB2312" w:cs="仿宋_GB2312"/>
          <w:sz w:val="30"/>
          <w:shd w:val="clear" w:color="auto" w:fill="auto"/>
        </w:rPr>
        <w:t>对附属单位补助支出0.00元，占0.0%。</w:t>
      </w:r>
    </w:p>
    <w:p>
      <w:pPr>
        <w:keepNext/>
        <w:keepLines/>
        <w:spacing w:line="600" w:lineRule="auto"/>
        <w:ind w:firstLine="602"/>
        <w:jc w:val="left"/>
        <w:outlineLvl w:val="1"/>
        <w:rPr>
          <w:rFonts w:hint="eastAsia" w:ascii="黑体" w:hAnsi="黑体" w:eastAsia="黑体" w:cs="黑体"/>
          <w:b/>
          <w:sz w:val="30"/>
          <w:shd w:val="clear" w:color="auto" w:fill="auto"/>
        </w:rPr>
      </w:pPr>
      <w:r>
        <w:rPr>
          <w:rFonts w:hint="eastAsia" w:ascii="黑体" w:hAnsi="黑体" w:eastAsia="黑体" w:cs="黑体"/>
          <w:b/>
          <w:sz w:val="30"/>
          <w:shd w:val="clear" w:color="auto" w:fill="auto"/>
        </w:rPr>
        <w:t>四、财政拨款收支决算总体情况说明</w:t>
      </w:r>
    </w:p>
    <w:p>
      <w:pPr>
        <w:spacing w:line="360" w:lineRule="auto"/>
        <w:ind w:firstLine="600"/>
        <w:jc w:val="left"/>
        <w:rPr>
          <w:rFonts w:hint="eastAsia" w:ascii="仿宋_GB2312" w:hAnsi="仿宋_GB2312" w:eastAsia="仿宋_GB2312" w:cs="仿宋_GB2312"/>
          <w:sz w:val="30"/>
          <w:shd w:val="clear" w:color="auto" w:fill="auto"/>
        </w:rPr>
      </w:pPr>
      <w:r>
        <w:rPr>
          <w:rFonts w:hint="eastAsia" w:ascii="仿宋_GB2312" w:hAnsi="仿宋_GB2312" w:eastAsia="仿宋_GB2312" w:cs="仿宋_GB2312"/>
          <w:sz w:val="30"/>
          <w:shd w:val="clear" w:color="auto" w:fill="auto"/>
        </w:rPr>
        <w:t>天津市河北区计量检定所2023年度财政拨款收入、支出决算总计1,462,559.60元，与2022年度相比，财政拨款收、支总计各增加79,222.20元，增长5.73%，主要原因是：人员工资薪金的增长及社险缴费基数的调整。</w:t>
      </w:r>
    </w:p>
    <w:p>
      <w:pPr>
        <w:keepNext/>
        <w:keepLines/>
        <w:spacing w:line="600" w:lineRule="auto"/>
        <w:ind w:firstLine="602"/>
        <w:jc w:val="left"/>
        <w:outlineLvl w:val="1"/>
        <w:rPr>
          <w:rFonts w:hint="eastAsia" w:ascii="黑体" w:hAnsi="黑体" w:eastAsia="黑体" w:cs="黑体"/>
          <w:b/>
          <w:sz w:val="30"/>
          <w:shd w:val="clear" w:color="auto" w:fill="auto"/>
        </w:rPr>
      </w:pPr>
      <w:r>
        <w:rPr>
          <w:rFonts w:hint="eastAsia" w:ascii="黑体" w:hAnsi="黑体" w:eastAsia="黑体" w:cs="黑体"/>
          <w:b/>
          <w:sz w:val="30"/>
          <w:shd w:val="clear" w:color="auto" w:fill="auto"/>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14:ligatures w14:val="standardContextual"/>
        </w:rPr>
      </w:pPr>
      <w:r>
        <w:rPr>
          <w:rFonts w:hint="eastAsia" w:ascii="Times New Roman" w:hAnsi="Times New Roman" w:eastAsia="楷体" w:cs="楷体"/>
          <w:b/>
          <w:bCs/>
          <w:kern w:val="0"/>
          <w:sz w:val="30"/>
          <w:szCs w:val="30"/>
          <w:highlight w:val="none"/>
          <w14:ligatures w14:val="standardContextual"/>
        </w:rPr>
        <w:t>（一）总体情况</w:t>
      </w:r>
    </w:p>
    <w:p>
      <w:pPr>
        <w:spacing w:line="360" w:lineRule="auto"/>
        <w:ind w:firstLine="720"/>
        <w:jc w:val="left"/>
        <w:rPr>
          <w:rFonts w:hint="eastAsia" w:ascii="仿宋_GB2312" w:hAnsi="仿宋_GB2312" w:eastAsia="仿宋_GB2312" w:cs="仿宋_GB2312"/>
          <w:sz w:val="30"/>
          <w:shd w:val="clear" w:color="auto" w:fill="auto"/>
        </w:rPr>
      </w:pPr>
      <w:r>
        <w:rPr>
          <w:rFonts w:hint="eastAsia" w:ascii="仿宋_GB2312" w:hAnsi="仿宋_GB2312" w:eastAsia="仿宋_GB2312" w:cs="仿宋_GB2312"/>
          <w:sz w:val="30"/>
          <w:shd w:val="clear" w:color="auto" w:fill="auto"/>
        </w:rPr>
        <w:t>天津市河北区计量检定所2023年度部门决算一般公共预算财政拨款支出合计1,460,831.14元，占本年支出合计的92.02%，与2022年度相比，一般公共预算财政拨款支出增加118,856.67元，增长8.86%，主要原因是：人员工资薪金的增长及社险缴费基数的调整。</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14:ligatures w14:val="standardContextual"/>
        </w:rPr>
      </w:pPr>
      <w:r>
        <w:rPr>
          <w:rFonts w:hint="eastAsia" w:ascii="Times New Roman" w:hAnsi="Times New Roman" w:eastAsia="楷体" w:cs="楷体"/>
          <w:b/>
          <w:bCs/>
          <w:kern w:val="0"/>
          <w:sz w:val="30"/>
          <w:szCs w:val="30"/>
          <w:highlight w:val="none"/>
          <w14:ligatures w14:val="standardContextual"/>
        </w:rPr>
        <w:t>（二）支出结构情况</w:t>
      </w:r>
    </w:p>
    <w:p>
      <w:pPr>
        <w:spacing w:line="360" w:lineRule="auto"/>
        <w:ind w:firstLine="720"/>
        <w:jc w:val="left"/>
        <w:rPr>
          <w:rFonts w:hint="eastAsia" w:ascii="仿宋_GB2312" w:hAnsi="仿宋_GB2312" w:eastAsia="仿宋_GB2312" w:cs="仿宋_GB2312"/>
          <w:sz w:val="30"/>
          <w:shd w:val="clear" w:color="auto" w:fill="auto"/>
        </w:rPr>
      </w:pPr>
      <w:r>
        <w:rPr>
          <w:rFonts w:hint="eastAsia" w:ascii="仿宋_GB2312" w:hAnsi="仿宋_GB2312" w:eastAsia="仿宋_GB2312" w:cs="仿宋_GB2312"/>
          <w:sz w:val="30"/>
          <w:shd w:val="clear" w:color="auto" w:fill="auto"/>
        </w:rPr>
        <w:t>2023年度一般公共预算财政拨款支出1,460,831.14元，主要用于以下方面：一般公共服务支出1,204,208.48元，占82.43%；社会保障和就业支出167,910.60元，占11.49%；卫生健康支出88,712.06元，占6.07%。</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14:ligatures w14:val="standardContextual"/>
        </w:rPr>
      </w:pPr>
      <w:r>
        <w:rPr>
          <w:rFonts w:hint="eastAsia" w:ascii="Times New Roman" w:hAnsi="Times New Roman" w:eastAsia="楷体" w:cs="楷体"/>
          <w:b/>
          <w:bCs/>
          <w:kern w:val="0"/>
          <w:sz w:val="30"/>
          <w:szCs w:val="30"/>
          <w:highlight w:val="none"/>
          <w14:ligatures w14:val="standardContextual"/>
        </w:rPr>
        <w:t>（三）具体情况</w:t>
      </w:r>
    </w:p>
    <w:p>
      <w:pPr>
        <w:spacing w:line="360" w:lineRule="auto"/>
        <w:ind w:firstLine="600"/>
        <w:jc w:val="left"/>
        <w:rPr>
          <w:rFonts w:hint="eastAsia" w:ascii="仿宋_GB2312" w:hAnsi="仿宋_GB2312" w:eastAsia="仿宋_GB2312" w:cs="仿宋_GB2312"/>
          <w:sz w:val="30"/>
          <w:shd w:val="clear" w:color="auto" w:fill="auto"/>
        </w:rPr>
      </w:pPr>
      <w:r>
        <w:rPr>
          <w:rFonts w:hint="eastAsia" w:ascii="仿宋_GB2312" w:hAnsi="仿宋_GB2312" w:eastAsia="仿宋_GB2312" w:cs="仿宋_GB2312"/>
          <w:sz w:val="30"/>
          <w:shd w:val="clear" w:color="auto" w:fill="auto"/>
        </w:rPr>
        <w:t>2023年度一般公共预算财政拨款支出年初预算为1,466,302.00元，支出决算为1,460,831.14元，完成年初预算的99.63%。其中：</w:t>
      </w:r>
    </w:p>
    <w:p>
      <w:pPr>
        <w:spacing w:line="360" w:lineRule="auto"/>
        <w:ind w:firstLine="720"/>
        <w:jc w:val="left"/>
        <w:rPr>
          <w:rFonts w:hint="eastAsia" w:ascii="仿宋_GB2312" w:hAnsi="仿宋_GB2312" w:eastAsia="仿宋_GB2312" w:cs="仿宋_GB2312"/>
          <w:b/>
          <w:sz w:val="30"/>
          <w:shd w:val="clear" w:color="auto" w:fill="auto"/>
        </w:rPr>
      </w:pPr>
      <w:r>
        <w:rPr>
          <w:rFonts w:hint="eastAsia" w:ascii="仿宋_GB2312" w:hAnsi="仿宋_GB2312" w:eastAsia="仿宋_GB2312" w:cs="仿宋_GB2312"/>
          <w:sz w:val="30"/>
          <w:shd w:val="clear" w:color="auto" w:fill="auto"/>
        </w:rPr>
        <w:t>1.一般公共服务支出(类)市场监督管理事务(款)事业运行(项)年初预算为1,235,579.00 元，支出决算为1,204,208.48元，完成年初预算的97.46%，决算数小于年初预算数的主要原因是厉行节约，减少开支。</w:t>
      </w:r>
      <w:r>
        <w:rPr>
          <w:rFonts w:hint="eastAsia" w:ascii="仿宋_GB2312" w:hAnsi="仿宋_GB2312" w:eastAsia="仿宋_GB2312" w:cs="仿宋_GB2312"/>
          <w:sz w:val="30"/>
          <w:shd w:val="clear" w:color="auto" w:fill="auto"/>
        </w:rPr>
        <w:br w:type="textWrapping"/>
      </w:r>
      <w:r>
        <w:rPr>
          <w:rFonts w:hint="eastAsia" w:ascii="仿宋_GB2312" w:hAnsi="仿宋_GB2312" w:eastAsia="仿宋_GB2312" w:cs="仿宋_GB2312"/>
          <w:sz w:val="30"/>
          <w:shd w:val="clear" w:color="auto" w:fill="auto"/>
        </w:rPr>
        <w:t xml:space="preserve">        2.社会保障和就业支出(类)行政事业单位养老支出(款)事业单位离退休(项)年初预算为24,340.00 元，支出决算为24,339.60元，完成年初预算的100.00%，决算数等于年初预算数的主要原因是本年度执行较年初无变化。</w:t>
      </w:r>
      <w:r>
        <w:rPr>
          <w:rFonts w:hint="eastAsia" w:ascii="仿宋_GB2312" w:hAnsi="仿宋_GB2312" w:eastAsia="仿宋_GB2312" w:cs="仿宋_GB2312"/>
          <w:sz w:val="30"/>
          <w:shd w:val="clear" w:color="auto" w:fill="auto"/>
        </w:rPr>
        <w:br w:type="textWrapping"/>
      </w:r>
      <w:r>
        <w:rPr>
          <w:rFonts w:hint="eastAsia" w:ascii="仿宋_GB2312" w:hAnsi="仿宋_GB2312" w:eastAsia="仿宋_GB2312" w:cs="仿宋_GB2312"/>
          <w:sz w:val="30"/>
          <w:shd w:val="clear" w:color="auto" w:fill="auto"/>
        </w:rPr>
        <w:t xml:space="preserve">        3.社会保障和就业支出(类)行政事业单位养老支出(款)机关事业单位基本养老保险缴费支出(项)年初预算为95,714.00 元，支出决算为95,714.00 元，完成年初预算的100.00%，决算数等于年初预算数的主要原因是本年度执行较年初无变化。</w:t>
      </w:r>
      <w:r>
        <w:rPr>
          <w:rFonts w:hint="eastAsia" w:ascii="仿宋_GB2312" w:hAnsi="仿宋_GB2312" w:eastAsia="仿宋_GB2312" w:cs="仿宋_GB2312"/>
          <w:sz w:val="30"/>
          <w:shd w:val="clear" w:color="auto" w:fill="auto"/>
        </w:rPr>
        <w:br w:type="textWrapping"/>
      </w:r>
      <w:r>
        <w:rPr>
          <w:rFonts w:hint="eastAsia" w:ascii="仿宋_GB2312" w:hAnsi="仿宋_GB2312" w:eastAsia="仿宋_GB2312" w:cs="仿宋_GB2312"/>
          <w:sz w:val="30"/>
          <w:shd w:val="clear" w:color="auto" w:fill="auto"/>
        </w:rPr>
        <w:t xml:space="preserve">        4.社会保障和就业支出(类)行政事业单位养老支出(款)机关事业单位职业年金缴费支出(项)年初预算为47,857.00 元，支出决算为47,857.00 元，完成年初预算的100.00%，决算数等于年初预算数的主要原因是本年度执行较年初无变化。</w:t>
      </w:r>
      <w:r>
        <w:rPr>
          <w:rFonts w:hint="eastAsia" w:ascii="仿宋_GB2312" w:hAnsi="仿宋_GB2312" w:eastAsia="仿宋_GB2312" w:cs="仿宋_GB2312"/>
          <w:sz w:val="30"/>
          <w:shd w:val="clear" w:color="auto" w:fill="auto"/>
        </w:rPr>
        <w:br w:type="textWrapping"/>
      </w:r>
      <w:r>
        <w:rPr>
          <w:rFonts w:hint="eastAsia" w:ascii="仿宋_GB2312" w:hAnsi="仿宋_GB2312" w:eastAsia="仿宋_GB2312" w:cs="仿宋_GB2312"/>
          <w:sz w:val="30"/>
          <w:shd w:val="clear" w:color="auto" w:fill="auto"/>
        </w:rPr>
        <w:t xml:space="preserve">        5.卫生健康支出(类)行政事业单位医疗(款)行政单位医疗(项)年初预算为62,812.00 元，支出决算为62,812.00 元，完成年初预算的100.00%，决算数等于年初预算数的主要原因是本年度执行较年初无变化。</w:t>
      </w:r>
      <w:r>
        <w:rPr>
          <w:rFonts w:hint="eastAsia" w:ascii="仿宋_GB2312" w:hAnsi="仿宋_GB2312" w:eastAsia="仿宋_GB2312" w:cs="仿宋_GB2312"/>
          <w:sz w:val="30"/>
          <w:shd w:val="clear" w:color="auto" w:fill="auto"/>
        </w:rPr>
        <w:br w:type="textWrapping"/>
      </w:r>
      <w:r>
        <w:rPr>
          <w:rFonts w:hint="eastAsia" w:ascii="仿宋_GB2312" w:hAnsi="仿宋_GB2312" w:eastAsia="仿宋_GB2312" w:cs="仿宋_GB2312"/>
          <w:sz w:val="30"/>
          <w:shd w:val="clear" w:color="auto" w:fill="auto"/>
        </w:rPr>
        <w:t xml:space="preserve">        6.卫生健康支出(类)行政事业单位医疗(款)其他行政事业单位医疗支出(项)年初预算为0 元，支出决算为25,900.06 元，决算数大于年初预算数的主要原因是年中预算追加。</w:t>
      </w:r>
    </w:p>
    <w:p>
      <w:pPr>
        <w:keepNext/>
        <w:keepLines/>
        <w:spacing w:line="600" w:lineRule="auto"/>
        <w:ind w:firstLine="602"/>
        <w:jc w:val="left"/>
        <w:outlineLvl w:val="1"/>
        <w:rPr>
          <w:rFonts w:hint="eastAsia" w:ascii="黑体" w:hAnsi="黑体" w:eastAsia="黑体" w:cs="黑体"/>
          <w:b/>
          <w:sz w:val="30"/>
          <w:shd w:val="clear" w:color="auto" w:fill="auto"/>
        </w:rPr>
      </w:pPr>
      <w:r>
        <w:rPr>
          <w:rFonts w:hint="eastAsia" w:ascii="黑体" w:hAnsi="黑体" w:eastAsia="黑体" w:cs="黑体"/>
          <w:b/>
          <w:sz w:val="30"/>
          <w:shd w:val="clear" w:color="auto" w:fill="auto"/>
        </w:rPr>
        <w:t>六、一般公共预算财政拨款基本支出决算情况说明</w:t>
      </w:r>
    </w:p>
    <w:p>
      <w:pPr>
        <w:spacing w:line="360" w:lineRule="auto"/>
        <w:ind w:firstLine="720"/>
        <w:jc w:val="left"/>
        <w:rPr>
          <w:rFonts w:hint="eastAsia" w:ascii="仿宋_GB2312" w:hAnsi="仿宋_GB2312" w:eastAsia="仿宋_GB2312" w:cs="仿宋_GB2312"/>
          <w:sz w:val="30"/>
          <w:shd w:val="clear" w:color="auto" w:fill="auto"/>
        </w:rPr>
      </w:pPr>
      <w:r>
        <w:rPr>
          <w:rFonts w:hint="eastAsia" w:ascii="仿宋_GB2312" w:hAnsi="仿宋_GB2312" w:eastAsia="仿宋_GB2312" w:cs="仿宋_GB2312"/>
          <w:sz w:val="30"/>
          <w:shd w:val="clear" w:color="auto" w:fill="auto"/>
        </w:rPr>
        <w:t>天津市河北区计量检定所2023年度部门决算一般公共预算财政拨款基本支出合计1,460,831.14元，与2022年度相比增加118,856.67元，主要原因是：人员工资薪金的增长及社险缴费基数的调整。其中：</w:t>
      </w:r>
    </w:p>
    <w:p>
      <w:pPr>
        <w:spacing w:line="360" w:lineRule="auto"/>
        <w:ind w:firstLine="720"/>
        <w:jc w:val="left"/>
        <w:rPr>
          <w:rFonts w:hint="eastAsia" w:ascii="仿宋_GB2312" w:hAnsi="仿宋_GB2312" w:eastAsia="仿宋_GB2312" w:cs="仿宋_GB2312"/>
          <w:b/>
          <w:sz w:val="30"/>
          <w:shd w:val="clear" w:color="auto" w:fill="auto"/>
        </w:rPr>
      </w:pPr>
      <w:r>
        <w:rPr>
          <w:rFonts w:hint="eastAsia" w:ascii="仿宋_GB2312" w:hAnsi="仿宋_GB2312" w:eastAsia="仿宋_GB2312" w:cs="仿宋_GB2312"/>
          <w:sz w:val="30"/>
          <w:shd w:val="clear" w:color="auto" w:fill="auto"/>
        </w:rPr>
        <w:t>人员经费1,382,986.34元，主要包括基本工资、津贴补贴、绩效工资、机关事业单位基本养老保险缴费、职业年金缴费、职工基本医疗保险缴费、其他社会保障缴费、住房公积金、其他工资福利支出、退休费、奖励金。</w:t>
      </w:r>
    </w:p>
    <w:p>
      <w:pPr>
        <w:spacing w:line="360" w:lineRule="auto"/>
        <w:ind w:firstLine="720"/>
        <w:jc w:val="left"/>
        <w:rPr>
          <w:rFonts w:hint="eastAsia" w:ascii="仿宋_GB2312" w:hAnsi="仿宋_GB2312" w:eastAsia="仿宋_GB2312" w:cs="仿宋_GB2312"/>
          <w:b/>
          <w:sz w:val="30"/>
          <w:shd w:val="clear" w:color="auto" w:fill="auto"/>
        </w:rPr>
      </w:pPr>
      <w:r>
        <w:rPr>
          <w:rFonts w:hint="eastAsia" w:ascii="仿宋_GB2312" w:hAnsi="仿宋_GB2312" w:eastAsia="仿宋_GB2312" w:cs="仿宋_GB2312"/>
          <w:sz w:val="30"/>
          <w:shd w:val="clear" w:color="auto" w:fill="auto"/>
        </w:rPr>
        <w:t>公用经费77,844.80元，主要包括物业管理费、  维修(护)费、福利费、其他交通费用。</w:t>
      </w:r>
    </w:p>
    <w:p>
      <w:pPr>
        <w:keepNext/>
        <w:keepLines/>
        <w:spacing w:line="600" w:lineRule="auto"/>
        <w:ind w:firstLine="602"/>
        <w:jc w:val="left"/>
        <w:outlineLvl w:val="1"/>
        <w:rPr>
          <w:rFonts w:hint="eastAsia" w:ascii="黑体" w:hAnsi="黑体" w:eastAsia="黑体" w:cs="黑体"/>
          <w:b/>
          <w:sz w:val="30"/>
          <w:shd w:val="clear" w:color="auto" w:fill="auto"/>
        </w:rPr>
      </w:pPr>
      <w:r>
        <w:rPr>
          <w:rFonts w:hint="eastAsia" w:ascii="黑体" w:hAnsi="黑体" w:eastAsia="黑体" w:cs="黑体"/>
          <w:b/>
          <w:sz w:val="30"/>
          <w:shd w:val="clear" w:color="auto" w:fill="auto"/>
        </w:rPr>
        <w:t>七、政府性基金预算财政拨款收支决算情况</w:t>
      </w:r>
    </w:p>
    <w:p>
      <w:pPr>
        <w:spacing w:line="360" w:lineRule="auto"/>
        <w:ind w:firstLine="600"/>
        <w:jc w:val="left"/>
        <w:rPr>
          <w:rFonts w:hint="eastAsia" w:ascii="仿宋_GB2312" w:hAnsi="仿宋_GB2312" w:eastAsia="仿宋_GB2312" w:cs="仿宋_GB2312"/>
          <w:sz w:val="30"/>
          <w:shd w:val="clear" w:color="auto" w:fill="auto"/>
        </w:rPr>
      </w:pPr>
      <w:r>
        <w:rPr>
          <w:rFonts w:hint="eastAsia" w:ascii="仿宋_GB2312" w:hAnsi="仿宋_GB2312" w:eastAsia="仿宋_GB2312" w:cs="仿宋_GB2312"/>
          <w:sz w:val="30"/>
          <w:shd w:val="clear" w:color="auto" w:fill="auto"/>
        </w:rPr>
        <w:t>天津市河北区计量检定所2023年度无政府性基金预算财政拨款收入、支出和结转结余。</w:t>
      </w:r>
      <w:r>
        <w:rPr>
          <w:rFonts w:hint="eastAsia" w:ascii="仿宋_GB2312" w:hAnsi="仿宋_GB2312" w:eastAsia="仿宋_GB2312" w:cs="仿宋_GB2312"/>
          <w:sz w:val="30"/>
          <w:shd w:val="clear" w:color="auto" w:fill="auto"/>
        </w:rPr>
        <w:tab/>
      </w:r>
    </w:p>
    <w:p>
      <w:pPr>
        <w:keepNext/>
        <w:keepLines/>
        <w:spacing w:line="600" w:lineRule="auto"/>
        <w:ind w:firstLine="602"/>
        <w:jc w:val="left"/>
        <w:outlineLvl w:val="1"/>
        <w:rPr>
          <w:rFonts w:hint="eastAsia" w:ascii="黑体" w:hAnsi="黑体" w:eastAsia="黑体" w:cs="黑体"/>
          <w:b/>
          <w:sz w:val="30"/>
          <w:shd w:val="clear" w:color="auto" w:fill="auto"/>
        </w:rPr>
      </w:pPr>
      <w:r>
        <w:rPr>
          <w:rFonts w:hint="eastAsia" w:ascii="黑体" w:hAnsi="黑体" w:eastAsia="黑体" w:cs="黑体"/>
          <w:b/>
          <w:sz w:val="30"/>
          <w:shd w:val="clear" w:color="auto" w:fill="auto"/>
        </w:rPr>
        <w:t>八、国有资本经营预算财政拨款收支决算情况说明</w:t>
      </w:r>
    </w:p>
    <w:p>
      <w:pPr>
        <w:spacing w:line="360" w:lineRule="auto"/>
        <w:ind w:firstLine="600"/>
        <w:jc w:val="left"/>
        <w:rPr>
          <w:rFonts w:hint="eastAsia" w:ascii="仿宋_GB2312" w:hAnsi="仿宋_GB2312" w:eastAsia="仿宋_GB2312" w:cs="仿宋_GB2312"/>
          <w:sz w:val="30"/>
          <w:shd w:val="clear" w:color="auto" w:fill="auto"/>
        </w:rPr>
      </w:pPr>
      <w:r>
        <w:rPr>
          <w:rFonts w:hint="eastAsia" w:ascii="仿宋_GB2312" w:hAnsi="仿宋_GB2312" w:eastAsia="仿宋_GB2312" w:cs="仿宋_GB2312"/>
          <w:sz w:val="30"/>
          <w:shd w:val="clear" w:color="auto" w:fill="auto"/>
        </w:rPr>
        <w:t>天津市河北区计量检定所2023年度无国有资本经营预算财政拨款收入、支出和结转结余。</w:t>
      </w:r>
    </w:p>
    <w:p>
      <w:pPr>
        <w:keepNext/>
        <w:keepLines/>
        <w:spacing w:line="600" w:lineRule="auto"/>
        <w:ind w:firstLine="602"/>
        <w:jc w:val="left"/>
        <w:outlineLvl w:val="1"/>
        <w:rPr>
          <w:rFonts w:hint="eastAsia" w:ascii="黑体" w:hAnsi="黑体" w:eastAsia="黑体" w:cs="黑体"/>
          <w:b/>
          <w:sz w:val="30"/>
          <w:shd w:val="clear" w:color="auto" w:fill="auto"/>
        </w:rPr>
      </w:pPr>
      <w:r>
        <w:rPr>
          <w:rFonts w:hint="eastAsia" w:ascii="黑体" w:hAnsi="黑体" w:eastAsia="黑体" w:cs="黑体"/>
          <w:b/>
          <w:sz w:val="30"/>
          <w:shd w:val="clear" w:color="auto" w:fill="auto"/>
        </w:rPr>
        <w:t>九、财政拨款“三公”经费支出决算情况</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14:ligatures w14:val="standardContextual"/>
        </w:rPr>
      </w:pPr>
      <w:r>
        <w:rPr>
          <w:rFonts w:hint="eastAsia" w:ascii="Times New Roman" w:hAnsi="Times New Roman" w:eastAsia="楷体" w:cs="楷体"/>
          <w:b/>
          <w:bCs/>
          <w:kern w:val="0"/>
          <w:sz w:val="30"/>
          <w:szCs w:val="30"/>
          <w:highlight w:val="none"/>
          <w14:ligatures w14:val="standardContextual"/>
        </w:rPr>
        <w:t>（一）总体情况</w:t>
      </w:r>
      <w:r>
        <w:rPr>
          <w:rFonts w:hint="eastAsia" w:ascii="Times New Roman" w:hAnsi="Times New Roman" w:eastAsia="楷体" w:cs="楷体"/>
          <w:b/>
          <w:bCs/>
          <w:kern w:val="0"/>
          <w:sz w:val="30"/>
          <w:szCs w:val="30"/>
          <w:highlight w:val="none"/>
          <w14:ligatures w14:val="standardContextual"/>
        </w:rPr>
        <w:tab/>
      </w:r>
      <w:r>
        <w:rPr>
          <w:rFonts w:hint="eastAsia" w:ascii="Times New Roman" w:hAnsi="Times New Roman" w:eastAsia="楷体" w:cs="楷体"/>
          <w:b/>
          <w:bCs/>
          <w:kern w:val="0"/>
          <w:sz w:val="30"/>
          <w:szCs w:val="30"/>
          <w:highlight w:val="none"/>
          <w14:ligatures w14:val="standardContextual"/>
        </w:rPr>
        <w:tab/>
      </w:r>
      <w:r>
        <w:rPr>
          <w:rFonts w:hint="eastAsia" w:ascii="Times New Roman" w:hAnsi="Times New Roman" w:eastAsia="楷体" w:cs="楷体"/>
          <w:b/>
          <w:bCs/>
          <w:kern w:val="0"/>
          <w:sz w:val="30"/>
          <w:szCs w:val="30"/>
          <w:highlight w:val="none"/>
          <w14:ligatures w14:val="standardContextual"/>
        </w:rPr>
        <w:tab/>
      </w:r>
      <w:r>
        <w:rPr>
          <w:rFonts w:hint="eastAsia" w:ascii="Times New Roman" w:hAnsi="Times New Roman" w:eastAsia="楷体" w:cs="楷体"/>
          <w:b/>
          <w:bCs/>
          <w:kern w:val="0"/>
          <w:sz w:val="30"/>
          <w:szCs w:val="30"/>
          <w:highlight w:val="none"/>
          <w14:ligatures w14:val="standardContextual"/>
        </w:rPr>
        <w:tab/>
      </w:r>
    </w:p>
    <w:p>
      <w:pPr>
        <w:spacing w:line="360" w:lineRule="auto"/>
        <w:ind w:firstLine="600"/>
        <w:jc w:val="left"/>
        <w:rPr>
          <w:rFonts w:hint="eastAsia" w:ascii="仿宋_GB2312" w:hAnsi="仿宋_GB2312" w:eastAsia="仿宋_GB2312" w:cs="仿宋_GB2312"/>
          <w:sz w:val="30"/>
          <w:shd w:val="clear" w:color="auto" w:fill="auto"/>
        </w:rPr>
      </w:pPr>
      <w:r>
        <w:rPr>
          <w:rFonts w:hint="eastAsia" w:ascii="仿宋_GB2312" w:hAnsi="仿宋_GB2312" w:eastAsia="仿宋_GB2312" w:cs="仿宋_GB2312"/>
          <w:sz w:val="30"/>
          <w:shd w:val="clear" w:color="auto" w:fill="auto"/>
        </w:rPr>
        <w:t>2023年财政拨款“三公”经费预算0.00元，支出决算0.00元（去年同期0.00元），支出决算与2023年预算相比持平；支出决算较上年持平。因本年及去年同期均未使用财政拨款列支“三公”经费，故本年支出决算与本年预算、上年支出决算均持平为0。</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14:ligatures w14:val="standardContextual"/>
        </w:rPr>
      </w:pPr>
      <w:r>
        <w:rPr>
          <w:rFonts w:hint="eastAsia" w:ascii="Times New Roman" w:hAnsi="Times New Roman" w:eastAsia="楷体" w:cs="楷体"/>
          <w:b/>
          <w:bCs/>
          <w:kern w:val="0"/>
          <w:sz w:val="30"/>
          <w:szCs w:val="30"/>
          <w:highlight w:val="none"/>
          <w14:ligatures w14:val="standardContextual"/>
        </w:rPr>
        <w:t>（二）具体情况</w:t>
      </w:r>
    </w:p>
    <w:p>
      <w:pPr>
        <w:spacing w:line="360" w:lineRule="auto"/>
        <w:ind w:firstLine="600"/>
        <w:jc w:val="left"/>
        <w:rPr>
          <w:rFonts w:hint="eastAsia" w:ascii="仿宋_GB2312" w:hAnsi="仿宋_GB2312" w:eastAsia="仿宋_GB2312" w:cs="仿宋_GB2312"/>
          <w:sz w:val="30"/>
          <w:shd w:val="clear" w:color="auto" w:fill="auto"/>
        </w:rPr>
      </w:pPr>
      <w:r>
        <w:rPr>
          <w:rFonts w:hint="eastAsia" w:ascii="仿宋_GB2312" w:hAnsi="仿宋_GB2312" w:eastAsia="仿宋_GB2312" w:cs="仿宋_GB2312"/>
          <w:sz w:val="30"/>
          <w:shd w:val="clear" w:color="auto" w:fill="auto"/>
        </w:rPr>
        <w:t>1.因公出国（境）费预算0.00元，支出决算0.00元（去年同期0.00元），支出决算与2023年预算相比持平；支出决算较上年持平。因本年及去年同期均未使用财政拨款列支因公出国（境）费，故本年支出决算与本年预算、上年支出决算均持平为0。</w:t>
      </w:r>
    </w:p>
    <w:p>
      <w:pPr>
        <w:spacing w:line="360" w:lineRule="auto"/>
        <w:ind w:firstLine="600"/>
        <w:jc w:val="left"/>
        <w:rPr>
          <w:rFonts w:hint="eastAsia" w:ascii="仿宋_GB2312" w:hAnsi="仿宋_GB2312" w:eastAsia="仿宋_GB2312" w:cs="仿宋_GB2312"/>
          <w:sz w:val="30"/>
          <w:shd w:val="clear" w:color="auto" w:fill="auto"/>
        </w:rPr>
      </w:pPr>
      <w:r>
        <w:rPr>
          <w:rFonts w:hint="eastAsia" w:ascii="仿宋_GB2312" w:hAnsi="仿宋_GB2312" w:eastAsia="仿宋_GB2312" w:cs="仿宋_GB2312"/>
          <w:sz w:val="30"/>
          <w:shd w:val="clear" w:color="auto" w:fill="auto"/>
        </w:rPr>
        <w:t>2023年本单位组织的出国团组0个，出国0人次。</w:t>
      </w:r>
    </w:p>
    <w:p>
      <w:pPr>
        <w:spacing w:line="360" w:lineRule="auto"/>
        <w:ind w:firstLine="645"/>
        <w:jc w:val="left"/>
        <w:rPr>
          <w:rFonts w:hint="eastAsia" w:ascii="仿宋_GB2312" w:hAnsi="仿宋_GB2312" w:eastAsia="仿宋_GB2312" w:cs="仿宋_GB2312"/>
          <w:sz w:val="30"/>
          <w:shd w:val="clear" w:color="auto" w:fill="auto"/>
        </w:rPr>
      </w:pPr>
      <w:r>
        <w:rPr>
          <w:rFonts w:hint="eastAsia" w:ascii="仿宋_GB2312" w:hAnsi="仿宋_GB2312" w:eastAsia="仿宋_GB2312" w:cs="仿宋_GB2312"/>
          <w:sz w:val="30"/>
          <w:shd w:val="clear" w:color="auto" w:fill="auto"/>
        </w:rPr>
        <w:t>2.公务用车购置及运行维护费预算0.00元，支出决算0.00元（去年同期0.00元），支出决算与2023年预算相比持平；支出决算较上年持平。因本年及去年同期均未使用财政拨款列支公务用车购置及运行维护费，故本年支出决算与本年预算、上年支出决算均持平为0。其中：</w:t>
      </w:r>
      <w:r>
        <w:rPr>
          <w:rFonts w:hint="eastAsia" w:ascii="仿宋_GB2312" w:hAnsi="仿宋_GB2312" w:eastAsia="仿宋_GB2312" w:cs="仿宋_GB2312"/>
          <w:sz w:val="30"/>
          <w:shd w:val="clear" w:color="auto" w:fill="auto"/>
        </w:rPr>
        <w:br w:type="textWrapping"/>
      </w:r>
      <w:r>
        <w:rPr>
          <w:rFonts w:hint="eastAsia" w:ascii="仿宋_GB2312" w:hAnsi="仿宋_GB2312" w:eastAsia="仿宋_GB2312" w:cs="仿宋_GB2312"/>
          <w:sz w:val="30"/>
          <w:shd w:val="clear" w:color="auto" w:fill="auto"/>
        </w:rPr>
        <w:t>　　公务用车运行维护费预算0.00元，支出决算0.00元（去年同期0.00元），支出决算与2023年预算相比持平；支出决算较上年持平。因本年及去年同期均未使用财政拨款列支公务用车运行维护费，故本年支出决算与本年预算、上年支出决算均持平为0。</w:t>
      </w:r>
    </w:p>
    <w:p>
      <w:pPr>
        <w:spacing w:line="360" w:lineRule="auto"/>
        <w:ind w:firstLine="645"/>
        <w:jc w:val="left"/>
        <w:rPr>
          <w:rFonts w:hint="eastAsia" w:ascii="仿宋_GB2312" w:hAnsi="仿宋_GB2312" w:eastAsia="仿宋_GB2312" w:cs="仿宋_GB2312"/>
          <w:sz w:val="30"/>
          <w:shd w:val="clear" w:color="auto" w:fill="auto"/>
        </w:rPr>
      </w:pPr>
      <w:r>
        <w:rPr>
          <w:rFonts w:hint="eastAsia" w:ascii="仿宋_GB2312" w:hAnsi="仿宋_GB2312" w:eastAsia="仿宋_GB2312" w:cs="仿宋_GB2312"/>
          <w:sz w:val="30"/>
          <w:shd w:val="clear" w:color="auto" w:fill="auto"/>
        </w:rPr>
        <w:t>截至2023年12月31日，使用财政拨款开支运行维护费的公务用车保有量为0辆。</w:t>
      </w:r>
      <w:r>
        <w:rPr>
          <w:rFonts w:hint="eastAsia" w:ascii="仿宋_GB2312" w:hAnsi="仿宋_GB2312" w:eastAsia="仿宋_GB2312" w:cs="仿宋_GB2312"/>
          <w:sz w:val="30"/>
          <w:shd w:val="clear" w:color="auto" w:fill="auto"/>
        </w:rPr>
        <w:br w:type="textWrapping"/>
      </w:r>
      <w:r>
        <w:rPr>
          <w:rFonts w:hint="eastAsia" w:ascii="宋体" w:hAnsi="宋体" w:eastAsia="宋体" w:cs="宋体"/>
          <w:sz w:val="30"/>
          <w:shd w:val="clear" w:color="auto" w:fill="auto"/>
        </w:rPr>
        <w:t>　　</w:t>
      </w:r>
      <w:r>
        <w:rPr>
          <w:rFonts w:hint="eastAsia" w:ascii="仿宋_GB2312" w:hAnsi="仿宋_GB2312" w:eastAsia="仿宋_GB2312" w:cs="仿宋_GB2312"/>
          <w:sz w:val="30"/>
          <w:shd w:val="clear" w:color="auto" w:fill="auto"/>
        </w:rPr>
        <w:t>公务用车购置费预算0.00元，支出决算0.00元（去年同期0.00元），支出决算与2023年预算相比持平；支出决算较上年持平。因本年及去年同期均未使用财政拨款列支公务用车购置费，故本年支出决算与本年预算、上年支出决算均持平为0。</w:t>
      </w:r>
    </w:p>
    <w:p>
      <w:pPr>
        <w:spacing w:line="360" w:lineRule="auto"/>
        <w:ind w:firstLine="645"/>
        <w:jc w:val="left"/>
        <w:rPr>
          <w:rFonts w:hint="eastAsia" w:ascii="仿宋_GB2312" w:hAnsi="仿宋_GB2312" w:eastAsia="仿宋_GB2312" w:cs="仿宋_GB2312"/>
          <w:sz w:val="30"/>
          <w:shd w:val="clear" w:color="auto" w:fill="auto"/>
        </w:rPr>
      </w:pPr>
      <w:r>
        <w:rPr>
          <w:rFonts w:hint="eastAsia" w:ascii="仿宋_GB2312" w:hAnsi="仿宋_GB2312" w:eastAsia="仿宋_GB2312" w:cs="仿宋_GB2312"/>
          <w:sz w:val="30"/>
          <w:shd w:val="clear" w:color="auto" w:fill="auto"/>
        </w:rPr>
        <w:t>2023年购置公务用车0辆。</w:t>
      </w:r>
    </w:p>
    <w:p>
      <w:pPr>
        <w:spacing w:line="360" w:lineRule="auto"/>
        <w:ind w:firstLine="645"/>
        <w:jc w:val="left"/>
        <w:rPr>
          <w:rFonts w:hint="eastAsia" w:ascii="仿宋_GB2312" w:hAnsi="仿宋_GB2312" w:eastAsia="仿宋_GB2312" w:cs="仿宋_GB2312"/>
          <w:sz w:val="30"/>
          <w:shd w:val="clear" w:color="auto" w:fill="auto"/>
        </w:rPr>
      </w:pPr>
      <w:r>
        <w:rPr>
          <w:rFonts w:hint="eastAsia" w:ascii="仿宋_GB2312" w:hAnsi="仿宋_GB2312" w:eastAsia="仿宋_GB2312" w:cs="仿宋_GB2312"/>
          <w:sz w:val="30"/>
          <w:shd w:val="clear" w:color="auto" w:fill="auto"/>
        </w:rPr>
        <w:t>3.公务接待费预算0.00元，支出决算0.00元（去年同期0.00元），支出决算与2023年预算相比持平；支出决算较上年持平。因本年及去年同期均未使用财政拨款列支公务接待费，故本年支出决算与本年预算、上年支出决算均持平为0。</w:t>
      </w:r>
    </w:p>
    <w:p>
      <w:pPr>
        <w:spacing w:line="360" w:lineRule="auto"/>
        <w:ind w:firstLine="645"/>
        <w:jc w:val="left"/>
        <w:rPr>
          <w:rFonts w:hint="eastAsia" w:ascii="仿宋_GB2312" w:hAnsi="仿宋_GB2312" w:eastAsia="仿宋_GB2312" w:cs="仿宋_GB2312"/>
          <w:sz w:val="30"/>
          <w:shd w:val="clear" w:color="auto" w:fill="auto"/>
        </w:rPr>
      </w:pPr>
      <w:r>
        <w:rPr>
          <w:rFonts w:hint="eastAsia" w:ascii="仿宋_GB2312" w:hAnsi="仿宋_GB2312" w:eastAsia="仿宋_GB2312" w:cs="仿宋_GB2312"/>
          <w:sz w:val="30"/>
          <w:shd w:val="clear" w:color="auto" w:fill="auto"/>
        </w:rPr>
        <w:t>2023年本单位国内公务接待0批次，0人次；其中，外事接待0批次，0人次。</w:t>
      </w:r>
    </w:p>
    <w:p>
      <w:pPr>
        <w:keepNext/>
        <w:keepLines/>
        <w:spacing w:line="600" w:lineRule="auto"/>
        <w:ind w:firstLine="602"/>
        <w:jc w:val="left"/>
        <w:outlineLvl w:val="1"/>
        <w:rPr>
          <w:rFonts w:hint="eastAsia" w:ascii="黑体" w:hAnsi="黑体" w:eastAsia="黑体" w:cs="黑体"/>
          <w:b/>
          <w:sz w:val="30"/>
          <w:shd w:val="clear" w:color="auto" w:fill="auto"/>
        </w:rPr>
      </w:pPr>
      <w:r>
        <w:rPr>
          <w:rFonts w:hint="eastAsia" w:ascii="黑体" w:hAnsi="黑体" w:eastAsia="黑体" w:cs="黑体"/>
          <w:b/>
          <w:sz w:val="30"/>
          <w:shd w:val="clear" w:color="auto" w:fill="auto"/>
        </w:rPr>
        <w:t>十、机关运行经费支出情况说明</w:t>
      </w:r>
    </w:p>
    <w:p>
      <w:pPr>
        <w:spacing w:line="360" w:lineRule="auto"/>
        <w:ind w:firstLine="600"/>
        <w:jc w:val="left"/>
        <w:rPr>
          <w:rFonts w:hint="eastAsia" w:ascii="仿宋_GB2312" w:hAnsi="仿宋_GB2312" w:eastAsia="仿宋_GB2312" w:cs="仿宋_GB2312"/>
          <w:sz w:val="30"/>
          <w:shd w:val="clear" w:color="auto" w:fill="auto"/>
        </w:rPr>
      </w:pPr>
      <w:r>
        <w:rPr>
          <w:rFonts w:hint="eastAsia" w:ascii="仿宋_GB2312" w:hAnsi="仿宋_GB2312" w:eastAsia="仿宋_GB2312" w:cs="仿宋_GB2312"/>
          <w:sz w:val="30"/>
          <w:shd w:val="clear" w:color="auto" w:fill="auto"/>
        </w:rPr>
        <w:t>天津市河北区计量检定所2023年度无机关运行经费。</w:t>
      </w:r>
    </w:p>
    <w:p>
      <w:pPr>
        <w:keepNext/>
        <w:keepLines/>
        <w:spacing w:line="600" w:lineRule="auto"/>
        <w:ind w:firstLine="602"/>
        <w:jc w:val="left"/>
        <w:outlineLvl w:val="1"/>
        <w:rPr>
          <w:rFonts w:hint="eastAsia" w:ascii="黑体" w:hAnsi="黑体" w:eastAsia="黑体" w:cs="黑体"/>
          <w:b/>
          <w:sz w:val="30"/>
          <w:shd w:val="clear" w:color="auto" w:fill="auto"/>
        </w:rPr>
      </w:pPr>
      <w:r>
        <w:rPr>
          <w:rFonts w:hint="eastAsia" w:ascii="黑体" w:hAnsi="黑体" w:eastAsia="黑体" w:cs="黑体"/>
          <w:b/>
          <w:sz w:val="30"/>
          <w:shd w:val="clear" w:color="auto" w:fill="auto"/>
        </w:rPr>
        <w:t>十一、政府采购支出情况说明</w:t>
      </w:r>
    </w:p>
    <w:p>
      <w:pPr>
        <w:spacing w:line="360" w:lineRule="auto"/>
        <w:ind w:firstLine="600"/>
        <w:jc w:val="left"/>
        <w:rPr>
          <w:rFonts w:hint="eastAsia" w:ascii="仿宋_GB2312" w:hAnsi="仿宋_GB2312" w:eastAsia="仿宋_GB2312" w:cs="仿宋_GB2312"/>
          <w:sz w:val="30"/>
          <w:shd w:val="clear" w:color="auto" w:fill="auto"/>
        </w:rPr>
      </w:pPr>
      <w:r>
        <w:rPr>
          <w:rFonts w:hint="eastAsia" w:ascii="仿宋_GB2312" w:hAnsi="仿宋_GB2312" w:eastAsia="仿宋_GB2312" w:cs="仿宋_GB2312"/>
          <w:sz w:val="30"/>
          <w:shd w:val="clear" w:color="auto" w:fill="auto"/>
        </w:rPr>
        <w:t>天津市河北区计量检定所2023年度无政府采购支出。</w:t>
      </w:r>
    </w:p>
    <w:p>
      <w:pPr>
        <w:keepNext/>
        <w:keepLines/>
        <w:spacing w:line="600" w:lineRule="auto"/>
        <w:ind w:firstLine="602"/>
        <w:jc w:val="left"/>
        <w:outlineLvl w:val="1"/>
        <w:rPr>
          <w:rFonts w:hint="eastAsia" w:ascii="黑体" w:hAnsi="黑体" w:eastAsia="黑体" w:cs="黑体"/>
          <w:b/>
          <w:sz w:val="30"/>
          <w:shd w:val="clear" w:color="auto" w:fill="auto"/>
        </w:rPr>
      </w:pPr>
      <w:r>
        <w:rPr>
          <w:rFonts w:hint="eastAsia" w:ascii="黑体" w:hAnsi="黑体" w:eastAsia="黑体" w:cs="黑体"/>
          <w:b/>
          <w:sz w:val="30"/>
          <w:shd w:val="clear" w:color="auto" w:fill="auto"/>
        </w:rPr>
        <w:t>十二、国有资产占有使用情况说明</w:t>
      </w:r>
    </w:p>
    <w:p>
      <w:pPr>
        <w:spacing w:line="360" w:lineRule="auto"/>
        <w:ind w:firstLine="600"/>
        <w:jc w:val="left"/>
        <w:rPr>
          <w:rFonts w:hint="eastAsia" w:ascii="仿宋_GB2312" w:hAnsi="仿宋_GB2312" w:eastAsia="仿宋_GB2312" w:cs="仿宋_GB2312"/>
          <w:sz w:val="30"/>
          <w:shd w:val="clear" w:color="auto" w:fill="auto"/>
        </w:rPr>
      </w:pPr>
      <w:r>
        <w:rPr>
          <w:rFonts w:hint="eastAsia" w:ascii="仿宋_GB2312" w:hAnsi="仿宋_GB2312" w:eastAsia="仿宋_GB2312" w:cs="仿宋_GB2312"/>
          <w:sz w:val="30"/>
          <w:shd w:val="clear" w:color="auto" w:fill="auto"/>
        </w:rPr>
        <w:t>天津市河北区计量检定所2023年度无国有资产占有使用情况。</w:t>
      </w:r>
    </w:p>
    <w:p>
      <w:pPr>
        <w:keepNext/>
        <w:keepLines/>
        <w:spacing w:line="600" w:lineRule="auto"/>
        <w:ind w:firstLine="602"/>
        <w:jc w:val="left"/>
        <w:outlineLvl w:val="1"/>
        <w:rPr>
          <w:rFonts w:hint="eastAsia" w:ascii="黑体" w:hAnsi="黑体" w:eastAsia="黑体" w:cs="黑体"/>
          <w:b/>
          <w:sz w:val="30"/>
          <w:shd w:val="clear" w:color="auto" w:fill="auto"/>
        </w:rPr>
      </w:pPr>
      <w:r>
        <w:rPr>
          <w:rFonts w:hint="eastAsia" w:ascii="黑体" w:hAnsi="黑体" w:eastAsia="黑体" w:cs="黑体"/>
          <w:b/>
          <w:sz w:val="30"/>
          <w:shd w:val="clear" w:color="auto" w:fill="auto"/>
        </w:rPr>
        <w:t>十三、预算绩效情况说明</w:t>
      </w:r>
    </w:p>
    <w:p>
      <w:pPr>
        <w:spacing w:line="360" w:lineRule="auto"/>
        <w:ind w:firstLine="600"/>
        <w:jc w:val="left"/>
        <w:rPr>
          <w:rFonts w:hint="eastAsia" w:ascii="仿宋_GB2312" w:hAnsi="仿宋_GB2312" w:eastAsia="仿宋_GB2312" w:cs="仿宋_GB2312"/>
          <w:sz w:val="30"/>
          <w:shd w:val="clear" w:color="auto" w:fill="auto"/>
        </w:rPr>
      </w:pPr>
      <w:r>
        <w:rPr>
          <w:rFonts w:hint="eastAsia" w:ascii="仿宋_GB2312" w:hAnsi="仿宋_GB2312" w:eastAsia="仿宋_GB2312" w:cs="仿宋_GB2312"/>
          <w:sz w:val="30"/>
          <w:shd w:val="clear" w:color="auto" w:fill="auto"/>
        </w:rPr>
        <w:t>天津市河北区计量检定所2023年度没有项目支出，无需开展绩效自评。</w:t>
      </w:r>
    </w:p>
    <w:p>
      <w:pPr>
        <w:keepNext/>
        <w:keepLines/>
        <w:spacing w:line="600" w:lineRule="auto"/>
        <w:ind w:firstLine="602"/>
        <w:jc w:val="left"/>
        <w:outlineLvl w:val="1"/>
        <w:rPr>
          <w:rFonts w:hint="eastAsia" w:ascii="黑体" w:hAnsi="黑体" w:eastAsia="黑体" w:cs="黑体"/>
          <w:b/>
          <w:sz w:val="30"/>
          <w:shd w:val="clear" w:color="auto" w:fill="auto"/>
        </w:rPr>
      </w:pPr>
      <w:r>
        <w:rPr>
          <w:rFonts w:hint="eastAsia" w:ascii="黑体" w:hAnsi="黑体" w:eastAsia="黑体" w:cs="黑体"/>
          <w:b/>
          <w:sz w:val="30"/>
          <w:shd w:val="clear" w:color="auto" w:fill="auto"/>
        </w:rPr>
        <w:t>十四、教育、医疗卫生、社会保障和就业、住房保障、涉农补贴等民生支出情况说明</w:t>
      </w:r>
    </w:p>
    <w:p>
      <w:pPr>
        <w:spacing w:line="360" w:lineRule="auto"/>
        <w:ind w:firstLine="600"/>
        <w:jc w:val="left"/>
        <w:rPr>
          <w:rFonts w:hint="eastAsia" w:ascii="仿宋_GB2312" w:hAnsi="仿宋_GB2312" w:eastAsia="仿宋_GB2312" w:cs="仿宋_GB2312"/>
          <w:sz w:val="30"/>
          <w:shd w:val="clear" w:color="auto" w:fill="auto"/>
        </w:rPr>
      </w:pPr>
      <w:r>
        <w:rPr>
          <w:rFonts w:hint="eastAsia" w:ascii="仿宋_GB2312" w:hAnsi="仿宋_GB2312" w:eastAsia="仿宋_GB2312" w:cs="仿宋_GB2312"/>
          <w:sz w:val="30"/>
          <w:shd w:val="clear" w:color="auto" w:fill="auto"/>
        </w:rPr>
        <w:t>天津市河北区计量检定所不属于乡、镇、街级单位，不涉及公开 2023 年度教育、医疗卫生社会保障和就业、住房保障、涉农补贴等民生支出情况。</w:t>
      </w:r>
    </w:p>
    <w:p>
      <w:pPr>
        <w:spacing w:line="600" w:lineRule="auto"/>
        <w:ind w:firstLine="600"/>
        <w:jc w:val="left"/>
        <w:rPr>
          <w:rFonts w:ascii="Times New Roman" w:hAnsi="Times New Roman" w:eastAsia="Times New Roman" w:cs="Times New Roman"/>
          <w:b/>
          <w:color w:val="000000"/>
          <w:sz w:val="30"/>
          <w:shd w:val="clear" w:color="auto" w:fill="auto"/>
        </w:rPr>
      </w:pPr>
      <w:r>
        <w:rPr>
          <w:rFonts w:ascii="Times New Roman" w:hAnsi="Times New Roman" w:eastAsia="Times New Roman" w:cs="Times New Roman"/>
          <w:b/>
          <w:color w:val="000000"/>
          <w:sz w:val="30"/>
          <w:shd w:val="clear" w:color="auto" w:fill="auto"/>
        </w:rPr>
        <w:t xml:space="preserve"> </w:t>
      </w:r>
    </w:p>
    <w:p>
      <w:pPr>
        <w:widowControl/>
        <w:jc w:val="left"/>
        <w:rPr>
          <w:rFonts w:ascii="Times New Roman" w:hAnsi="Times New Roman" w:eastAsia="Times New Roman" w:cs="Times New Roman"/>
          <w:b/>
          <w:color w:val="000000"/>
          <w:sz w:val="30"/>
          <w:shd w:val="clear" w:color="auto" w:fill="auto"/>
        </w:rPr>
      </w:pPr>
      <w:r>
        <w:rPr>
          <w:rFonts w:ascii="Times New Roman" w:hAnsi="Times New Roman" w:eastAsia="Times New Roman" w:cs="Times New Roman"/>
          <w:b/>
          <w:color w:val="000000"/>
          <w:sz w:val="30"/>
          <w:shd w:val="clear" w:color="auto" w:fill="auto"/>
        </w:rPr>
        <w:br w:type="page"/>
      </w:r>
    </w:p>
    <w:p>
      <w:pPr>
        <w:spacing w:line="600" w:lineRule="auto"/>
        <w:ind w:firstLine="600"/>
        <w:jc w:val="center"/>
        <w:outlineLvl w:val="0"/>
        <w:rPr>
          <w:rFonts w:ascii="Times New Roman" w:hAnsi="Times New Roman" w:eastAsia="Times New Roman" w:cs="Times New Roman"/>
          <w:sz w:val="44"/>
          <w:shd w:val="clear" w:color="auto" w:fill="auto"/>
        </w:rPr>
      </w:pPr>
      <w:bookmarkStart w:id="0" w:name="_GoBack"/>
      <w:r>
        <w:rPr>
          <w:rFonts w:ascii="宋体" w:hAnsi="宋体" w:eastAsia="宋体" w:cs="宋体"/>
          <w:sz w:val="44"/>
          <w:shd w:val="clear" w:color="auto" w:fill="auto"/>
        </w:rPr>
        <w:t>第四部分</w:t>
      </w:r>
      <w:r>
        <w:rPr>
          <w:rFonts w:hint="eastAsia" w:ascii="宋体" w:hAnsi="宋体" w:eastAsia="宋体" w:cs="宋体"/>
          <w:sz w:val="44"/>
          <w:shd w:val="clear" w:color="auto" w:fill="auto"/>
          <w:lang w:val="en-US" w:eastAsia="zh-CN"/>
        </w:rPr>
        <w:t xml:space="preserve">  </w:t>
      </w:r>
      <w:r>
        <w:rPr>
          <w:rFonts w:ascii="宋体" w:hAnsi="宋体" w:eastAsia="宋体" w:cs="宋体"/>
          <w:sz w:val="44"/>
          <w:shd w:val="clear" w:color="auto" w:fill="auto"/>
        </w:rPr>
        <w:t>名词解释</w:t>
      </w:r>
    </w:p>
    <w:bookmarkEnd w:id="0"/>
    <w:p>
      <w:pPr>
        <w:spacing w:line="360" w:lineRule="auto"/>
        <w:ind w:firstLine="600"/>
        <w:jc w:val="left"/>
        <w:rPr>
          <w:rFonts w:hint="eastAsia" w:ascii="仿宋_GB2312" w:hAnsi="仿宋_GB2312" w:eastAsia="仿宋_GB2312" w:cs="仿宋_GB2312"/>
          <w:sz w:val="30"/>
          <w:szCs w:val="30"/>
          <w:shd w:val="clear" w:color="auto" w:fill="auto"/>
        </w:rPr>
      </w:pPr>
      <w:r>
        <w:rPr>
          <w:rFonts w:hint="eastAsia" w:ascii="仿宋_GB2312" w:hAnsi="仿宋_GB2312" w:eastAsia="仿宋_GB2312" w:cs="仿宋_GB2312"/>
          <w:sz w:val="30"/>
          <w:szCs w:val="30"/>
          <w:shd w:val="clear" w:color="auto" w:fill="auto"/>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360" w:lineRule="auto"/>
        <w:ind w:firstLine="600"/>
        <w:jc w:val="left"/>
        <w:rPr>
          <w:rFonts w:hint="eastAsia" w:ascii="仿宋_GB2312" w:hAnsi="仿宋_GB2312" w:eastAsia="仿宋_GB2312" w:cs="仿宋_GB2312"/>
          <w:sz w:val="30"/>
          <w:szCs w:val="30"/>
          <w:shd w:val="clear" w:color="auto" w:fill="auto"/>
        </w:rPr>
      </w:pPr>
      <w:r>
        <w:rPr>
          <w:rFonts w:hint="eastAsia" w:ascii="仿宋_GB2312" w:hAnsi="仿宋_GB2312" w:eastAsia="仿宋_GB2312" w:cs="仿宋_GB2312"/>
          <w:sz w:val="30"/>
          <w:szCs w:val="30"/>
          <w:shd w:val="clear" w:color="auto" w:fill="auto"/>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360" w:lineRule="auto"/>
        <w:ind w:firstLine="600"/>
        <w:jc w:val="left"/>
        <w:rPr>
          <w:rFonts w:hint="eastAsia" w:ascii="仿宋_GB2312" w:hAnsi="仿宋_GB2312" w:eastAsia="仿宋_GB2312" w:cs="仿宋_GB2312"/>
          <w:sz w:val="30"/>
          <w:szCs w:val="30"/>
          <w:shd w:val="clear" w:color="auto" w:fill="auto"/>
        </w:rPr>
      </w:pPr>
      <w:r>
        <w:rPr>
          <w:rFonts w:hint="eastAsia" w:ascii="仿宋_GB2312" w:hAnsi="仿宋_GB2312" w:eastAsia="仿宋_GB2312" w:cs="仿宋_GB2312"/>
          <w:sz w:val="30"/>
          <w:szCs w:val="30"/>
          <w:shd w:val="clear" w:color="auto" w:fill="auto"/>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2"/>
  </w:compat>
  <w:docVars>
    <w:docVar w:name="commondata" w:val="eyJoZGlkIjoiNzYyMmRjNjlhZmI3NWFiZTMwMjViN2NhNjNiNzBjMzQifQ=="/>
  </w:docVars>
  <w:rsids>
    <w:rsidRoot w:val="00151CA0"/>
    <w:rsid w:val="00151CA0"/>
    <w:rsid w:val="00611D30"/>
    <w:rsid w:val="007B39B4"/>
    <w:rsid w:val="00C77EFF"/>
    <w:rsid w:val="16B24F47"/>
    <w:rsid w:val="57A32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4115</Words>
  <Characters>4791</Characters>
  <Lines>36</Lines>
  <Paragraphs>10</Paragraphs>
  <TotalTime>4</TotalTime>
  <ScaleCrop>false</ScaleCrop>
  <LinksUpToDate>false</LinksUpToDate>
  <CharactersWithSpaces>4909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2024-08-20T08:52:00Z</dcterms:created>
  <dc:creator>73625</dc:creator>
  <cp:lastModifiedBy>☀ Jun</cp:lastModifiedBy>
  <dcterms:modified xsi:type="dcterms:W3CDTF">2024-09-04T03:34:25Z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7C002F0EBCB74987A3B0AC2E5827C1D6_12</vt:lpwstr>
  </property>
</Properties>
</file>