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1.0 -->
  <w:background w:color="ffffff">
    <v:background id="_x0000_s1025" filled="t"/>
  </w:background>
  <w:body>
    <w:p w:rsidR="0078279A" w14:paraId="7201F2A7" w14:textId="77777777">
      <w:pPr>
        <w:spacing w:line="580" w:lineRule="exact"/>
        <w:jc w:val="center"/>
        <w:rPr>
          <w:rFonts w:eastAsia="黑体"/>
          <w:w w:val="95"/>
          <w:sz w:val="44"/>
          <w:szCs w:val="44"/>
        </w:rPr>
      </w:pPr>
    </w:p>
    <w:p w:rsidR="0078279A" w14:paraId="4FC6E960" w14:textId="77777777">
      <w:pPr>
        <w:spacing w:line="580" w:lineRule="exact"/>
        <w:jc w:val="center"/>
        <w:rPr>
          <w:rFonts w:eastAsia="黑体"/>
          <w:w w:val="95"/>
          <w:sz w:val="44"/>
          <w:szCs w:val="44"/>
        </w:rPr>
      </w:pPr>
    </w:p>
    <w:p w:rsidR="0078279A" w14:paraId="1CF3F9B2" w14:textId="77777777">
      <w:pPr>
        <w:spacing w:line="580" w:lineRule="exact"/>
        <w:jc w:val="center"/>
        <w:rPr>
          <w:rFonts w:eastAsia="黑体"/>
          <w:w w:val="95"/>
          <w:sz w:val="44"/>
          <w:szCs w:val="44"/>
        </w:rPr>
      </w:pPr>
    </w:p>
    <w:p w:rsidR="0078279A" w14:paraId="56BED1C4" w14:textId="77777777">
      <w:pPr>
        <w:spacing w:line="580" w:lineRule="exact"/>
        <w:jc w:val="center"/>
        <w:rPr>
          <w:rFonts w:eastAsia="黑体"/>
          <w:w w:val="95"/>
          <w:sz w:val="44"/>
          <w:szCs w:val="44"/>
        </w:rPr>
      </w:pPr>
    </w:p>
    <w:p w:rsidR="0078279A" w14:paraId="71823D91" w14:textId="77777777">
      <w:pPr>
        <w:spacing w:line="580" w:lineRule="exact"/>
        <w:jc w:val="center"/>
        <w:rPr>
          <w:rFonts w:eastAsia="黑体"/>
          <w:w w:val="95"/>
          <w:sz w:val="44"/>
          <w:szCs w:val="44"/>
        </w:rPr>
      </w:pPr>
    </w:p>
    <w:p w:rsidR="0078279A" w14:paraId="2C80DD10" w14:textId="77777777">
      <w:pPr>
        <w:spacing w:line="580" w:lineRule="exact"/>
        <w:jc w:val="center"/>
        <w:rPr>
          <w:rFonts w:eastAsia="黑体"/>
          <w:w w:val="95"/>
          <w:sz w:val="44"/>
          <w:szCs w:val="44"/>
        </w:rPr>
      </w:pPr>
    </w:p>
    <w:p w:rsidR="0078279A" w14:paraId="66AD6C2D" w14:textId="77777777">
      <w:pPr>
        <w:spacing w:line="580" w:lineRule="exact"/>
        <w:jc w:val="center"/>
        <w:rPr>
          <w:rFonts w:eastAsia="黑体"/>
          <w:w w:val="95"/>
          <w:sz w:val="44"/>
          <w:szCs w:val="44"/>
        </w:rPr>
      </w:pPr>
    </w:p>
    <w:p w:rsidR="0078279A" w14:paraId="261BF17C" w14:textId="77777777">
      <w:pPr>
        <w:spacing w:line="580" w:lineRule="exact"/>
        <w:jc w:val="center"/>
        <w:rPr>
          <w:rFonts w:eastAsia="黑体"/>
          <w:w w:val="95"/>
          <w:sz w:val="44"/>
          <w:szCs w:val="44"/>
        </w:rPr>
      </w:pPr>
    </w:p>
    <w:p w:rsidR="0078279A" w14:paraId="190BF48C" w14:textId="77777777">
      <w:pPr>
        <w:spacing w:line="240" w:lineRule="auto"/>
        <w:jc w:val="center"/>
        <w:rPr>
          <w:rFonts w:eastAsia="方正小标宋简体" w:cs="方正小标宋简体"/>
          <w:sz w:val="48"/>
          <w:szCs w:val="48"/>
        </w:rPr>
      </w:pPr>
      <w:r>
        <w:rPr>
          <w:rFonts w:eastAsia="方正小标宋简体" w:cs="方正小标宋简体" w:hint="eastAsia"/>
          <w:sz w:val="48"/>
          <w:szCs w:val="48"/>
        </w:rPr>
        <w:t>天津市河北区计量检定所</w:t>
      </w:r>
    </w:p>
    <w:p w:rsidR="0078279A" w14:paraId="7AB151CF" w14:textId="77777777">
      <w:pPr>
        <w:spacing w:line="240" w:lineRule="auto"/>
        <w:jc w:val="center"/>
        <w:rPr>
          <w:rFonts w:eastAsia="方正小标宋简体" w:cs="方正小标宋简体"/>
          <w:w w:val="95"/>
          <w:sz w:val="48"/>
          <w:szCs w:val="48"/>
        </w:rPr>
      </w:pPr>
      <w:r>
        <w:rPr>
          <w:rFonts w:eastAsia="方正小标宋简体" w:cs="方正小标宋简体" w:hint="eastAsia"/>
          <w:sz w:val="48"/>
          <w:szCs w:val="48"/>
        </w:rPr>
        <w:t>2024</w:t>
      </w:r>
      <w:r>
        <w:rPr>
          <w:rFonts w:eastAsia="方正小标宋简体" w:cs="方正小标宋简体" w:hint="eastAsia"/>
          <w:sz w:val="48"/>
          <w:szCs w:val="48"/>
        </w:rPr>
        <w:t>年度部门决算</w:t>
      </w:r>
    </w:p>
    <w:p w:rsidR="0078279A" w14:paraId="7F9C5FD1" w14:textId="77777777">
      <w:pPr>
        <w:spacing w:line="580" w:lineRule="exact"/>
        <w:jc w:val="center"/>
        <w:rPr>
          <w:rFonts w:eastAsia="黑体"/>
          <w:sz w:val="30"/>
          <w:szCs w:val="30"/>
        </w:rPr>
      </w:pPr>
    </w:p>
    <w:p w:rsidR="0078279A" w14:paraId="2D14CB3D" w14:textId="77777777">
      <w:pPr>
        <w:spacing w:line="580" w:lineRule="exact"/>
        <w:jc w:val="center"/>
        <w:rPr>
          <w:rFonts w:eastAsia="黑体"/>
          <w:sz w:val="30"/>
          <w:szCs w:val="30"/>
        </w:rPr>
      </w:pPr>
    </w:p>
    <w:p w:rsidR="0078279A" w14:paraId="11C5B5CF" w14:textId="77777777">
      <w:pPr>
        <w:spacing w:line="580" w:lineRule="exact"/>
        <w:jc w:val="center"/>
        <w:rPr>
          <w:rFonts w:eastAsia="黑体"/>
          <w:sz w:val="30"/>
          <w:szCs w:val="30"/>
        </w:rPr>
      </w:pPr>
    </w:p>
    <w:p w:rsidR="0078279A" w:rsidP="00095801" w14:paraId="68DC8716" w14:textId="77777777">
      <w:pPr>
        <w:spacing w:line="580" w:lineRule="exact"/>
        <w:rPr>
          <w:rFonts w:eastAsia="黑体"/>
          <w:sz w:val="30"/>
          <w:szCs w:val="30"/>
        </w:rPr>
      </w:pPr>
    </w:p>
    <w:p w:rsidR="0078279A" w14:paraId="6F373C5E" w14:textId="77777777">
      <w:pPr>
        <w:spacing w:line="580" w:lineRule="exact"/>
        <w:jc w:val="center"/>
        <w:rPr>
          <w:rFonts w:eastAsia="黑体"/>
          <w:sz w:val="30"/>
          <w:szCs w:val="30"/>
        </w:rPr>
      </w:pPr>
    </w:p>
    <w:p w:rsidR="0078279A" w14:paraId="3513D923" w14:textId="77777777">
      <w:pPr>
        <w:spacing w:line="580" w:lineRule="exact"/>
        <w:jc w:val="center"/>
        <w:rPr>
          <w:rFonts w:eastAsia="黑体"/>
          <w:sz w:val="30"/>
          <w:szCs w:val="30"/>
        </w:rPr>
      </w:pPr>
    </w:p>
    <w:p w:rsidR="0078279A" w14:paraId="557DD846" w14:textId="77777777">
      <w:pPr>
        <w:spacing w:line="580" w:lineRule="exact"/>
        <w:jc w:val="center"/>
        <w:rPr>
          <w:rFonts w:eastAsia="黑体"/>
          <w:sz w:val="44"/>
          <w:szCs w:val="44"/>
        </w:rPr>
      </w:pPr>
    </w:p>
    <w:p w:rsidR="0078279A" w14:paraId="57DED6FC" w14:textId="77777777">
      <w:pPr>
        <w:spacing w:line="600" w:lineRule="exact"/>
        <w:jc w:val="center"/>
        <w:rPr>
          <w:rFonts w:eastAsia="黑体"/>
          <w:sz w:val="44"/>
          <w:szCs w:val="44"/>
        </w:rPr>
        <w:sectPr>
          <w:pgSz w:w="11906" w:h="16838"/>
          <w:pgMar w:top="1440" w:right="1800" w:bottom="1440" w:left="1800" w:header="851" w:footer="992" w:gutter="0"/>
          <w:pgNumType w:start="1"/>
          <w:cols w:space="720"/>
          <w:docGrid w:type="lines" w:linePitch="312"/>
        </w:sectPr>
      </w:pPr>
    </w:p>
    <w:p w:rsidR="0078279A" w14:paraId="1AEA6E6C" w14:textId="77777777">
      <w:pPr>
        <w:spacing w:line="600" w:lineRule="exact"/>
        <w:jc w:val="center"/>
        <w:rPr>
          <w:rFonts w:eastAsia="黑体"/>
          <w:sz w:val="44"/>
          <w:szCs w:val="44"/>
        </w:rPr>
      </w:pPr>
    </w:p>
    <w:p w:rsidR="0078279A" w14:paraId="2E9AD5CA" w14:textId="77777777">
      <w:pPr>
        <w:spacing w:line="600" w:lineRule="exact"/>
        <w:jc w:val="center"/>
        <w:rPr>
          <w:rFonts w:eastAsia="黑体"/>
          <w:sz w:val="44"/>
          <w:szCs w:val="44"/>
        </w:rPr>
      </w:pPr>
      <w:r>
        <w:rPr>
          <w:rFonts w:eastAsia="黑体" w:hint="eastAsia"/>
          <w:sz w:val="44"/>
          <w:szCs w:val="44"/>
        </w:rPr>
        <w:t>目</w:t>
      </w:r>
      <w:r>
        <w:rPr>
          <w:rFonts w:eastAsia="黑体" w:hint="eastAsia"/>
          <w:sz w:val="44"/>
          <w:szCs w:val="44"/>
        </w:rPr>
        <w:t xml:space="preserve">   </w:t>
      </w:r>
      <w:r>
        <w:rPr>
          <w:rFonts w:eastAsia="黑体" w:hint="eastAsia"/>
          <w:sz w:val="44"/>
          <w:szCs w:val="44"/>
        </w:rPr>
        <w:t>录</w:t>
      </w:r>
    </w:p>
    <w:p w:rsidR="0078279A" w14:paraId="050874D6" w14:textId="77777777">
      <w:pPr>
        <w:spacing w:line="600" w:lineRule="exact"/>
        <w:rPr>
          <w:rFonts w:eastAsia="黑体"/>
          <w:sz w:val="30"/>
          <w:szCs w:val="30"/>
        </w:rPr>
      </w:pPr>
    </w:p>
    <w:p w:rsidR="0078279A" w14:paraId="3076F00A" w14:textId="77777777">
      <w:pPr>
        <w:pStyle w:val="TOC1"/>
        <w:tabs>
          <w:tab w:val="clear" w:pos="8296"/>
          <w:tab w:val="right" w:leader="dot" w:pos="8306"/>
        </w:tabs>
        <w:spacing w:after="0" w:line="700" w:lineRule="exact"/>
        <w:rPr>
          <w:rFonts w:ascii="Times New Roman" w:eastAsia="方正小标宋简体" w:hAnsi="Times New Roman"/>
          <w:sz w:val="30"/>
          <w:szCs w:val="30"/>
        </w:rPr>
      </w:pPr>
      <w:r>
        <w:rPr>
          <w:rFonts w:ascii="Times New Roman" w:eastAsia="仿宋_GB2312" w:hAnsi="Times New Roman" w:cs="Times New Roman"/>
          <w:sz w:val="30"/>
          <w:szCs w:val="30"/>
        </w:rPr>
        <w:fldChar w:fldCharType="begin"/>
      </w:r>
      <w:r>
        <w:rPr>
          <w:rFonts w:ascii="Times New Roman" w:eastAsia="仿宋_GB2312" w:hAnsi="Times New Roman" w:cs="Times New Roman"/>
          <w:sz w:val="30"/>
          <w:szCs w:val="30"/>
        </w:rPr>
        <w:instrText xml:space="preserve"> TOC \o "1-3" \h \z \u </w:instrText>
      </w:r>
      <w:r>
        <w:rPr>
          <w:rFonts w:ascii="Times New Roman" w:eastAsia="仿宋_GB2312" w:hAnsi="Times New Roman" w:cs="Times New Roman"/>
          <w:sz w:val="30"/>
          <w:szCs w:val="30"/>
        </w:rPr>
        <w:fldChar w:fldCharType="separate"/>
      </w:r>
      <w:hyperlink w:anchor="_Toc15895" w:history="1">
        <w:r>
          <w:rPr>
            <w:rFonts w:ascii="Times New Roman" w:eastAsia="方正小标宋简体" w:hAnsi="Times New Roman" w:hint="eastAsia"/>
            <w:sz w:val="30"/>
            <w:szCs w:val="30"/>
          </w:rPr>
          <w:t>第一部分</w:t>
        </w:r>
        <w:r>
          <w:rPr>
            <w:rFonts w:ascii="Times New Roman" w:eastAsia="方正小标宋简体" w:hAnsi="Times New Roman" w:hint="eastAsia"/>
            <w:sz w:val="30"/>
            <w:szCs w:val="30"/>
          </w:rPr>
          <w:t xml:space="preserve">  </w:t>
        </w:r>
        <w:r>
          <w:rPr>
            <w:rFonts w:ascii="Times New Roman" w:eastAsia="方正小标宋简体" w:hAnsi="Times New Roman" w:hint="eastAsia"/>
            <w:sz w:val="30"/>
            <w:szCs w:val="30"/>
          </w:rPr>
          <w:t>概</w:t>
        </w:r>
        <w:r>
          <w:rPr>
            <w:rFonts w:ascii="Times New Roman" w:eastAsia="方正小标宋简体" w:hAnsi="Times New Roman" w:hint="eastAsia"/>
            <w:sz w:val="30"/>
            <w:szCs w:val="30"/>
          </w:rPr>
          <w:t xml:space="preserve"> </w:t>
        </w:r>
        <w:r>
          <w:rPr>
            <w:rFonts w:ascii="Times New Roman" w:eastAsia="方正小标宋简体" w:hAnsi="Times New Roman" w:hint="eastAsia"/>
            <w:sz w:val="30"/>
            <w:szCs w:val="30"/>
          </w:rPr>
          <w:t>况</w:t>
        </w:r>
      </w:hyperlink>
    </w:p>
    <w:p w:rsidR="0078279A" w14:paraId="5DE36F3F"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28346" w:history="1">
        <w:r>
          <w:rPr>
            <w:rFonts w:ascii="Times New Roman" w:eastAsia="仿宋_GB2312" w:hAnsi="Times New Roman" w:cs="仿宋_GB2312" w:hint="eastAsia"/>
            <w:sz w:val="30"/>
            <w:szCs w:val="30"/>
          </w:rPr>
          <w:t>一、主要职责</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_Toc28346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1</w:t>
        </w:r>
        <w:r>
          <w:rPr>
            <w:rFonts w:ascii="Times New Roman" w:eastAsia="仿宋_GB2312" w:hAnsi="Times New Roman" w:cs="仿宋_GB2312" w:hint="eastAsia"/>
            <w:sz w:val="30"/>
            <w:szCs w:val="30"/>
          </w:rPr>
          <w:fldChar w:fldCharType="end"/>
        </w:r>
      </w:hyperlink>
    </w:p>
    <w:p w:rsidR="0078279A" w14:paraId="792FA5E4"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25737" w:history="1">
        <w:r>
          <w:rPr>
            <w:rFonts w:ascii="Times New Roman" w:eastAsia="仿宋_GB2312" w:hAnsi="Times New Roman" w:cs="仿宋_GB2312" w:hint="eastAsia"/>
            <w:sz w:val="30"/>
            <w:szCs w:val="30"/>
          </w:rPr>
          <w:t>二、机构设置</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_Toc25737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1</w:t>
        </w:r>
        <w:r>
          <w:rPr>
            <w:rFonts w:ascii="Times New Roman" w:eastAsia="仿宋_GB2312" w:hAnsi="Times New Roman" w:cs="仿宋_GB2312" w:hint="eastAsia"/>
            <w:sz w:val="30"/>
            <w:szCs w:val="30"/>
          </w:rPr>
          <w:fldChar w:fldCharType="end"/>
        </w:r>
      </w:hyperlink>
    </w:p>
    <w:p w:rsidR="0078279A" w14:paraId="33FC0C26" w14:textId="77777777">
      <w:pPr>
        <w:pStyle w:val="TOC1"/>
        <w:tabs>
          <w:tab w:val="clear" w:pos="8296"/>
          <w:tab w:val="right" w:leader="dot" w:pos="8306"/>
        </w:tabs>
        <w:spacing w:after="0" w:line="700" w:lineRule="exact"/>
        <w:rPr>
          <w:rFonts w:ascii="Times New Roman" w:eastAsia="方正小标宋简体" w:hAnsi="Times New Roman"/>
          <w:sz w:val="30"/>
          <w:szCs w:val="30"/>
        </w:rPr>
      </w:pPr>
      <w:hyperlink w:anchor="_Toc25448" w:history="1">
        <w:r>
          <w:rPr>
            <w:rFonts w:ascii="Times New Roman" w:eastAsia="方正小标宋简体" w:hAnsi="Times New Roman" w:hint="eastAsia"/>
            <w:sz w:val="30"/>
            <w:szCs w:val="30"/>
          </w:rPr>
          <w:t>第二部分</w:t>
        </w:r>
        <w:r>
          <w:rPr>
            <w:rFonts w:ascii="Times New Roman" w:eastAsia="方正小标宋简体" w:hAnsi="Times New Roman" w:hint="eastAsia"/>
            <w:sz w:val="30"/>
            <w:szCs w:val="30"/>
          </w:rPr>
          <w:t xml:space="preserve">  2024</w:t>
        </w:r>
        <w:r>
          <w:rPr>
            <w:rFonts w:ascii="Times New Roman" w:eastAsia="方正小标宋简体" w:hAnsi="Times New Roman" w:hint="eastAsia"/>
            <w:sz w:val="30"/>
            <w:szCs w:val="30"/>
          </w:rPr>
          <w:t>年度部门决算表</w:t>
        </w:r>
      </w:hyperlink>
    </w:p>
    <w:p w:rsidR="0078279A" w14:paraId="676ACC11"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8089" w:history="1">
        <w:r>
          <w:rPr>
            <w:rFonts w:ascii="Times New Roman" w:eastAsia="仿宋_GB2312" w:hAnsi="Times New Roman" w:cs="仿宋_GB2312" w:hint="eastAsia"/>
            <w:sz w:val="30"/>
            <w:szCs w:val="30"/>
          </w:rPr>
          <w:t>一、《收入支出决算总表》</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_Toc8089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2</w:t>
        </w:r>
        <w:r>
          <w:rPr>
            <w:rFonts w:ascii="Times New Roman" w:eastAsia="仿宋_GB2312" w:hAnsi="Times New Roman" w:cs="仿宋_GB2312" w:hint="eastAsia"/>
            <w:sz w:val="30"/>
            <w:szCs w:val="30"/>
          </w:rPr>
          <w:fldChar w:fldCharType="end"/>
        </w:r>
      </w:hyperlink>
    </w:p>
    <w:p w:rsidR="0078279A" w14:paraId="0723A635"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29574" w:history="1">
        <w:r>
          <w:rPr>
            <w:rFonts w:ascii="Times New Roman" w:eastAsia="仿宋_GB2312" w:hAnsi="Times New Roman" w:cs="仿宋_GB2312" w:hint="eastAsia"/>
            <w:sz w:val="30"/>
            <w:szCs w:val="30"/>
          </w:rPr>
          <w:t>二、《收入决算表（按功能分类列示）》</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_Toc29574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2</w:t>
        </w:r>
        <w:r>
          <w:rPr>
            <w:rFonts w:ascii="Times New Roman" w:eastAsia="仿宋_GB2312" w:hAnsi="Times New Roman" w:cs="仿宋_GB2312" w:hint="eastAsia"/>
            <w:sz w:val="30"/>
            <w:szCs w:val="30"/>
          </w:rPr>
          <w:fldChar w:fldCharType="end"/>
        </w:r>
      </w:hyperlink>
    </w:p>
    <w:p w:rsidR="0078279A" w14:paraId="7DAC06A8"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1392" w:history="1">
        <w:r>
          <w:rPr>
            <w:rFonts w:ascii="Times New Roman" w:eastAsia="仿宋_GB2312" w:hAnsi="Times New Roman" w:cs="仿宋_GB2312" w:hint="eastAsia"/>
            <w:sz w:val="30"/>
            <w:szCs w:val="30"/>
          </w:rPr>
          <w:t>三、《收入决算表（按单位列示）》</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_Toc1392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2</w:t>
        </w:r>
        <w:r>
          <w:rPr>
            <w:rFonts w:ascii="Times New Roman" w:eastAsia="仿宋_GB2312" w:hAnsi="Times New Roman" w:cs="仿宋_GB2312" w:hint="eastAsia"/>
            <w:sz w:val="30"/>
            <w:szCs w:val="30"/>
          </w:rPr>
          <w:fldChar w:fldCharType="end"/>
        </w:r>
      </w:hyperlink>
    </w:p>
    <w:p w:rsidR="0078279A" w14:paraId="4B885F34"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28946" w:history="1">
        <w:r>
          <w:rPr>
            <w:rFonts w:ascii="Times New Roman" w:eastAsia="仿宋_GB2312" w:hAnsi="Times New Roman" w:cs="仿宋_GB2312" w:hint="eastAsia"/>
            <w:sz w:val="30"/>
            <w:szCs w:val="30"/>
          </w:rPr>
          <w:t>四、《支出决算表》</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_Toc28946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2</w:t>
        </w:r>
        <w:r>
          <w:rPr>
            <w:rFonts w:ascii="Times New Roman" w:eastAsia="仿宋_GB2312" w:hAnsi="Times New Roman" w:cs="仿宋_GB2312" w:hint="eastAsia"/>
            <w:sz w:val="30"/>
            <w:szCs w:val="30"/>
          </w:rPr>
          <w:fldChar w:fldCharType="end"/>
        </w:r>
      </w:hyperlink>
    </w:p>
    <w:p w:rsidR="0078279A" w14:paraId="49B9379D"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10939" w:history="1">
        <w:r>
          <w:rPr>
            <w:rFonts w:ascii="Times New Roman" w:eastAsia="仿宋_GB2312" w:hAnsi="Times New Roman" w:cs="仿宋_GB2312" w:hint="eastAsia"/>
            <w:sz w:val="30"/>
            <w:szCs w:val="30"/>
          </w:rPr>
          <w:t>五、《财政拨款收入支出决算总表》</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_Toc10939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2</w:t>
        </w:r>
        <w:r>
          <w:rPr>
            <w:rFonts w:ascii="Times New Roman" w:eastAsia="仿宋_GB2312" w:hAnsi="Times New Roman" w:cs="仿宋_GB2312" w:hint="eastAsia"/>
            <w:sz w:val="30"/>
            <w:szCs w:val="30"/>
          </w:rPr>
          <w:fldChar w:fldCharType="end"/>
        </w:r>
      </w:hyperlink>
    </w:p>
    <w:p w:rsidR="0078279A" w14:paraId="61976730"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9732" w:history="1">
        <w:r>
          <w:rPr>
            <w:rFonts w:ascii="Times New Roman" w:eastAsia="仿宋_GB2312" w:hAnsi="Times New Roman" w:cs="仿宋_GB2312" w:hint="eastAsia"/>
            <w:sz w:val="30"/>
            <w:szCs w:val="30"/>
          </w:rPr>
          <w:t>六、《一般公共预算财政拨款支出决算表》</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_Toc9732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2</w:t>
        </w:r>
        <w:r>
          <w:rPr>
            <w:rFonts w:ascii="Times New Roman" w:eastAsia="仿宋_GB2312" w:hAnsi="Times New Roman" w:cs="仿宋_GB2312" w:hint="eastAsia"/>
            <w:sz w:val="30"/>
            <w:szCs w:val="30"/>
          </w:rPr>
          <w:fldChar w:fldCharType="end"/>
        </w:r>
      </w:hyperlink>
    </w:p>
    <w:p w:rsidR="0078279A" w14:paraId="085E7E86"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8588" w:history="1">
        <w:r>
          <w:rPr>
            <w:rFonts w:ascii="Times New Roman" w:eastAsia="仿宋_GB2312" w:hAnsi="Times New Roman" w:cs="仿宋_GB2312" w:hint="eastAsia"/>
            <w:sz w:val="30"/>
            <w:szCs w:val="30"/>
          </w:rPr>
          <w:t>七、《一般公共预算财政拨款基本支出决算表》</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_Toc8588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2</w:t>
        </w:r>
        <w:r>
          <w:rPr>
            <w:rFonts w:ascii="Times New Roman" w:eastAsia="仿宋_GB2312" w:hAnsi="Times New Roman" w:cs="仿宋_GB2312" w:hint="eastAsia"/>
            <w:sz w:val="30"/>
            <w:szCs w:val="30"/>
          </w:rPr>
          <w:fldChar w:fldCharType="end"/>
        </w:r>
      </w:hyperlink>
    </w:p>
    <w:p w:rsidR="0078279A" w14:paraId="2C28853E"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29750" w:history="1">
        <w:r>
          <w:rPr>
            <w:rFonts w:ascii="Times New Roman" w:eastAsia="仿宋_GB2312" w:hAnsi="Times New Roman" w:cs="仿宋_GB2312" w:hint="eastAsia"/>
            <w:sz w:val="30"/>
            <w:szCs w:val="30"/>
          </w:rPr>
          <w:t>八、《政府性基金预算财政拨款收入支出决算表》</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_Toc29750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2</w:t>
        </w:r>
        <w:r>
          <w:rPr>
            <w:rFonts w:ascii="Times New Roman" w:eastAsia="仿宋_GB2312" w:hAnsi="Times New Roman" w:cs="仿宋_GB2312" w:hint="eastAsia"/>
            <w:sz w:val="30"/>
            <w:szCs w:val="30"/>
          </w:rPr>
          <w:fldChar w:fldCharType="end"/>
        </w:r>
      </w:hyperlink>
    </w:p>
    <w:p w:rsidR="0078279A" w14:paraId="298C5598"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17443" w:history="1">
        <w:r>
          <w:rPr>
            <w:rFonts w:ascii="Times New Roman" w:eastAsia="仿宋_GB2312" w:hAnsi="Times New Roman" w:cs="仿宋_GB2312" w:hint="eastAsia"/>
            <w:sz w:val="30"/>
            <w:szCs w:val="30"/>
          </w:rPr>
          <w:t>九、《国有资本经营预算财政拨款收入支出决算表》</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_Toc17443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2</w:t>
        </w:r>
        <w:r>
          <w:rPr>
            <w:rFonts w:ascii="Times New Roman" w:eastAsia="仿宋_GB2312" w:hAnsi="Times New Roman" w:cs="仿宋_GB2312" w:hint="eastAsia"/>
            <w:sz w:val="30"/>
            <w:szCs w:val="30"/>
          </w:rPr>
          <w:fldChar w:fldCharType="end"/>
        </w:r>
      </w:hyperlink>
    </w:p>
    <w:p w:rsidR="0078279A" w14:paraId="07BC794C"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30096" w:history="1">
        <w:r>
          <w:rPr>
            <w:rFonts w:ascii="Times New Roman" w:eastAsia="仿宋_GB2312" w:hAnsi="Times New Roman" w:cs="仿宋_GB2312" w:hint="eastAsia"/>
            <w:sz w:val="30"/>
            <w:szCs w:val="30"/>
          </w:rPr>
          <w:t>十、《财政拨款“三公”经费支出决算表》</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_Toc30096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2</w:t>
        </w:r>
        <w:r>
          <w:rPr>
            <w:rFonts w:ascii="Times New Roman" w:eastAsia="仿宋_GB2312" w:hAnsi="Times New Roman" w:cs="仿宋_GB2312" w:hint="eastAsia"/>
            <w:sz w:val="30"/>
            <w:szCs w:val="30"/>
          </w:rPr>
          <w:fldChar w:fldCharType="end"/>
        </w:r>
      </w:hyperlink>
    </w:p>
    <w:p w:rsidR="0078279A" w14:paraId="6485FA40"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21214" w:history="1">
        <w:r>
          <w:rPr>
            <w:rFonts w:ascii="Times New Roman" w:eastAsia="仿宋_GB2312" w:hAnsi="Times New Roman" w:cs="仿宋_GB2312" w:hint="eastAsia"/>
            <w:sz w:val="30"/>
            <w:szCs w:val="30"/>
          </w:rPr>
          <w:t>十一、《项目支出决算表》</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_Toc21214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2</w:t>
        </w:r>
        <w:r>
          <w:rPr>
            <w:rFonts w:ascii="Times New Roman" w:eastAsia="仿宋_GB2312" w:hAnsi="Times New Roman" w:cs="仿宋_GB2312" w:hint="eastAsia"/>
            <w:sz w:val="30"/>
            <w:szCs w:val="30"/>
          </w:rPr>
          <w:fldChar w:fldCharType="end"/>
        </w:r>
      </w:hyperlink>
    </w:p>
    <w:p w:rsidR="0078279A" w14:paraId="02DE5873"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9893" w:history="1">
        <w:r>
          <w:rPr>
            <w:rFonts w:ascii="Times New Roman" w:eastAsia="仿宋_GB2312" w:hAnsi="Times New Roman" w:cs="仿宋_GB2312" w:hint="eastAsia"/>
            <w:sz w:val="30"/>
            <w:szCs w:val="30"/>
          </w:rPr>
          <w:t>十二、关于空表的说明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_Toc9893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2</w:t>
        </w:r>
        <w:r>
          <w:rPr>
            <w:rFonts w:ascii="Times New Roman" w:eastAsia="仿宋_GB2312" w:hAnsi="Times New Roman" w:cs="仿宋_GB2312" w:hint="eastAsia"/>
            <w:sz w:val="30"/>
            <w:szCs w:val="30"/>
          </w:rPr>
          <w:fldChar w:fldCharType="end"/>
        </w:r>
      </w:hyperlink>
    </w:p>
    <w:p w:rsidR="0078279A" w14:paraId="26F3D62C" w14:textId="77777777">
      <w:pPr>
        <w:rPr>
          <w:rFonts w:eastAsia="仿宋_GB2312" w:cs="仿宋_GB2312"/>
          <w:sz w:val="30"/>
          <w:szCs w:val="30"/>
        </w:rPr>
      </w:pPr>
      <w:r>
        <w:rPr>
          <w:rFonts w:eastAsia="仿宋_GB2312" w:cs="仿宋_GB2312" w:hint="eastAsia"/>
          <w:sz w:val="30"/>
          <w:szCs w:val="30"/>
        </w:rPr>
        <w:br w:type="page"/>
      </w:r>
    </w:p>
    <w:p w:rsidR="0078279A" w14:paraId="736C17C5" w14:textId="77777777">
      <w:pPr>
        <w:pStyle w:val="TOC1"/>
        <w:tabs>
          <w:tab w:val="clear" w:pos="8296"/>
          <w:tab w:val="right" w:leader="dot" w:pos="8306"/>
        </w:tabs>
        <w:spacing w:after="0" w:line="700" w:lineRule="exact"/>
        <w:rPr>
          <w:rFonts w:ascii="Times New Roman" w:eastAsia="方正小标宋简体" w:hAnsi="Times New Roman"/>
          <w:sz w:val="30"/>
          <w:szCs w:val="30"/>
        </w:rPr>
      </w:pPr>
      <w:hyperlink w:anchor="_Toc26351" w:history="1">
        <w:r>
          <w:rPr>
            <w:rFonts w:ascii="Times New Roman" w:eastAsia="方正小标宋简体" w:hAnsi="Times New Roman" w:hint="eastAsia"/>
            <w:sz w:val="30"/>
            <w:szCs w:val="30"/>
          </w:rPr>
          <w:t>第三部分</w:t>
        </w:r>
        <w:r>
          <w:rPr>
            <w:rFonts w:ascii="Times New Roman" w:eastAsia="方正小标宋简体" w:hAnsi="Times New Roman" w:hint="eastAsia"/>
            <w:sz w:val="30"/>
            <w:szCs w:val="30"/>
          </w:rPr>
          <w:t xml:space="preserve">  2024</w:t>
        </w:r>
        <w:r>
          <w:rPr>
            <w:rFonts w:ascii="Times New Roman" w:eastAsia="方正小标宋简体" w:hAnsi="Times New Roman" w:hint="eastAsia"/>
            <w:sz w:val="30"/>
            <w:szCs w:val="30"/>
          </w:rPr>
          <w:t>年度部门决算情况说明</w:t>
        </w:r>
        <w:r>
          <w:rPr>
            <w:rFonts w:ascii="Times New Roman" w:eastAsia="方正小标宋简体" w:hAnsi="Times New Roman" w:hint="eastAsia"/>
            <w:sz w:val="30"/>
            <w:szCs w:val="30"/>
          </w:rPr>
          <w:tab/>
        </w:r>
        <w:r>
          <w:rPr>
            <w:rFonts w:ascii="Times New Roman" w:eastAsia="方正小标宋简体" w:hAnsi="Times New Roman" w:hint="eastAsia"/>
            <w:sz w:val="30"/>
            <w:szCs w:val="30"/>
          </w:rPr>
          <w:fldChar w:fldCharType="begin"/>
        </w:r>
        <w:r>
          <w:rPr>
            <w:rFonts w:ascii="Times New Roman" w:eastAsia="方正小标宋简体" w:hAnsi="Times New Roman" w:hint="eastAsia"/>
            <w:sz w:val="30"/>
            <w:szCs w:val="30"/>
          </w:rPr>
          <w:instrText xml:space="preserve"> PAGEREF _Toc26351 \h </w:instrText>
        </w:r>
        <w:r>
          <w:rPr>
            <w:rFonts w:ascii="Times New Roman" w:eastAsia="方正小标宋简体" w:hAnsi="Times New Roman" w:hint="eastAsia"/>
            <w:sz w:val="30"/>
            <w:szCs w:val="30"/>
          </w:rPr>
          <w:fldChar w:fldCharType="separate"/>
        </w:r>
        <w:r>
          <w:rPr>
            <w:rFonts w:ascii="Times New Roman" w:eastAsia="方正小标宋简体" w:hAnsi="Times New Roman" w:hint="eastAsia"/>
            <w:sz w:val="30"/>
            <w:szCs w:val="30"/>
          </w:rPr>
          <w:t>4</w:t>
        </w:r>
        <w:r>
          <w:rPr>
            <w:rFonts w:ascii="Times New Roman" w:eastAsia="方正小标宋简体" w:hAnsi="Times New Roman" w:hint="eastAsia"/>
            <w:sz w:val="30"/>
            <w:szCs w:val="30"/>
          </w:rPr>
          <w:fldChar w:fldCharType="end"/>
        </w:r>
      </w:hyperlink>
    </w:p>
    <w:p w:rsidR="0078279A" w14:paraId="14D8E3D8"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14113" w:history="1">
        <w:r>
          <w:rPr>
            <w:rFonts w:ascii="Times New Roman" w:eastAsia="仿宋_GB2312" w:hAnsi="Times New Roman" w:cs="仿宋_GB2312" w:hint="eastAsia"/>
            <w:sz w:val="30"/>
            <w:szCs w:val="30"/>
          </w:rPr>
          <w:t>一、收入支出决算总体情况说明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_Toc14113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4</w:t>
        </w:r>
        <w:r>
          <w:rPr>
            <w:rFonts w:ascii="Times New Roman" w:eastAsia="仿宋_GB2312" w:hAnsi="Times New Roman" w:cs="仿宋_GB2312" w:hint="eastAsia"/>
            <w:sz w:val="30"/>
            <w:szCs w:val="30"/>
          </w:rPr>
          <w:fldChar w:fldCharType="end"/>
        </w:r>
      </w:hyperlink>
    </w:p>
    <w:p w:rsidR="0078279A" w14:paraId="5FA991EF"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1931" w:history="1">
        <w:r>
          <w:rPr>
            <w:rFonts w:ascii="Times New Roman" w:eastAsia="仿宋_GB2312" w:hAnsi="Times New Roman" w:cs="仿宋_GB2312" w:hint="eastAsia"/>
            <w:sz w:val="30"/>
            <w:szCs w:val="30"/>
          </w:rPr>
          <w:t>二、收入决算情况说明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_Toc1931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4</w:t>
        </w:r>
        <w:r>
          <w:rPr>
            <w:rFonts w:ascii="Times New Roman" w:eastAsia="仿宋_GB2312" w:hAnsi="Times New Roman" w:cs="仿宋_GB2312" w:hint="eastAsia"/>
            <w:sz w:val="30"/>
            <w:szCs w:val="30"/>
          </w:rPr>
          <w:fldChar w:fldCharType="end"/>
        </w:r>
      </w:hyperlink>
    </w:p>
    <w:p w:rsidR="0078279A" w14:paraId="07506E12"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14007" w:history="1">
        <w:r>
          <w:rPr>
            <w:rFonts w:ascii="Times New Roman" w:eastAsia="仿宋_GB2312" w:hAnsi="Times New Roman" w:cs="仿宋_GB2312" w:hint="eastAsia"/>
            <w:sz w:val="30"/>
            <w:szCs w:val="30"/>
          </w:rPr>
          <w:t>三、支出决算情况说明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_Toc14007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4</w:t>
        </w:r>
        <w:r>
          <w:rPr>
            <w:rFonts w:ascii="Times New Roman" w:eastAsia="仿宋_GB2312" w:hAnsi="Times New Roman" w:cs="仿宋_GB2312" w:hint="eastAsia"/>
            <w:sz w:val="30"/>
            <w:szCs w:val="30"/>
          </w:rPr>
          <w:fldChar w:fldCharType="end"/>
        </w:r>
      </w:hyperlink>
    </w:p>
    <w:p w:rsidR="0078279A" w14:paraId="339B5FC3"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23974" w:history="1">
        <w:r>
          <w:rPr>
            <w:rFonts w:ascii="Times New Roman" w:eastAsia="仿宋_GB2312" w:hAnsi="Times New Roman" w:cs="仿宋_GB2312" w:hint="eastAsia"/>
            <w:sz w:val="30"/>
            <w:szCs w:val="30"/>
          </w:rPr>
          <w:t>四、财政拨款收支决算总体情况说明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_Toc23974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5</w:t>
        </w:r>
        <w:r>
          <w:rPr>
            <w:rFonts w:ascii="Times New Roman" w:eastAsia="仿宋_GB2312" w:hAnsi="Times New Roman" w:cs="仿宋_GB2312" w:hint="eastAsia"/>
            <w:sz w:val="30"/>
            <w:szCs w:val="30"/>
          </w:rPr>
          <w:fldChar w:fldCharType="end"/>
        </w:r>
      </w:hyperlink>
    </w:p>
    <w:p w:rsidR="0078279A" w14:paraId="6AB590A8"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19057" w:history="1">
        <w:r>
          <w:rPr>
            <w:rFonts w:ascii="Times New Roman" w:eastAsia="仿宋_GB2312" w:hAnsi="Times New Roman" w:cs="仿宋_GB2312" w:hint="eastAsia"/>
            <w:sz w:val="30"/>
            <w:szCs w:val="30"/>
          </w:rPr>
          <w:t>五、一般公共预算财政拨款支出决算情况说明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_Toc19057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5</w:t>
        </w:r>
        <w:r>
          <w:rPr>
            <w:rFonts w:ascii="Times New Roman" w:eastAsia="仿宋_GB2312" w:hAnsi="Times New Roman" w:cs="仿宋_GB2312" w:hint="eastAsia"/>
            <w:sz w:val="30"/>
            <w:szCs w:val="30"/>
          </w:rPr>
          <w:fldChar w:fldCharType="end"/>
        </w:r>
      </w:hyperlink>
    </w:p>
    <w:p w:rsidR="0078279A" w14:paraId="527B6E8C"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8826" w:history="1">
        <w:r>
          <w:rPr>
            <w:rFonts w:ascii="Times New Roman" w:eastAsia="仿宋_GB2312" w:hAnsi="Times New Roman" w:cs="仿宋_GB2312" w:hint="eastAsia"/>
            <w:sz w:val="30"/>
            <w:szCs w:val="30"/>
          </w:rPr>
          <w:t>六、一般公共预算财政拨款基本支出决算情况说明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_Toc8826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7</w:t>
        </w:r>
        <w:r>
          <w:rPr>
            <w:rFonts w:ascii="Times New Roman" w:eastAsia="仿宋_GB2312" w:hAnsi="Times New Roman" w:cs="仿宋_GB2312" w:hint="eastAsia"/>
            <w:sz w:val="30"/>
            <w:szCs w:val="30"/>
          </w:rPr>
          <w:fldChar w:fldCharType="end"/>
        </w:r>
      </w:hyperlink>
    </w:p>
    <w:p w:rsidR="0078279A" w14:paraId="644CD1D1"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13712" w:history="1">
        <w:r>
          <w:rPr>
            <w:rFonts w:ascii="Times New Roman" w:eastAsia="仿宋_GB2312" w:hAnsi="Times New Roman" w:cs="仿宋_GB2312" w:hint="eastAsia"/>
            <w:sz w:val="30"/>
            <w:szCs w:val="30"/>
          </w:rPr>
          <w:t>七、政府性基金预算财政拨款收支决算情况说明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_Toc13712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7</w:t>
        </w:r>
        <w:r>
          <w:rPr>
            <w:rFonts w:ascii="Times New Roman" w:eastAsia="仿宋_GB2312" w:hAnsi="Times New Roman" w:cs="仿宋_GB2312" w:hint="eastAsia"/>
            <w:sz w:val="30"/>
            <w:szCs w:val="30"/>
          </w:rPr>
          <w:fldChar w:fldCharType="end"/>
        </w:r>
      </w:hyperlink>
    </w:p>
    <w:p w:rsidR="0078279A" w14:paraId="721A1A69"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1902" w:history="1">
        <w:r>
          <w:rPr>
            <w:rFonts w:ascii="Times New Roman" w:eastAsia="仿宋_GB2312" w:hAnsi="Times New Roman" w:cs="仿宋_GB2312" w:hint="eastAsia"/>
            <w:sz w:val="30"/>
            <w:szCs w:val="30"/>
          </w:rPr>
          <w:t>八、国有资本经营预算财政拨款收支决算情况说明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_Toc1902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7</w:t>
        </w:r>
        <w:r>
          <w:rPr>
            <w:rFonts w:ascii="Times New Roman" w:eastAsia="仿宋_GB2312" w:hAnsi="Times New Roman" w:cs="仿宋_GB2312" w:hint="eastAsia"/>
            <w:sz w:val="30"/>
            <w:szCs w:val="30"/>
          </w:rPr>
          <w:fldChar w:fldCharType="end"/>
        </w:r>
      </w:hyperlink>
    </w:p>
    <w:p w:rsidR="0078279A" w14:paraId="6E742607"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6751" w:history="1">
        <w:r>
          <w:rPr>
            <w:rFonts w:ascii="Times New Roman" w:eastAsia="仿宋_GB2312" w:hAnsi="Times New Roman" w:cs="仿宋_GB2312" w:hint="eastAsia"/>
            <w:sz w:val="30"/>
            <w:szCs w:val="30"/>
          </w:rPr>
          <w:t>九、财政拨款“三公”经费支出决算情况说明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_Toc6751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8</w:t>
        </w:r>
        <w:r>
          <w:rPr>
            <w:rFonts w:ascii="Times New Roman" w:eastAsia="仿宋_GB2312" w:hAnsi="Times New Roman" w:cs="仿宋_GB2312" w:hint="eastAsia"/>
            <w:sz w:val="30"/>
            <w:szCs w:val="30"/>
          </w:rPr>
          <w:fldChar w:fldCharType="end"/>
        </w:r>
      </w:hyperlink>
    </w:p>
    <w:p w:rsidR="0078279A" w14:paraId="78E3CC5B"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2589" w:history="1">
        <w:r>
          <w:rPr>
            <w:rFonts w:ascii="Times New Roman" w:eastAsia="仿宋_GB2312" w:hAnsi="Times New Roman" w:cs="仿宋_GB2312" w:hint="eastAsia"/>
            <w:sz w:val="30"/>
            <w:szCs w:val="30"/>
          </w:rPr>
          <w:t>十、机关运行经费支出情况说明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_Toc2589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9</w:t>
        </w:r>
        <w:r>
          <w:rPr>
            <w:rFonts w:ascii="Times New Roman" w:eastAsia="仿宋_GB2312" w:hAnsi="Times New Roman" w:cs="仿宋_GB2312" w:hint="eastAsia"/>
            <w:sz w:val="30"/>
            <w:szCs w:val="30"/>
          </w:rPr>
          <w:fldChar w:fldCharType="end"/>
        </w:r>
      </w:hyperlink>
    </w:p>
    <w:p w:rsidR="0078279A" w14:paraId="5623BBF7"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15010" w:history="1">
        <w:r>
          <w:rPr>
            <w:rFonts w:ascii="Times New Roman" w:eastAsia="仿宋_GB2312" w:hAnsi="Times New Roman" w:cs="仿宋_GB2312" w:hint="eastAsia"/>
            <w:sz w:val="30"/>
            <w:szCs w:val="30"/>
          </w:rPr>
          <w:t>十一、政府采购支出情况说明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_Toc15010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9</w:t>
        </w:r>
        <w:r>
          <w:rPr>
            <w:rFonts w:ascii="Times New Roman" w:eastAsia="仿宋_GB2312" w:hAnsi="Times New Roman" w:cs="仿宋_GB2312" w:hint="eastAsia"/>
            <w:sz w:val="30"/>
            <w:szCs w:val="30"/>
          </w:rPr>
          <w:fldChar w:fldCharType="end"/>
        </w:r>
      </w:hyperlink>
    </w:p>
    <w:p w:rsidR="0078279A" w14:paraId="33EEC4C7"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32128" w:history="1">
        <w:r>
          <w:rPr>
            <w:rFonts w:ascii="Times New Roman" w:eastAsia="仿宋_GB2312" w:hAnsi="Times New Roman" w:cs="仿宋_GB2312" w:hint="eastAsia"/>
            <w:sz w:val="30"/>
            <w:szCs w:val="30"/>
          </w:rPr>
          <w:t>十二、国有资产占有使用情况说明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_Toc32128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10</w:t>
        </w:r>
        <w:r>
          <w:rPr>
            <w:rFonts w:ascii="Times New Roman" w:eastAsia="仿宋_GB2312" w:hAnsi="Times New Roman" w:cs="仿宋_GB2312" w:hint="eastAsia"/>
            <w:sz w:val="30"/>
            <w:szCs w:val="30"/>
          </w:rPr>
          <w:fldChar w:fldCharType="end"/>
        </w:r>
      </w:hyperlink>
    </w:p>
    <w:p w:rsidR="0078279A" w14:paraId="69FFDC29"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31889" w:history="1">
        <w:r>
          <w:rPr>
            <w:rFonts w:ascii="Times New Roman" w:eastAsia="仿宋_GB2312" w:hAnsi="Times New Roman" w:cs="仿宋_GB2312" w:hint="eastAsia"/>
            <w:sz w:val="30"/>
            <w:szCs w:val="30"/>
          </w:rPr>
          <w:t>十三、预算绩效情况说明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_Toc31889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10</w:t>
        </w:r>
        <w:r>
          <w:rPr>
            <w:rFonts w:ascii="Times New Roman" w:eastAsia="仿宋_GB2312" w:hAnsi="Times New Roman" w:cs="仿宋_GB2312" w:hint="eastAsia"/>
            <w:sz w:val="30"/>
            <w:szCs w:val="30"/>
          </w:rPr>
          <w:fldChar w:fldCharType="end"/>
        </w:r>
      </w:hyperlink>
    </w:p>
    <w:p w:rsidR="0078279A" w14:paraId="17ADF0E1" w14:textId="77777777">
      <w:pPr>
        <w:pStyle w:val="TOC2"/>
        <w:tabs>
          <w:tab w:val="right" w:leader="dot" w:pos="8306"/>
        </w:tabs>
        <w:spacing w:after="0" w:line="700" w:lineRule="exact"/>
        <w:ind w:left="221"/>
        <w:rPr>
          <w:rFonts w:ascii="Times New Roman" w:eastAsia="仿宋_GB2312" w:hAnsi="Times New Roman" w:cs="仿宋_GB2312"/>
          <w:sz w:val="30"/>
          <w:szCs w:val="30"/>
        </w:rPr>
      </w:pPr>
      <w:hyperlink w:anchor="_Toc6543" w:history="1">
        <w:r>
          <w:rPr>
            <w:rFonts w:ascii="Times New Roman" w:eastAsia="仿宋_GB2312" w:hAnsi="Times New Roman" w:cs="仿宋_GB2312" w:hint="eastAsia"/>
            <w:sz w:val="30"/>
            <w:szCs w:val="30"/>
          </w:rPr>
          <w:t>十四、教育、医疗卫生、社会保障和就业、住房保障、涉农补贴等民生支出情况说明</w:t>
        </w:r>
        <w:r>
          <w:rPr>
            <w:rFonts w:ascii="Times New Roman" w:eastAsia="仿宋_GB2312" w:hAnsi="Times New Roman" w:cs="仿宋_GB2312" w:hint="eastAsia"/>
            <w:sz w:val="30"/>
            <w:szCs w:val="30"/>
          </w:rPr>
          <w:tab/>
        </w:r>
        <w:r>
          <w:rPr>
            <w:rFonts w:ascii="Times New Roman" w:eastAsia="仿宋_GB2312" w:hAnsi="Times New Roman" w:cs="仿宋_GB2312" w:hint="eastAsia"/>
            <w:sz w:val="30"/>
            <w:szCs w:val="30"/>
          </w:rPr>
          <w:fldChar w:fldCharType="begin"/>
        </w:r>
        <w:r>
          <w:rPr>
            <w:rFonts w:ascii="Times New Roman" w:eastAsia="仿宋_GB2312" w:hAnsi="Times New Roman" w:cs="仿宋_GB2312" w:hint="eastAsia"/>
            <w:sz w:val="30"/>
            <w:szCs w:val="30"/>
          </w:rPr>
          <w:instrText xml:space="preserve"> PAGEREF _Toc6543 \h </w:instrText>
        </w:r>
        <w:r>
          <w:rPr>
            <w:rFonts w:ascii="Times New Roman" w:eastAsia="仿宋_GB2312" w:hAnsi="Times New Roman" w:cs="仿宋_GB2312" w:hint="eastAsia"/>
            <w:sz w:val="30"/>
            <w:szCs w:val="30"/>
          </w:rPr>
          <w:fldChar w:fldCharType="separate"/>
        </w:r>
        <w:r>
          <w:rPr>
            <w:rFonts w:ascii="Times New Roman" w:eastAsia="仿宋_GB2312" w:hAnsi="Times New Roman" w:cs="仿宋_GB2312" w:hint="eastAsia"/>
            <w:sz w:val="30"/>
            <w:szCs w:val="30"/>
          </w:rPr>
          <w:t>10</w:t>
        </w:r>
        <w:r>
          <w:rPr>
            <w:rFonts w:ascii="Times New Roman" w:eastAsia="仿宋_GB2312" w:hAnsi="Times New Roman" w:cs="仿宋_GB2312" w:hint="eastAsia"/>
            <w:sz w:val="30"/>
            <w:szCs w:val="30"/>
          </w:rPr>
          <w:fldChar w:fldCharType="end"/>
        </w:r>
      </w:hyperlink>
    </w:p>
    <w:p w:rsidR="0078279A" w14:paraId="06FEB55E" w14:textId="77777777">
      <w:pPr>
        <w:pStyle w:val="TOC1"/>
        <w:tabs>
          <w:tab w:val="clear" w:pos="8296"/>
          <w:tab w:val="right" w:leader="dot" w:pos="8306"/>
        </w:tabs>
        <w:spacing w:after="0" w:line="700" w:lineRule="exact"/>
        <w:rPr>
          <w:rFonts w:ascii="Times New Roman" w:eastAsia="方正小标宋简体" w:hAnsi="Times New Roman"/>
          <w:sz w:val="30"/>
          <w:szCs w:val="30"/>
        </w:rPr>
      </w:pPr>
      <w:hyperlink w:anchor="_Toc24691" w:history="1">
        <w:r>
          <w:rPr>
            <w:rFonts w:ascii="Times New Roman" w:eastAsia="方正小标宋简体" w:hAnsi="Times New Roman" w:hint="eastAsia"/>
            <w:sz w:val="30"/>
            <w:szCs w:val="30"/>
          </w:rPr>
          <w:t>第四部分</w:t>
        </w:r>
        <w:r>
          <w:rPr>
            <w:rFonts w:ascii="Times New Roman" w:eastAsia="方正小标宋简体" w:hAnsi="Times New Roman" w:hint="eastAsia"/>
            <w:sz w:val="30"/>
            <w:szCs w:val="30"/>
          </w:rPr>
          <w:t xml:space="preserve">  </w:t>
        </w:r>
        <w:r>
          <w:rPr>
            <w:rFonts w:ascii="Times New Roman" w:eastAsia="方正小标宋简体" w:hAnsi="Times New Roman" w:hint="eastAsia"/>
            <w:sz w:val="30"/>
            <w:szCs w:val="30"/>
          </w:rPr>
          <w:t>名词解释</w:t>
        </w:r>
        <w:r>
          <w:rPr>
            <w:rFonts w:ascii="Times New Roman" w:eastAsia="方正小标宋简体" w:hAnsi="Times New Roman" w:hint="eastAsia"/>
            <w:sz w:val="30"/>
            <w:szCs w:val="30"/>
          </w:rPr>
          <w:tab/>
        </w:r>
        <w:r>
          <w:rPr>
            <w:rFonts w:ascii="Times New Roman" w:eastAsia="方正小标宋简体" w:hAnsi="Times New Roman" w:hint="eastAsia"/>
            <w:sz w:val="30"/>
            <w:szCs w:val="30"/>
          </w:rPr>
          <w:fldChar w:fldCharType="begin"/>
        </w:r>
        <w:r>
          <w:rPr>
            <w:rFonts w:ascii="Times New Roman" w:eastAsia="方正小标宋简体" w:hAnsi="Times New Roman" w:hint="eastAsia"/>
            <w:sz w:val="30"/>
            <w:szCs w:val="30"/>
          </w:rPr>
          <w:instrText xml:space="preserve"> PAGEREF _Toc24691 \h </w:instrText>
        </w:r>
        <w:r>
          <w:rPr>
            <w:rFonts w:ascii="Times New Roman" w:eastAsia="方正小标宋简体" w:hAnsi="Times New Roman" w:hint="eastAsia"/>
            <w:sz w:val="30"/>
            <w:szCs w:val="30"/>
          </w:rPr>
          <w:fldChar w:fldCharType="separate"/>
        </w:r>
        <w:r>
          <w:rPr>
            <w:rFonts w:ascii="Times New Roman" w:eastAsia="方正小标宋简体" w:hAnsi="Times New Roman" w:hint="eastAsia"/>
            <w:sz w:val="30"/>
            <w:szCs w:val="30"/>
          </w:rPr>
          <w:t>11</w:t>
        </w:r>
        <w:r>
          <w:rPr>
            <w:rFonts w:ascii="Times New Roman" w:eastAsia="方正小标宋简体" w:hAnsi="Times New Roman" w:hint="eastAsia"/>
            <w:sz w:val="30"/>
            <w:szCs w:val="30"/>
          </w:rPr>
          <w:fldChar w:fldCharType="end"/>
        </w:r>
      </w:hyperlink>
    </w:p>
    <w:p w:rsidR="0078279A" w14:paraId="74809184" w14:textId="77777777">
      <w:pPr>
        <w:pStyle w:val="TOC2"/>
        <w:tabs>
          <w:tab w:val="right" w:leader="dot" w:pos="8296"/>
        </w:tabs>
        <w:spacing w:after="0" w:line="700" w:lineRule="exact"/>
        <w:rPr>
          <w:rFonts w:ascii="Times New Roman" w:eastAsia="仿宋_GB2312" w:hAnsi="Times New Roman"/>
          <w:sz w:val="32"/>
          <w:szCs w:val="32"/>
        </w:rPr>
        <w:sectPr>
          <w:footerReference w:type="default" r:id="rId5"/>
          <w:pgSz w:w="11906" w:h="16838"/>
          <w:pgMar w:top="1440" w:right="1800" w:bottom="1440" w:left="1800" w:header="851" w:footer="992" w:gutter="0"/>
          <w:pgNumType w:start="1"/>
          <w:cols w:space="720"/>
          <w:docGrid w:type="lines" w:linePitch="312"/>
        </w:sectPr>
      </w:pPr>
      <w:r>
        <w:rPr>
          <w:rFonts w:ascii="Times New Roman" w:eastAsia="仿宋_GB2312" w:hAnsi="Times New Roman"/>
          <w:szCs w:val="30"/>
        </w:rPr>
        <w:fldChar w:fldCharType="end"/>
      </w:r>
    </w:p>
    <w:p w:rsidR="0078279A" w14:paraId="035B61E7" w14:textId="77777777"/>
    <w:p w:rsidR="0078279A" w14:paraId="63C79296" w14:textId="77777777">
      <w:pPr>
        <w:pStyle w:val="Heading1"/>
        <w:spacing w:before="0" w:after="0" w:line="600" w:lineRule="exact"/>
        <w:jc w:val="center"/>
        <w:rPr>
          <w:rFonts w:eastAsia="方正小标宋简体" w:cs="方正小标宋简体"/>
          <w:b w:val="0"/>
          <w:sz w:val="48"/>
          <w:szCs w:val="48"/>
        </w:rPr>
      </w:pPr>
    </w:p>
    <w:p w:rsidR="0078279A" w14:paraId="7A4F831E" w14:textId="77777777">
      <w:pPr>
        <w:pStyle w:val="Heading1"/>
        <w:spacing w:before="0" w:after="0" w:line="600" w:lineRule="exact"/>
        <w:jc w:val="center"/>
        <w:rPr>
          <w:rFonts w:eastAsia="方正小标宋简体" w:cs="方正小标宋简体"/>
          <w:b w:val="0"/>
        </w:rPr>
      </w:pPr>
      <w:bookmarkStart w:id="0" w:name="_Toc15895"/>
      <w:r>
        <w:rPr>
          <w:rFonts w:eastAsia="方正小标宋简体" w:cs="方正小标宋简体" w:hint="eastAsia"/>
          <w:b w:val="0"/>
        </w:rPr>
        <w:t>第一部分</w:t>
      </w:r>
      <w:r>
        <w:rPr>
          <w:rFonts w:eastAsia="方正小标宋简体" w:cs="方正小标宋简体" w:hint="eastAsia"/>
          <w:b w:val="0"/>
        </w:rPr>
        <w:t xml:space="preserve">  </w:t>
      </w:r>
      <w:r>
        <w:rPr>
          <w:rFonts w:eastAsia="方正小标宋简体" w:cs="方正小标宋简体" w:hint="eastAsia"/>
          <w:b w:val="0"/>
        </w:rPr>
        <w:t>概</w:t>
      </w:r>
      <w:r>
        <w:rPr>
          <w:rFonts w:eastAsia="方正小标宋简体" w:cs="方正小标宋简体" w:hint="eastAsia"/>
          <w:b w:val="0"/>
        </w:rPr>
        <w:t xml:space="preserve"> </w:t>
      </w:r>
      <w:r>
        <w:rPr>
          <w:rFonts w:eastAsia="方正小标宋简体" w:cs="方正小标宋简体" w:hint="eastAsia"/>
          <w:b w:val="0"/>
        </w:rPr>
        <w:t>况</w:t>
      </w:r>
      <w:bookmarkEnd w:id="0"/>
    </w:p>
    <w:p w:rsidR="0078279A" w14:paraId="5766150D" w14:textId="77777777">
      <w:pPr>
        <w:spacing w:line="600" w:lineRule="exact"/>
      </w:pPr>
    </w:p>
    <w:p w:rsidR="0078279A" w14:paraId="02427702" w14:textId="77777777">
      <w:pPr>
        <w:pStyle w:val="Heading2"/>
        <w:spacing w:before="0" w:after="0" w:line="600" w:lineRule="exact"/>
        <w:ind w:firstLine="600" w:firstLineChars="200"/>
        <w:rPr>
          <w:rFonts w:ascii="Times New Roman" w:eastAsia="黑体" w:hAnsi="Times New Roman"/>
          <w:b w:val="0"/>
          <w:bCs w:val="0"/>
          <w:sz w:val="30"/>
          <w:szCs w:val="30"/>
        </w:rPr>
      </w:pPr>
      <w:bookmarkStart w:id="1" w:name="_Toc28346"/>
      <w:r>
        <w:rPr>
          <w:rFonts w:ascii="Times New Roman" w:eastAsia="黑体" w:hAnsi="Times New Roman" w:hint="eastAsia"/>
          <w:b w:val="0"/>
          <w:bCs w:val="0"/>
          <w:sz w:val="30"/>
          <w:szCs w:val="30"/>
        </w:rPr>
        <w:t>一、主要职责</w:t>
      </w:r>
      <w:bookmarkEnd w:id="1"/>
    </w:p>
    <w:p w:rsidR="0078279A" w14:paraId="4ADC2EB0" w14:textId="77777777">
      <w:pPr>
        <w:spacing w:line="600" w:lineRule="exact"/>
        <w:ind w:firstLine="600" w:firstLineChars="200"/>
        <w:jc w:val="both"/>
        <w:rPr>
          <w:rFonts w:eastAsia="仿宋_GB2312"/>
          <w:sz w:val="30"/>
          <w:szCs w:val="30"/>
        </w:rPr>
      </w:pPr>
      <w:r>
        <w:rPr>
          <w:rFonts w:eastAsia="仿宋_GB2312" w:hint="eastAsia"/>
          <w:sz w:val="30"/>
          <w:szCs w:val="30"/>
        </w:rPr>
        <w:t>为量值准确提供测试实验检定保障。工作计量器具强制检定，工作计量器具检定测试与校准，计量技术咨询，计量技术服务，计量技术人员技术培训。</w:t>
      </w:r>
    </w:p>
    <w:p w:rsidR="0078279A" w14:paraId="7BF80129" w14:textId="77777777">
      <w:pPr>
        <w:pStyle w:val="Heading2"/>
        <w:spacing w:before="0" w:after="0" w:line="600" w:lineRule="exact"/>
        <w:ind w:firstLine="600" w:firstLineChars="200"/>
        <w:rPr>
          <w:rFonts w:ascii="Times New Roman" w:eastAsia="黑体" w:hAnsi="Times New Roman"/>
          <w:b w:val="0"/>
          <w:bCs w:val="0"/>
          <w:sz w:val="30"/>
          <w:szCs w:val="30"/>
        </w:rPr>
      </w:pPr>
      <w:bookmarkStart w:id="2" w:name="_Toc25737"/>
      <w:r>
        <w:rPr>
          <w:rFonts w:ascii="Times New Roman" w:eastAsia="黑体" w:hAnsi="Times New Roman" w:hint="eastAsia"/>
          <w:b w:val="0"/>
          <w:bCs w:val="0"/>
          <w:sz w:val="30"/>
          <w:szCs w:val="30"/>
        </w:rPr>
        <w:t>二、机构设置</w:t>
      </w:r>
      <w:bookmarkEnd w:id="2"/>
    </w:p>
    <w:p w:rsidR="0078279A" w14:paraId="74516FF6" w14:textId="77777777">
      <w:pPr>
        <w:spacing w:line="600" w:lineRule="exact"/>
        <w:ind w:firstLine="600" w:firstLineChars="200"/>
        <w:rPr>
          <w:rFonts w:eastAsia="楷体_GB2312"/>
          <w:b/>
          <w:sz w:val="30"/>
          <w:szCs w:val="30"/>
        </w:rPr>
      </w:pPr>
      <w:r>
        <w:rPr>
          <w:rFonts w:eastAsia="仿宋_GB2312" w:hint="eastAsia"/>
          <w:sz w:val="30"/>
          <w:szCs w:val="30"/>
        </w:rPr>
        <w:t>天津市河北区计量检定所</w:t>
      </w:r>
      <w:r>
        <w:rPr>
          <w:rFonts w:eastAsia="仿宋_GB2312" w:hint="eastAsia"/>
          <w:sz w:val="30"/>
          <w:szCs w:val="30"/>
        </w:rPr>
        <w:t>内设</w:t>
      </w:r>
      <w:r>
        <w:rPr>
          <w:rFonts w:eastAsia="仿宋_GB2312" w:hint="eastAsia"/>
          <w:sz w:val="30"/>
          <w:szCs w:val="30"/>
        </w:rPr>
        <w:t>0</w:t>
      </w:r>
      <w:r>
        <w:rPr>
          <w:rFonts w:eastAsia="仿宋_GB2312" w:hint="eastAsia"/>
          <w:sz w:val="30"/>
          <w:szCs w:val="30"/>
        </w:rPr>
        <w:t>个职能科室</w:t>
      </w:r>
      <w:r>
        <w:rPr>
          <w:rFonts w:eastAsia="仿宋_GB2312" w:hint="eastAsia"/>
          <w:sz w:val="30"/>
          <w:szCs w:val="30"/>
        </w:rPr>
        <w:t xml:space="preserve">。 </w:t>
      </w:r>
      <w:r>
        <w:rPr>
          <w:rFonts w:eastAsia="楷体_GB2312"/>
          <w:b/>
          <w:sz w:val="30"/>
          <w:szCs w:val="30"/>
        </w:rPr>
        <w:br w:type="page"/>
      </w:r>
    </w:p>
    <w:p w:rsidR="0078279A" w14:paraId="73412A1F" w14:textId="77777777">
      <w:pPr>
        <w:pStyle w:val="Heading1"/>
        <w:spacing w:before="0" w:after="0" w:line="600" w:lineRule="exact"/>
        <w:jc w:val="center"/>
        <w:rPr>
          <w:rFonts w:eastAsia="方正小标宋简体" w:cs="方正小标宋简体"/>
          <w:b w:val="0"/>
        </w:rPr>
      </w:pPr>
      <w:bookmarkStart w:id="3" w:name="_Toc25448"/>
      <w:r>
        <w:rPr>
          <w:rFonts w:eastAsia="方正小标宋简体" w:cs="方正小标宋简体"/>
          <w:b w:val="0"/>
        </w:rPr>
        <w:t>第</w:t>
      </w:r>
      <w:r>
        <w:rPr>
          <w:rFonts w:eastAsia="方正小标宋简体" w:cs="方正小标宋简体" w:hint="eastAsia"/>
          <w:b w:val="0"/>
        </w:rPr>
        <w:t>二</w:t>
      </w:r>
      <w:r>
        <w:rPr>
          <w:rFonts w:eastAsia="方正小标宋简体" w:cs="方正小标宋简体"/>
          <w:b w:val="0"/>
        </w:rPr>
        <w:t>部分</w:t>
      </w:r>
      <w:r>
        <w:rPr>
          <w:rFonts w:eastAsia="方正小标宋简体" w:cs="方正小标宋简体"/>
          <w:b w:val="0"/>
        </w:rPr>
        <w:t xml:space="preserve">  </w:t>
      </w:r>
      <w:r>
        <w:rPr>
          <w:rFonts w:eastAsia="方正小标宋简体" w:cs="方正小标宋简体" w:hint="eastAsia"/>
          <w:b w:val="0"/>
        </w:rPr>
        <w:t>2024</w:t>
      </w:r>
      <w:r>
        <w:rPr>
          <w:rFonts w:eastAsia="方正小标宋简体" w:cs="方正小标宋简体"/>
          <w:b w:val="0"/>
        </w:rPr>
        <w:t>年度部门决算</w:t>
      </w:r>
      <w:r>
        <w:rPr>
          <w:rFonts w:eastAsia="方正小标宋简体" w:cs="方正小标宋简体" w:hint="eastAsia"/>
          <w:b w:val="0"/>
        </w:rPr>
        <w:t>表</w:t>
      </w:r>
      <w:bookmarkEnd w:id="3"/>
    </w:p>
    <w:p w:rsidR="0078279A" w14:paraId="25F9EDE9" w14:textId="77777777">
      <w:pPr>
        <w:spacing w:line="600" w:lineRule="exact"/>
      </w:pPr>
    </w:p>
    <w:p w:rsidR="0078279A" w14:paraId="0028C6DC" w14:textId="77777777">
      <w:pPr>
        <w:pStyle w:val="Heading2"/>
        <w:spacing w:before="0" w:after="0" w:line="800" w:lineRule="exact"/>
        <w:ind w:firstLine="600" w:firstLineChars="200"/>
        <w:rPr>
          <w:rFonts w:ascii="Times New Roman" w:eastAsia="黑体" w:hAnsi="Times New Roman"/>
          <w:b w:val="0"/>
          <w:sz w:val="30"/>
          <w:szCs w:val="30"/>
        </w:rPr>
      </w:pPr>
      <w:bookmarkStart w:id="4" w:name="_Toc8089"/>
      <w:r>
        <w:rPr>
          <w:rFonts w:ascii="Times New Roman" w:eastAsia="黑体" w:hAnsi="Times New Roman"/>
          <w:b w:val="0"/>
          <w:sz w:val="30"/>
          <w:szCs w:val="30"/>
        </w:rPr>
        <w:t>一</w:t>
      </w:r>
      <w:r>
        <w:rPr>
          <w:rFonts w:ascii="Times New Roman" w:eastAsia="黑体" w:hAnsi="Times New Roman" w:hint="eastAsia"/>
          <w:b w:val="0"/>
          <w:sz w:val="30"/>
          <w:szCs w:val="30"/>
        </w:rPr>
        <w:t>、</w:t>
      </w:r>
      <w:r>
        <w:rPr>
          <w:rFonts w:ascii="Times New Roman" w:eastAsia="黑体" w:hAnsi="Times New Roman"/>
          <w:b w:val="0"/>
          <w:sz w:val="30"/>
          <w:szCs w:val="30"/>
        </w:rPr>
        <w:t>《</w:t>
      </w:r>
      <w:r>
        <w:rPr>
          <w:rFonts w:ascii="Times New Roman" w:eastAsia="黑体" w:hAnsi="Times New Roman" w:hint="eastAsia"/>
          <w:b w:val="0"/>
          <w:sz w:val="30"/>
          <w:szCs w:val="30"/>
        </w:rPr>
        <w:t>收入</w:t>
      </w:r>
      <w:r>
        <w:rPr>
          <w:rFonts w:ascii="Times New Roman" w:eastAsia="黑体" w:hAnsi="Times New Roman"/>
          <w:b w:val="0"/>
          <w:sz w:val="30"/>
          <w:szCs w:val="30"/>
        </w:rPr>
        <w:t>支出</w:t>
      </w:r>
      <w:r>
        <w:rPr>
          <w:rFonts w:ascii="Times New Roman" w:eastAsia="黑体" w:hAnsi="Times New Roman" w:hint="eastAsia"/>
          <w:b w:val="0"/>
          <w:sz w:val="30"/>
          <w:szCs w:val="30"/>
        </w:rPr>
        <w:t>决算总</w:t>
      </w:r>
      <w:r>
        <w:rPr>
          <w:rFonts w:ascii="Times New Roman" w:eastAsia="黑体" w:hAnsi="Times New Roman"/>
          <w:b w:val="0"/>
          <w:sz w:val="30"/>
          <w:szCs w:val="30"/>
        </w:rPr>
        <w:t>表》</w:t>
      </w:r>
      <w:bookmarkEnd w:id="4"/>
    </w:p>
    <w:p w:rsidR="0078279A" w14:paraId="376196C7" w14:textId="77777777">
      <w:pPr>
        <w:pStyle w:val="Heading2"/>
        <w:spacing w:before="0" w:after="0" w:line="800" w:lineRule="exact"/>
        <w:ind w:firstLine="600" w:firstLineChars="200"/>
        <w:rPr>
          <w:rFonts w:ascii="Times New Roman" w:eastAsia="黑体" w:hAnsi="Times New Roman"/>
          <w:b w:val="0"/>
          <w:sz w:val="30"/>
          <w:szCs w:val="30"/>
        </w:rPr>
      </w:pPr>
      <w:bookmarkStart w:id="5" w:name="_Toc29574"/>
      <w:r>
        <w:rPr>
          <w:rFonts w:ascii="Times New Roman" w:eastAsia="黑体" w:hAnsi="Times New Roman"/>
          <w:b w:val="0"/>
          <w:sz w:val="30"/>
          <w:szCs w:val="30"/>
        </w:rPr>
        <w:t>二、《收入</w:t>
      </w:r>
      <w:r>
        <w:rPr>
          <w:rFonts w:ascii="Times New Roman" w:eastAsia="黑体" w:hAnsi="Times New Roman" w:hint="eastAsia"/>
          <w:b w:val="0"/>
          <w:sz w:val="30"/>
          <w:szCs w:val="30"/>
        </w:rPr>
        <w:t>决算</w:t>
      </w:r>
      <w:r>
        <w:rPr>
          <w:rFonts w:ascii="Times New Roman" w:eastAsia="黑体" w:hAnsi="Times New Roman"/>
          <w:b w:val="0"/>
          <w:sz w:val="30"/>
          <w:szCs w:val="30"/>
        </w:rPr>
        <w:t>表</w:t>
      </w:r>
      <w:r>
        <w:rPr>
          <w:rFonts w:ascii="Times New Roman" w:eastAsia="黑体" w:hAnsi="Times New Roman" w:hint="eastAsia"/>
          <w:b w:val="0"/>
          <w:sz w:val="30"/>
          <w:szCs w:val="30"/>
        </w:rPr>
        <w:t>（按功能分类列示）</w:t>
      </w:r>
      <w:r>
        <w:rPr>
          <w:rFonts w:ascii="Times New Roman" w:eastAsia="黑体" w:hAnsi="Times New Roman"/>
          <w:b w:val="0"/>
          <w:sz w:val="30"/>
          <w:szCs w:val="30"/>
        </w:rPr>
        <w:t>》</w:t>
      </w:r>
      <w:bookmarkEnd w:id="5"/>
    </w:p>
    <w:p w:rsidR="0078279A" w14:paraId="35E21441" w14:textId="77777777">
      <w:pPr>
        <w:pStyle w:val="Heading2"/>
        <w:spacing w:before="0" w:after="0" w:line="800" w:lineRule="exact"/>
        <w:ind w:firstLine="600" w:firstLineChars="200"/>
        <w:rPr>
          <w:rFonts w:ascii="Times New Roman" w:eastAsia="黑体" w:hAnsi="Times New Roman"/>
          <w:b w:val="0"/>
          <w:sz w:val="30"/>
          <w:szCs w:val="30"/>
        </w:rPr>
      </w:pPr>
      <w:bookmarkStart w:id="6" w:name="_Toc1392"/>
      <w:r>
        <w:rPr>
          <w:rFonts w:ascii="Times New Roman" w:eastAsia="黑体" w:hAnsi="Times New Roman" w:hint="eastAsia"/>
          <w:b w:val="0"/>
          <w:sz w:val="30"/>
          <w:szCs w:val="30"/>
        </w:rPr>
        <w:t>三</w:t>
      </w:r>
      <w:r>
        <w:rPr>
          <w:rFonts w:ascii="Times New Roman" w:eastAsia="黑体" w:hAnsi="Times New Roman"/>
          <w:b w:val="0"/>
          <w:sz w:val="30"/>
          <w:szCs w:val="30"/>
        </w:rPr>
        <w:t>、《收入</w:t>
      </w:r>
      <w:r>
        <w:rPr>
          <w:rFonts w:ascii="Times New Roman" w:eastAsia="黑体" w:hAnsi="Times New Roman" w:hint="eastAsia"/>
          <w:b w:val="0"/>
          <w:sz w:val="30"/>
          <w:szCs w:val="30"/>
        </w:rPr>
        <w:t>决算</w:t>
      </w:r>
      <w:r>
        <w:rPr>
          <w:rFonts w:ascii="Times New Roman" w:eastAsia="黑体" w:hAnsi="Times New Roman"/>
          <w:b w:val="0"/>
          <w:sz w:val="30"/>
          <w:szCs w:val="30"/>
        </w:rPr>
        <w:t>表</w:t>
      </w:r>
      <w:r>
        <w:rPr>
          <w:rFonts w:ascii="Times New Roman" w:eastAsia="黑体" w:hAnsi="Times New Roman" w:hint="eastAsia"/>
          <w:b w:val="0"/>
          <w:sz w:val="30"/>
          <w:szCs w:val="30"/>
        </w:rPr>
        <w:t>（按单位列示）</w:t>
      </w:r>
      <w:r>
        <w:rPr>
          <w:rFonts w:ascii="Times New Roman" w:eastAsia="黑体" w:hAnsi="Times New Roman"/>
          <w:b w:val="0"/>
          <w:sz w:val="30"/>
          <w:szCs w:val="30"/>
        </w:rPr>
        <w:t>》</w:t>
      </w:r>
      <w:bookmarkEnd w:id="6"/>
    </w:p>
    <w:p w:rsidR="0078279A" w14:paraId="3D2FE02C" w14:textId="77777777">
      <w:pPr>
        <w:pStyle w:val="Heading2"/>
        <w:spacing w:before="0" w:after="0" w:line="800" w:lineRule="exact"/>
        <w:ind w:firstLine="600" w:firstLineChars="200"/>
        <w:rPr>
          <w:rFonts w:ascii="Times New Roman" w:eastAsia="黑体" w:hAnsi="Times New Roman"/>
          <w:b w:val="0"/>
          <w:sz w:val="30"/>
          <w:szCs w:val="30"/>
        </w:rPr>
      </w:pPr>
      <w:bookmarkStart w:id="7" w:name="_Toc28946"/>
      <w:r>
        <w:rPr>
          <w:rFonts w:ascii="Times New Roman" w:eastAsia="黑体" w:hAnsi="Times New Roman" w:hint="eastAsia"/>
          <w:b w:val="0"/>
          <w:sz w:val="30"/>
          <w:szCs w:val="30"/>
        </w:rPr>
        <w:t>四、</w:t>
      </w:r>
      <w:r>
        <w:rPr>
          <w:rFonts w:ascii="Times New Roman" w:eastAsia="黑体" w:hAnsi="Times New Roman"/>
          <w:b w:val="0"/>
          <w:sz w:val="30"/>
          <w:szCs w:val="30"/>
        </w:rPr>
        <w:t>《支出</w:t>
      </w:r>
      <w:r>
        <w:rPr>
          <w:rFonts w:ascii="Times New Roman" w:eastAsia="黑体" w:hAnsi="Times New Roman" w:hint="eastAsia"/>
          <w:b w:val="0"/>
          <w:sz w:val="30"/>
          <w:szCs w:val="30"/>
        </w:rPr>
        <w:t>决算</w:t>
      </w:r>
      <w:r>
        <w:rPr>
          <w:rFonts w:ascii="Times New Roman" w:eastAsia="黑体" w:hAnsi="Times New Roman"/>
          <w:b w:val="0"/>
          <w:sz w:val="30"/>
          <w:szCs w:val="30"/>
        </w:rPr>
        <w:t>表》</w:t>
      </w:r>
      <w:bookmarkEnd w:id="7"/>
    </w:p>
    <w:p w:rsidR="0078279A" w14:paraId="70B7DAAA" w14:textId="77777777">
      <w:pPr>
        <w:pStyle w:val="Heading2"/>
        <w:spacing w:before="0" w:after="0" w:line="800" w:lineRule="exact"/>
        <w:ind w:firstLine="600" w:firstLineChars="200"/>
        <w:rPr>
          <w:rFonts w:ascii="Times New Roman" w:eastAsia="黑体" w:hAnsi="Times New Roman"/>
          <w:b w:val="0"/>
          <w:sz w:val="30"/>
          <w:szCs w:val="30"/>
        </w:rPr>
      </w:pPr>
      <w:bookmarkStart w:id="8" w:name="_Toc10939"/>
      <w:r>
        <w:rPr>
          <w:rFonts w:ascii="Times New Roman" w:eastAsia="黑体" w:hAnsi="Times New Roman"/>
          <w:b w:val="0"/>
          <w:sz w:val="30"/>
          <w:szCs w:val="30"/>
        </w:rPr>
        <w:t>五</w:t>
      </w:r>
      <w:r>
        <w:rPr>
          <w:rFonts w:ascii="Times New Roman" w:eastAsia="黑体" w:hAnsi="Times New Roman" w:hint="eastAsia"/>
          <w:b w:val="0"/>
          <w:sz w:val="30"/>
          <w:szCs w:val="30"/>
        </w:rPr>
        <w:t>、</w:t>
      </w:r>
      <w:r>
        <w:rPr>
          <w:rFonts w:ascii="Times New Roman" w:eastAsia="黑体" w:hAnsi="Times New Roman"/>
          <w:b w:val="0"/>
          <w:sz w:val="30"/>
          <w:szCs w:val="30"/>
        </w:rPr>
        <w:t>《财政拨款</w:t>
      </w:r>
      <w:r>
        <w:rPr>
          <w:rFonts w:ascii="Times New Roman" w:eastAsia="黑体" w:hAnsi="Times New Roman" w:hint="eastAsia"/>
          <w:b w:val="0"/>
          <w:sz w:val="30"/>
          <w:szCs w:val="30"/>
        </w:rPr>
        <w:t>收入</w:t>
      </w:r>
      <w:r>
        <w:rPr>
          <w:rFonts w:ascii="Times New Roman" w:eastAsia="黑体" w:hAnsi="Times New Roman"/>
          <w:b w:val="0"/>
          <w:sz w:val="30"/>
          <w:szCs w:val="30"/>
        </w:rPr>
        <w:t>支出</w:t>
      </w:r>
      <w:r>
        <w:rPr>
          <w:rFonts w:ascii="Times New Roman" w:eastAsia="黑体" w:hAnsi="Times New Roman" w:hint="eastAsia"/>
          <w:b w:val="0"/>
          <w:sz w:val="30"/>
          <w:szCs w:val="30"/>
        </w:rPr>
        <w:t>决算总</w:t>
      </w:r>
      <w:r>
        <w:rPr>
          <w:rFonts w:ascii="Times New Roman" w:eastAsia="黑体" w:hAnsi="Times New Roman"/>
          <w:b w:val="0"/>
          <w:sz w:val="30"/>
          <w:szCs w:val="30"/>
        </w:rPr>
        <w:t>表》</w:t>
      </w:r>
      <w:bookmarkEnd w:id="8"/>
    </w:p>
    <w:p w:rsidR="0078279A" w14:paraId="584C8E10" w14:textId="77777777">
      <w:pPr>
        <w:pStyle w:val="Heading2"/>
        <w:spacing w:before="0" w:after="0" w:line="800" w:lineRule="exact"/>
        <w:ind w:firstLine="600" w:firstLineChars="200"/>
        <w:rPr>
          <w:rFonts w:ascii="Times New Roman" w:eastAsia="黑体" w:hAnsi="Times New Roman"/>
          <w:b w:val="0"/>
          <w:sz w:val="30"/>
          <w:szCs w:val="30"/>
        </w:rPr>
      </w:pPr>
      <w:bookmarkStart w:id="9" w:name="_Toc9732"/>
      <w:r>
        <w:rPr>
          <w:rFonts w:ascii="Times New Roman" w:eastAsia="黑体" w:hAnsi="Times New Roman"/>
          <w:b w:val="0"/>
          <w:sz w:val="30"/>
          <w:szCs w:val="30"/>
        </w:rPr>
        <w:t>六</w:t>
      </w:r>
      <w:r>
        <w:rPr>
          <w:rFonts w:ascii="Times New Roman" w:eastAsia="黑体" w:hAnsi="Times New Roman" w:hint="eastAsia"/>
          <w:b w:val="0"/>
          <w:sz w:val="30"/>
          <w:szCs w:val="30"/>
        </w:rPr>
        <w:t>、</w:t>
      </w:r>
      <w:r>
        <w:rPr>
          <w:rFonts w:ascii="Times New Roman" w:eastAsia="黑体" w:hAnsi="Times New Roman"/>
          <w:b w:val="0"/>
          <w:sz w:val="30"/>
          <w:szCs w:val="30"/>
        </w:rPr>
        <w:t>《一般公共预算财政拨款支出</w:t>
      </w:r>
      <w:r>
        <w:rPr>
          <w:rFonts w:ascii="Times New Roman" w:eastAsia="黑体" w:hAnsi="Times New Roman" w:hint="eastAsia"/>
          <w:b w:val="0"/>
          <w:sz w:val="30"/>
          <w:szCs w:val="30"/>
        </w:rPr>
        <w:t>决算</w:t>
      </w:r>
      <w:r>
        <w:rPr>
          <w:rFonts w:ascii="Times New Roman" w:eastAsia="黑体" w:hAnsi="Times New Roman"/>
          <w:b w:val="0"/>
          <w:sz w:val="30"/>
          <w:szCs w:val="30"/>
        </w:rPr>
        <w:t>表》</w:t>
      </w:r>
      <w:bookmarkEnd w:id="9"/>
    </w:p>
    <w:p w:rsidR="0078279A" w14:paraId="0BF2E1A5" w14:textId="77777777">
      <w:pPr>
        <w:pStyle w:val="Heading2"/>
        <w:spacing w:before="0" w:after="0" w:line="800" w:lineRule="exact"/>
        <w:ind w:firstLine="600" w:firstLineChars="200"/>
        <w:rPr>
          <w:rFonts w:ascii="Times New Roman" w:eastAsia="黑体" w:hAnsi="Times New Roman"/>
          <w:b w:val="0"/>
          <w:sz w:val="30"/>
          <w:szCs w:val="30"/>
        </w:rPr>
      </w:pPr>
      <w:bookmarkStart w:id="10" w:name="_Toc8588"/>
      <w:r>
        <w:rPr>
          <w:rFonts w:ascii="Times New Roman" w:eastAsia="黑体" w:hAnsi="Times New Roman"/>
          <w:b w:val="0"/>
          <w:sz w:val="30"/>
          <w:szCs w:val="30"/>
        </w:rPr>
        <w:t>七</w:t>
      </w:r>
      <w:r>
        <w:rPr>
          <w:rFonts w:ascii="Times New Roman" w:eastAsia="黑体" w:hAnsi="Times New Roman" w:hint="eastAsia"/>
          <w:b w:val="0"/>
          <w:sz w:val="30"/>
          <w:szCs w:val="30"/>
        </w:rPr>
        <w:t>、</w:t>
      </w:r>
      <w:r>
        <w:rPr>
          <w:rFonts w:ascii="Times New Roman" w:eastAsia="黑体" w:hAnsi="Times New Roman"/>
          <w:b w:val="0"/>
          <w:sz w:val="30"/>
          <w:szCs w:val="30"/>
        </w:rPr>
        <w:t>《一般公共预算财政拨款基本支出</w:t>
      </w:r>
      <w:r>
        <w:rPr>
          <w:rFonts w:ascii="Times New Roman" w:eastAsia="黑体" w:hAnsi="Times New Roman" w:hint="eastAsia"/>
          <w:b w:val="0"/>
          <w:sz w:val="30"/>
          <w:szCs w:val="30"/>
        </w:rPr>
        <w:t>决算</w:t>
      </w:r>
      <w:r>
        <w:rPr>
          <w:rFonts w:ascii="Times New Roman" w:eastAsia="黑体" w:hAnsi="Times New Roman"/>
          <w:b w:val="0"/>
          <w:sz w:val="30"/>
          <w:szCs w:val="30"/>
        </w:rPr>
        <w:t>表》</w:t>
      </w:r>
      <w:bookmarkEnd w:id="10"/>
    </w:p>
    <w:p w:rsidR="0078279A" w14:paraId="7FC724A5" w14:textId="77777777">
      <w:pPr>
        <w:pStyle w:val="Heading2"/>
        <w:spacing w:before="0" w:after="0" w:line="800" w:lineRule="exact"/>
        <w:ind w:firstLine="600" w:firstLineChars="200"/>
        <w:rPr>
          <w:rFonts w:ascii="Times New Roman" w:eastAsia="黑体" w:hAnsi="Times New Roman"/>
          <w:b w:val="0"/>
          <w:sz w:val="30"/>
          <w:szCs w:val="30"/>
        </w:rPr>
      </w:pPr>
      <w:bookmarkStart w:id="11" w:name="_Toc29750"/>
      <w:r>
        <w:rPr>
          <w:rFonts w:ascii="Times New Roman" w:eastAsia="黑体" w:hAnsi="Times New Roman" w:hint="eastAsia"/>
          <w:b w:val="0"/>
          <w:sz w:val="30"/>
          <w:szCs w:val="30"/>
        </w:rPr>
        <w:t>八、</w:t>
      </w:r>
      <w:r>
        <w:rPr>
          <w:rFonts w:ascii="Times New Roman" w:eastAsia="黑体" w:hAnsi="Times New Roman"/>
          <w:b w:val="0"/>
          <w:sz w:val="30"/>
          <w:szCs w:val="30"/>
        </w:rPr>
        <w:t>《政府性基金预算财政拨款</w:t>
      </w:r>
      <w:r>
        <w:rPr>
          <w:rFonts w:ascii="Times New Roman" w:eastAsia="黑体" w:hAnsi="Times New Roman" w:hint="eastAsia"/>
          <w:b w:val="0"/>
          <w:sz w:val="30"/>
          <w:szCs w:val="30"/>
        </w:rPr>
        <w:t>收入</w:t>
      </w:r>
      <w:r>
        <w:rPr>
          <w:rFonts w:ascii="Times New Roman" w:eastAsia="黑体" w:hAnsi="Times New Roman"/>
          <w:b w:val="0"/>
          <w:sz w:val="30"/>
          <w:szCs w:val="30"/>
        </w:rPr>
        <w:t>支出</w:t>
      </w:r>
      <w:r>
        <w:rPr>
          <w:rFonts w:ascii="Times New Roman" w:eastAsia="黑体" w:hAnsi="Times New Roman" w:hint="eastAsia"/>
          <w:b w:val="0"/>
          <w:sz w:val="30"/>
          <w:szCs w:val="30"/>
        </w:rPr>
        <w:t>决算</w:t>
      </w:r>
      <w:r>
        <w:rPr>
          <w:rFonts w:ascii="Times New Roman" w:eastAsia="黑体" w:hAnsi="Times New Roman"/>
          <w:b w:val="0"/>
          <w:sz w:val="30"/>
          <w:szCs w:val="30"/>
        </w:rPr>
        <w:t>表》</w:t>
      </w:r>
      <w:bookmarkEnd w:id="11"/>
    </w:p>
    <w:p w:rsidR="0078279A" w14:paraId="15D5C681" w14:textId="77777777">
      <w:pPr>
        <w:pStyle w:val="Heading2"/>
        <w:spacing w:before="0" w:after="0" w:line="800" w:lineRule="exact"/>
        <w:ind w:firstLine="600" w:firstLineChars="200"/>
        <w:rPr>
          <w:rFonts w:ascii="Times New Roman" w:eastAsia="黑体" w:hAnsi="Times New Roman"/>
          <w:b w:val="0"/>
          <w:sz w:val="30"/>
          <w:szCs w:val="30"/>
        </w:rPr>
      </w:pPr>
      <w:bookmarkStart w:id="12" w:name="_Toc17443"/>
      <w:r>
        <w:rPr>
          <w:rFonts w:ascii="Times New Roman" w:eastAsia="黑体" w:hAnsi="Times New Roman" w:hint="eastAsia"/>
          <w:b w:val="0"/>
          <w:sz w:val="30"/>
          <w:szCs w:val="30"/>
        </w:rPr>
        <w:t>九、</w:t>
      </w:r>
      <w:r>
        <w:rPr>
          <w:rFonts w:ascii="Times New Roman" w:eastAsia="黑体" w:hAnsi="Times New Roman"/>
          <w:b w:val="0"/>
          <w:sz w:val="30"/>
          <w:szCs w:val="30"/>
        </w:rPr>
        <w:t>《国有资本经营预算财政拨款</w:t>
      </w:r>
      <w:r>
        <w:rPr>
          <w:rFonts w:ascii="Times New Roman" w:eastAsia="黑体" w:hAnsi="Times New Roman" w:hint="eastAsia"/>
          <w:b w:val="0"/>
          <w:sz w:val="30"/>
          <w:szCs w:val="30"/>
        </w:rPr>
        <w:t>收入支出决算</w:t>
      </w:r>
      <w:r>
        <w:rPr>
          <w:rFonts w:ascii="Times New Roman" w:eastAsia="黑体" w:hAnsi="Times New Roman"/>
          <w:b w:val="0"/>
          <w:sz w:val="30"/>
          <w:szCs w:val="30"/>
        </w:rPr>
        <w:t>表》</w:t>
      </w:r>
      <w:bookmarkEnd w:id="12"/>
    </w:p>
    <w:p w:rsidR="0078279A" w14:paraId="452D0061" w14:textId="77777777">
      <w:pPr>
        <w:pStyle w:val="Heading2"/>
        <w:spacing w:before="0" w:after="0" w:line="800" w:lineRule="exact"/>
        <w:ind w:firstLine="600" w:firstLineChars="200"/>
        <w:rPr>
          <w:rFonts w:ascii="Times New Roman" w:eastAsia="黑体" w:hAnsi="Times New Roman"/>
          <w:b w:val="0"/>
          <w:sz w:val="30"/>
          <w:szCs w:val="30"/>
        </w:rPr>
      </w:pPr>
      <w:bookmarkStart w:id="13" w:name="_Toc30096"/>
      <w:r>
        <w:rPr>
          <w:rFonts w:ascii="Times New Roman" w:eastAsia="黑体" w:hAnsi="Times New Roman" w:hint="eastAsia"/>
          <w:b w:val="0"/>
          <w:sz w:val="30"/>
          <w:szCs w:val="30"/>
        </w:rPr>
        <w:t>十、</w:t>
      </w:r>
      <w:r>
        <w:rPr>
          <w:rFonts w:ascii="Times New Roman" w:eastAsia="黑体" w:hAnsi="Times New Roman"/>
          <w:b w:val="0"/>
          <w:sz w:val="30"/>
          <w:szCs w:val="30"/>
        </w:rPr>
        <w:t>《财政拨款</w:t>
      </w:r>
      <w:r>
        <w:rPr>
          <w:rFonts w:ascii="Times New Roman" w:eastAsia="黑体" w:hAnsi="Times New Roman"/>
          <w:b w:val="0"/>
          <w:sz w:val="30"/>
          <w:szCs w:val="30"/>
        </w:rPr>
        <w:t>“</w:t>
      </w:r>
      <w:r>
        <w:rPr>
          <w:rFonts w:ascii="Times New Roman" w:eastAsia="黑体" w:hAnsi="Times New Roman"/>
          <w:b w:val="0"/>
          <w:sz w:val="30"/>
          <w:szCs w:val="30"/>
        </w:rPr>
        <w:t>三公</w:t>
      </w:r>
      <w:r>
        <w:rPr>
          <w:rFonts w:ascii="Times New Roman" w:eastAsia="黑体" w:hAnsi="Times New Roman"/>
          <w:b w:val="0"/>
          <w:sz w:val="30"/>
          <w:szCs w:val="30"/>
        </w:rPr>
        <w:t>”</w:t>
      </w:r>
      <w:r>
        <w:rPr>
          <w:rFonts w:ascii="Times New Roman" w:eastAsia="黑体" w:hAnsi="Times New Roman"/>
          <w:b w:val="0"/>
          <w:sz w:val="30"/>
          <w:szCs w:val="30"/>
        </w:rPr>
        <w:t>经费支出</w:t>
      </w:r>
      <w:r>
        <w:rPr>
          <w:rFonts w:ascii="Times New Roman" w:eastAsia="黑体" w:hAnsi="Times New Roman" w:hint="eastAsia"/>
          <w:b w:val="0"/>
          <w:sz w:val="30"/>
          <w:szCs w:val="30"/>
        </w:rPr>
        <w:t>决算</w:t>
      </w:r>
      <w:r>
        <w:rPr>
          <w:rFonts w:ascii="Times New Roman" w:eastAsia="黑体" w:hAnsi="Times New Roman"/>
          <w:b w:val="0"/>
          <w:sz w:val="30"/>
          <w:szCs w:val="30"/>
        </w:rPr>
        <w:t>表》</w:t>
      </w:r>
      <w:bookmarkEnd w:id="13"/>
    </w:p>
    <w:p w:rsidR="0078279A" w14:paraId="6A7467F2" w14:textId="77777777">
      <w:pPr>
        <w:pStyle w:val="Heading2"/>
        <w:spacing w:before="0" w:after="0" w:line="800" w:lineRule="exact"/>
        <w:ind w:firstLine="600" w:firstLineChars="200"/>
        <w:rPr>
          <w:rFonts w:ascii="Times New Roman" w:eastAsia="黑体" w:hAnsi="Times New Roman"/>
          <w:b w:val="0"/>
          <w:sz w:val="30"/>
          <w:szCs w:val="30"/>
        </w:rPr>
      </w:pPr>
      <w:bookmarkStart w:id="14" w:name="_Toc21214"/>
      <w:r>
        <w:rPr>
          <w:rFonts w:ascii="Times New Roman" w:eastAsia="黑体" w:hAnsi="Times New Roman"/>
          <w:b w:val="0"/>
          <w:sz w:val="30"/>
          <w:szCs w:val="30"/>
        </w:rPr>
        <w:t>十</w:t>
      </w:r>
      <w:r>
        <w:rPr>
          <w:rFonts w:ascii="Times New Roman" w:eastAsia="黑体" w:hAnsi="Times New Roman" w:hint="eastAsia"/>
          <w:b w:val="0"/>
          <w:sz w:val="30"/>
          <w:szCs w:val="30"/>
        </w:rPr>
        <w:t>一、</w:t>
      </w:r>
      <w:r>
        <w:rPr>
          <w:rFonts w:ascii="Times New Roman" w:eastAsia="黑体" w:hAnsi="Times New Roman"/>
          <w:b w:val="0"/>
          <w:sz w:val="30"/>
          <w:szCs w:val="30"/>
        </w:rPr>
        <w:t>《项目支出决算表》</w:t>
      </w:r>
      <w:bookmarkEnd w:id="14"/>
    </w:p>
    <w:p w:rsidR="0078279A" w14:paraId="0EC49F89" w14:textId="77777777">
      <w:pPr>
        <w:spacing w:line="800" w:lineRule="exact"/>
        <w:ind w:left="600" w:hanging="600" w:hangingChars="200"/>
        <w:rPr>
          <w:rFonts w:eastAsia="楷体"/>
          <w:sz w:val="30"/>
          <w:szCs w:val="30"/>
        </w:rPr>
      </w:pPr>
      <w:r>
        <w:rPr>
          <w:rFonts w:eastAsia="楷体" w:hint="eastAsia"/>
          <w:sz w:val="30"/>
          <w:szCs w:val="30"/>
        </w:rPr>
        <w:t>注：以上决算公开表均作为附表，附于决算公开说明文档后。</w:t>
      </w:r>
    </w:p>
    <w:p w:rsidR="0078279A" w14:paraId="2828FE79" w14:textId="77777777">
      <w:pPr>
        <w:pStyle w:val="Heading2"/>
        <w:spacing w:before="0" w:after="0" w:line="800" w:lineRule="exact"/>
        <w:ind w:firstLine="600" w:firstLineChars="200"/>
        <w:rPr>
          <w:rFonts w:ascii="Times New Roman" w:eastAsia="黑体" w:hAnsi="Times New Roman"/>
          <w:b w:val="0"/>
          <w:sz w:val="30"/>
          <w:szCs w:val="30"/>
        </w:rPr>
      </w:pPr>
      <w:bookmarkStart w:id="15" w:name="_Toc9893"/>
      <w:r>
        <w:rPr>
          <w:rFonts w:ascii="Times New Roman" w:eastAsia="黑体" w:hAnsi="Times New Roman" w:hint="eastAsia"/>
          <w:b w:val="0"/>
          <w:sz w:val="30"/>
          <w:szCs w:val="30"/>
        </w:rPr>
        <w:t>十二、关于空表的说明</w:t>
      </w:r>
      <w:bookmarkEnd w:id="15"/>
    </w:p>
    <w:p w:rsidR="0078279A" w14:paraId="47B7282C" w14:textId="77777777">
      <w:pPr>
        <w:spacing w:line="600" w:lineRule="exact"/>
        <w:ind w:firstLine="600" w:firstLineChars="200"/>
        <w:jc w:val="both"/>
        <w:rPr>
          <w:rFonts w:eastAsia="仿宋_GB2312"/>
          <w:sz w:val="30"/>
          <w:szCs w:val="30"/>
        </w:rPr>
        <w:sectPr>
          <w:footerReference w:type="default" r:id="rId6"/>
          <w:pgSz w:w="11906" w:h="16838"/>
          <w:pgMar w:top="1440" w:right="1800" w:bottom="1440" w:left="1800" w:header="851" w:footer="992" w:gutter="0"/>
          <w:pgNumType w:start="1"/>
          <w:cols w:space="720"/>
          <w:docGrid w:type="lines" w:linePitch="312"/>
        </w:sectPr>
      </w:pPr>
      <w:r>
        <w:rPr>
          <w:rFonts w:eastAsia="仿宋_GB2312" w:hint="eastAsia"/>
          <w:sz w:val="30"/>
          <w:szCs w:val="30"/>
        </w:rPr>
        <w:t>1.天津市河北区计量检定所2024年度政府性基金预算财政拨款收入支出决算表为空表。</w:t>
        <w:br/>
        <w:t>　　2.天津市河北区计量检定所2024年度国有资本经营预算财政拨款收入支出决算表为空表。</w:t>
        <w:br/>
        <w:t>　　3.天津市河北区计量检定所2024年度财政拨款“三公”经费支出决算表为空表。</w:t>
        <w:br/>
        <w:t>　　4.天津市河北区计量检定所2024年度项目支出决算表为空表。</w:t>
      </w:r>
    </w:p>
    <w:p w:rsidR="0078279A" w14:paraId="588CED02" w14:textId="77777777">
      <w:pPr>
        <w:spacing w:line="600" w:lineRule="exact"/>
        <w:rPr>
          <w:rFonts w:eastAsia="仿宋_GB2312"/>
          <w:sz w:val="30"/>
          <w:szCs w:val="30"/>
        </w:rPr>
      </w:pPr>
    </w:p>
    <w:p w:rsidR="0078279A" w14:paraId="316D5B71" w14:textId="77777777">
      <w:pPr>
        <w:pStyle w:val="Heading1"/>
        <w:spacing w:before="0" w:after="0" w:line="600" w:lineRule="exact"/>
        <w:jc w:val="center"/>
        <w:rPr>
          <w:rFonts w:eastAsia="方正小标宋简体" w:cs="方正小标宋简体"/>
          <w:b w:val="0"/>
        </w:rPr>
      </w:pPr>
      <w:bookmarkStart w:id="16" w:name="_Toc26351"/>
      <w:r>
        <w:rPr>
          <w:rFonts w:eastAsia="方正小标宋简体" w:cs="方正小标宋简体"/>
          <w:b w:val="0"/>
        </w:rPr>
        <w:t>第</w:t>
      </w:r>
      <w:r>
        <w:rPr>
          <w:rFonts w:eastAsia="方正小标宋简体" w:cs="方正小标宋简体" w:hint="eastAsia"/>
          <w:b w:val="0"/>
        </w:rPr>
        <w:t>三</w:t>
      </w:r>
      <w:r>
        <w:rPr>
          <w:rFonts w:eastAsia="方正小标宋简体" w:cs="方正小标宋简体"/>
          <w:b w:val="0"/>
        </w:rPr>
        <w:t>部分</w:t>
      </w:r>
      <w:r>
        <w:rPr>
          <w:rFonts w:eastAsia="方正小标宋简体" w:cs="方正小标宋简体"/>
          <w:b w:val="0"/>
        </w:rPr>
        <w:t xml:space="preserve">  </w:t>
      </w:r>
      <w:r>
        <w:rPr>
          <w:rFonts w:eastAsia="方正小标宋简体" w:cs="方正小标宋简体" w:hint="eastAsia"/>
          <w:b w:val="0"/>
        </w:rPr>
        <w:t>2024</w:t>
      </w:r>
      <w:r>
        <w:rPr>
          <w:rFonts w:eastAsia="方正小标宋简体" w:cs="方正小标宋简体"/>
          <w:b w:val="0"/>
        </w:rPr>
        <w:t>年度部门决算</w:t>
      </w:r>
      <w:r>
        <w:rPr>
          <w:rFonts w:eastAsia="方正小标宋简体" w:cs="方正小标宋简体" w:hint="eastAsia"/>
          <w:b w:val="0"/>
        </w:rPr>
        <w:t>情况</w:t>
      </w:r>
      <w:r>
        <w:rPr>
          <w:rFonts w:eastAsia="方正小标宋简体" w:cs="方正小标宋简体"/>
          <w:b w:val="0"/>
        </w:rPr>
        <w:t>说明</w:t>
      </w:r>
      <w:bookmarkEnd w:id="16"/>
    </w:p>
    <w:p w:rsidR="0078279A" w14:paraId="4B59BF3D" w14:textId="77777777">
      <w:pPr>
        <w:spacing w:line="600" w:lineRule="exact"/>
        <w:ind w:firstLine="600" w:firstLineChars="200"/>
        <w:rPr>
          <w:rFonts w:eastAsia="黑体"/>
          <w:sz w:val="30"/>
          <w:szCs w:val="30"/>
        </w:rPr>
      </w:pPr>
    </w:p>
    <w:p w:rsidR="0078279A" w14:paraId="4D0A620C" w14:textId="77777777">
      <w:pPr>
        <w:pStyle w:val="Heading2"/>
        <w:spacing w:before="0" w:after="0" w:line="600" w:lineRule="exact"/>
        <w:ind w:firstLine="600" w:firstLineChars="200"/>
        <w:rPr>
          <w:rFonts w:ascii="Times New Roman" w:eastAsia="黑体" w:hAnsi="Times New Roman"/>
          <w:b w:val="0"/>
          <w:sz w:val="30"/>
          <w:szCs w:val="30"/>
        </w:rPr>
      </w:pPr>
      <w:bookmarkStart w:id="17" w:name="_Toc14113"/>
      <w:r>
        <w:rPr>
          <w:rFonts w:ascii="Times New Roman" w:eastAsia="黑体" w:hAnsi="Times New Roman" w:hint="eastAsia"/>
          <w:b w:val="0"/>
          <w:sz w:val="30"/>
          <w:szCs w:val="30"/>
        </w:rPr>
        <w:t>一、收入支出决算总体情况说明</w:t>
      </w:r>
      <w:bookmarkEnd w:id="17"/>
    </w:p>
    <w:p w:rsidR="0078279A" w14:paraId="22604CDD" w14:textId="77777777">
      <w:pPr>
        <w:spacing w:line="600" w:lineRule="exact"/>
        <w:ind w:firstLine="600" w:firstLineChars="200"/>
        <w:jc w:val="both"/>
        <w:rPr>
          <w:rFonts w:eastAsia="仿宋_GB2312"/>
          <w:sz w:val="30"/>
          <w:szCs w:val="30"/>
        </w:rPr>
      </w:pPr>
      <w:r>
        <w:rPr>
          <w:rFonts w:eastAsia="仿宋_GB2312" w:cs="仿宋_GB2312" w:hint="eastAsia"/>
          <w:sz w:val="30"/>
          <w:szCs w:val="30"/>
        </w:rPr>
        <w:t>天津市河北区计量检定所2024年度收入、支出决算总计1,136,901.25元。与2023年度相比，收、支总计各减少606,030.26元，下降34.8%，主要原因是严格落实过紧日子要求，压减支出。</w:t>
        <w:br/>
        <w:t>　　收入包括：一般公共预算财政拨款收入1,165,815.2元、事业单位经营收入61,716元、其他收入239.54元。</w:t>
        <w:br/>
        <w:t>　　支出包括：一般公共服务支出（类）支出1,014,544.25元、社会保障和就业支出（类）支出154,068元、卫生健康支出（类）支出80,540.05元。</w:t>
      </w:r>
    </w:p>
    <w:p w:rsidR="0078279A" w14:paraId="63718057" w14:textId="77777777">
      <w:pPr>
        <w:pStyle w:val="Heading2"/>
        <w:spacing w:before="0" w:after="0" w:line="600" w:lineRule="exact"/>
        <w:ind w:firstLine="600" w:firstLineChars="200"/>
        <w:rPr>
          <w:rFonts w:ascii="Times New Roman" w:eastAsia="黑体" w:hAnsi="Times New Roman" w:cs="仿宋_GB2312"/>
          <w:b w:val="0"/>
          <w:sz w:val="30"/>
          <w:szCs w:val="30"/>
        </w:rPr>
      </w:pPr>
      <w:bookmarkStart w:id="18" w:name="_Toc1931"/>
      <w:r>
        <w:rPr>
          <w:rFonts w:ascii="Times New Roman" w:eastAsia="黑体" w:hAnsi="Times New Roman" w:cs="仿宋_GB2312" w:hint="eastAsia"/>
          <w:b w:val="0"/>
          <w:sz w:val="30"/>
          <w:szCs w:val="30"/>
        </w:rPr>
        <w:t>二、收入决算情况说明</w:t>
      </w:r>
      <w:bookmarkEnd w:id="18"/>
    </w:p>
    <w:p w:rsidR="0078279A" w14:paraId="14558371" w14:textId="77777777">
      <w:pPr>
        <w:spacing w:line="600" w:lineRule="exact"/>
        <w:ind w:firstLine="600" w:firstLineChars="200"/>
        <w:jc w:val="both"/>
        <w:rPr>
          <w:rFonts w:eastAsia="仿宋_GB2312"/>
          <w:sz w:val="30"/>
          <w:szCs w:val="30"/>
        </w:rPr>
      </w:pPr>
      <w:r>
        <w:rPr>
          <w:rFonts w:eastAsia="仿宋_GB2312" w:cs="仿宋_GB2312" w:hint="eastAsia"/>
          <w:sz w:val="30"/>
          <w:szCs w:val="30"/>
        </w:rPr>
        <w:t>天津市河北区计量检定所2024年度本年收入合计1,227,770.74元。与2023年度相比减少259,128.99元，主要原因是严格落实过紧日子要求，压减支出。其中：一般公共预算财政拨款收入1,165,815.2元，占95%；事业单位经营收入61,716元，占5%；其他收入239.54元，占0%。</w:t>
      </w:r>
    </w:p>
    <w:p w:rsidR="0078279A" w14:paraId="2FA046DD" w14:textId="77777777">
      <w:pPr>
        <w:pStyle w:val="Heading2"/>
        <w:spacing w:before="0" w:after="0" w:line="600" w:lineRule="exact"/>
        <w:ind w:firstLine="600" w:firstLineChars="200"/>
        <w:rPr>
          <w:rFonts w:ascii="Times New Roman" w:eastAsia="黑体" w:hAnsi="Times New Roman" w:cs="仿宋_GB2312"/>
          <w:b w:val="0"/>
          <w:sz w:val="30"/>
          <w:szCs w:val="30"/>
        </w:rPr>
      </w:pPr>
      <w:bookmarkStart w:id="19" w:name="_Toc14007"/>
      <w:r>
        <w:rPr>
          <w:rFonts w:ascii="Times New Roman" w:eastAsia="黑体" w:hAnsi="Times New Roman" w:cs="仿宋_GB2312" w:hint="eastAsia"/>
          <w:b w:val="0"/>
          <w:sz w:val="30"/>
          <w:szCs w:val="30"/>
        </w:rPr>
        <w:t>三、</w:t>
      </w:r>
      <w:r>
        <w:rPr>
          <w:rFonts w:ascii="Times New Roman" w:eastAsia="黑体" w:hAnsi="Times New Roman" w:cs="仿宋_GB2312"/>
          <w:b w:val="0"/>
          <w:sz w:val="30"/>
          <w:szCs w:val="30"/>
        </w:rPr>
        <w:t>支出</w:t>
      </w:r>
      <w:r>
        <w:rPr>
          <w:rFonts w:ascii="Times New Roman" w:eastAsia="黑体" w:hAnsi="Times New Roman" w:cs="仿宋_GB2312" w:hint="eastAsia"/>
          <w:b w:val="0"/>
          <w:sz w:val="30"/>
          <w:szCs w:val="30"/>
        </w:rPr>
        <w:t>决算</w:t>
      </w:r>
      <w:r>
        <w:rPr>
          <w:rFonts w:ascii="Times New Roman" w:eastAsia="黑体" w:hAnsi="Times New Roman" w:cs="仿宋_GB2312"/>
          <w:b w:val="0"/>
          <w:sz w:val="30"/>
          <w:szCs w:val="30"/>
        </w:rPr>
        <w:t>情况</w:t>
      </w:r>
      <w:r>
        <w:rPr>
          <w:rFonts w:ascii="Times New Roman" w:eastAsia="黑体" w:hAnsi="Times New Roman" w:cs="仿宋_GB2312" w:hint="eastAsia"/>
          <w:b w:val="0"/>
          <w:sz w:val="30"/>
          <w:szCs w:val="30"/>
        </w:rPr>
        <w:t>说明</w:t>
      </w:r>
      <w:bookmarkEnd w:id="19"/>
    </w:p>
    <w:p w:rsidR="0078279A" w14:paraId="32CB6AB2" w14:textId="77777777">
      <w:pPr>
        <w:spacing w:line="600" w:lineRule="exact"/>
        <w:ind w:firstLine="600" w:firstLineChars="200"/>
        <w:jc w:val="both"/>
        <w:rPr>
          <w:rFonts w:eastAsia="仿宋_GB2312"/>
          <w:sz w:val="30"/>
          <w:szCs w:val="30"/>
        </w:rPr>
      </w:pPr>
      <w:r>
        <w:rPr>
          <w:rFonts w:eastAsia="仿宋_GB2312" w:cs="仿宋_GB2312" w:hint="eastAsia"/>
          <w:sz w:val="30"/>
          <w:szCs w:val="30"/>
        </w:rPr>
        <w:t>天津市河北区计量检定所2024年度本年支出合计1,249,152.3元。与2023年度相比减少338,356.95元，主要原因是严格落实过紧日子要求，压减支出。其中：基本支出1,187,436.3元，占95.1%；经营支出61,716元，占4.9%。</w:t>
      </w:r>
    </w:p>
    <w:p w:rsidR="0078279A" w14:paraId="40C90369" w14:textId="77777777">
      <w:pPr>
        <w:pStyle w:val="Heading2"/>
        <w:spacing w:before="0" w:after="0" w:line="600" w:lineRule="exact"/>
        <w:ind w:firstLine="600" w:firstLineChars="200"/>
        <w:rPr>
          <w:rFonts w:ascii="Times New Roman" w:eastAsia="黑体" w:hAnsi="Times New Roman"/>
          <w:b w:val="0"/>
          <w:sz w:val="30"/>
          <w:szCs w:val="30"/>
        </w:rPr>
      </w:pPr>
      <w:bookmarkStart w:id="20" w:name="_Toc23974"/>
      <w:r>
        <w:rPr>
          <w:rFonts w:ascii="Times New Roman" w:eastAsia="黑体" w:hAnsi="Times New Roman" w:hint="eastAsia"/>
          <w:b w:val="0"/>
          <w:sz w:val="30"/>
          <w:szCs w:val="30"/>
        </w:rPr>
        <w:t>四、财政拨款收支决算总体情况说明</w:t>
      </w:r>
      <w:bookmarkEnd w:id="20"/>
    </w:p>
    <w:p w:rsidR="0078279A" w14:paraId="7A949753" w14:textId="77777777">
      <w:pPr>
        <w:spacing w:line="600" w:lineRule="exact"/>
        <w:ind w:firstLine="600" w:firstLineChars="200"/>
        <w:jc w:val="both"/>
        <w:rPr>
          <w:rFonts w:eastAsia="仿宋_GB2312"/>
          <w:sz w:val="30"/>
          <w:szCs w:val="30"/>
        </w:rPr>
      </w:pPr>
      <w:r>
        <w:rPr>
          <w:rFonts w:eastAsia="仿宋_GB2312" w:cs="仿宋_GB2312" w:hint="eastAsia"/>
          <w:sz w:val="30"/>
          <w:szCs w:val="30"/>
        </w:rPr>
        <w:t>天津市河北区计量检定所2024年度财政拨款收入、支出决算总计1,167,543.66元。与2023年度相比，财政拨款收、支总计各减少295,015.94元，下降20.2%，主要原因是严格落实过紧日子要求，压减支出。</w:t>
        <w:br/>
        <w:t>　　收入包括：一般公共预算财政拨款收入1,165,815.2元、年初财政拨款结转和结余1,728.46元。</w:t>
        <w:br/>
        <w:t>　　支出包括：一般公共服务支出（类）支出932,486.6元、社会保障和就业支出（类）支出154,068元、卫生健康支出（类）支出80,540.05元。</w:t>
      </w:r>
    </w:p>
    <w:p w:rsidR="0078279A" w14:paraId="317E5698" w14:textId="77777777">
      <w:pPr>
        <w:pStyle w:val="Heading2"/>
        <w:spacing w:before="0" w:after="0" w:line="600" w:lineRule="exact"/>
        <w:ind w:firstLine="600" w:firstLineChars="200"/>
        <w:rPr>
          <w:rFonts w:ascii="Times New Roman" w:eastAsia="黑体" w:hAnsi="Times New Roman"/>
          <w:b w:val="0"/>
          <w:sz w:val="30"/>
          <w:szCs w:val="30"/>
        </w:rPr>
      </w:pPr>
      <w:bookmarkStart w:id="21" w:name="_Toc19057"/>
      <w:r>
        <w:rPr>
          <w:rFonts w:ascii="Times New Roman" w:eastAsia="黑体" w:hAnsi="Times New Roman"/>
          <w:b w:val="0"/>
          <w:sz w:val="30"/>
          <w:szCs w:val="30"/>
        </w:rPr>
        <w:t>五</w:t>
      </w:r>
      <w:r>
        <w:rPr>
          <w:rFonts w:ascii="Times New Roman" w:eastAsia="黑体" w:hAnsi="Times New Roman" w:hint="eastAsia"/>
          <w:b w:val="0"/>
          <w:sz w:val="30"/>
          <w:szCs w:val="30"/>
        </w:rPr>
        <w:t>、</w:t>
      </w:r>
      <w:r>
        <w:rPr>
          <w:rFonts w:ascii="Times New Roman" w:eastAsia="黑体" w:hAnsi="Times New Roman"/>
          <w:b w:val="0"/>
          <w:sz w:val="30"/>
          <w:szCs w:val="30"/>
        </w:rPr>
        <w:t>一般公共预算财政拨款支出决算情况</w:t>
      </w:r>
      <w:r>
        <w:rPr>
          <w:rFonts w:ascii="Times New Roman" w:eastAsia="黑体" w:hAnsi="Times New Roman" w:hint="eastAsia"/>
          <w:b w:val="0"/>
          <w:sz w:val="30"/>
          <w:szCs w:val="30"/>
        </w:rPr>
        <w:t>说明</w:t>
      </w:r>
      <w:bookmarkEnd w:id="21"/>
    </w:p>
    <w:p w:rsidR="0078279A" w14:paraId="56CCE068" w14:textId="77777777">
      <w:pPr>
        <w:spacing w:line="600" w:lineRule="exact"/>
        <w:ind w:firstLine="600" w:firstLineChars="200"/>
        <w:rPr>
          <w:rFonts w:eastAsia="楷体" w:cs="仿宋_GB2312"/>
          <w:b/>
          <w:sz w:val="30"/>
          <w:szCs w:val="30"/>
        </w:rPr>
      </w:pPr>
      <w:r>
        <w:rPr>
          <w:rFonts w:eastAsia="楷体" w:cs="仿宋_GB2312" w:hint="eastAsia"/>
          <w:b/>
          <w:sz w:val="30"/>
          <w:szCs w:val="30"/>
        </w:rPr>
        <w:t>（一）总体情况</w:t>
      </w:r>
    </w:p>
    <w:p w:rsidR="0078279A" w14:paraId="0CC9D1CC" w14:textId="77777777">
      <w:pPr>
        <w:spacing w:line="600" w:lineRule="exact"/>
        <w:ind w:firstLine="600" w:firstLineChars="200"/>
        <w:jc w:val="both"/>
        <w:rPr>
          <w:rFonts w:eastAsia="仿宋_GB2312"/>
          <w:sz w:val="30"/>
          <w:szCs w:val="30"/>
        </w:rPr>
      </w:pPr>
      <w:r>
        <w:rPr>
          <w:rFonts w:eastAsia="仿宋_GB2312" w:cs="仿宋_GB2312" w:hint="eastAsia"/>
          <w:sz w:val="30"/>
          <w:szCs w:val="30"/>
        </w:rPr>
        <w:t>天津市河北区计量检定所2024年度部门决算一般公共预算财政拨款支出合计1,167,094.65元，占本年支出合计的100%。与2023年度相比，一般公共预算财政拨款支出减少293,736.49元，下降20.1%，主要原因是严格落实过紧日子要求，压减支出。</w:t>
      </w:r>
    </w:p>
    <w:p w:rsidR="0078279A" w14:paraId="358234AF" w14:textId="77777777">
      <w:pPr>
        <w:spacing w:line="600" w:lineRule="exact"/>
        <w:ind w:firstLine="600" w:firstLineChars="200"/>
        <w:rPr>
          <w:rFonts w:eastAsia="楷体" w:cs="仿宋_GB2312"/>
          <w:b/>
          <w:sz w:val="30"/>
          <w:szCs w:val="30"/>
        </w:rPr>
      </w:pPr>
      <w:r>
        <w:rPr>
          <w:rFonts w:eastAsia="楷体" w:cs="仿宋_GB2312" w:hint="eastAsia"/>
          <w:b/>
          <w:sz w:val="30"/>
          <w:szCs w:val="30"/>
        </w:rPr>
        <w:t>（二）支出结构情况</w:t>
      </w:r>
    </w:p>
    <w:p w:rsidR="0078279A" w14:paraId="5F2BF28B" w14:textId="77777777">
      <w:pPr>
        <w:spacing w:line="600" w:lineRule="exact"/>
        <w:ind w:firstLine="600" w:firstLineChars="200"/>
        <w:jc w:val="both"/>
        <w:rPr>
          <w:rFonts w:eastAsia="仿宋_GB2312"/>
          <w:sz w:val="30"/>
          <w:szCs w:val="30"/>
        </w:rPr>
      </w:pPr>
      <w:r>
        <w:rPr>
          <w:rFonts w:eastAsia="仿宋_GB2312" w:cs="仿宋_GB2312" w:hint="eastAsia"/>
          <w:sz w:val="30"/>
          <w:szCs w:val="30"/>
        </w:rPr>
        <w:t>2024年度一般公共预算财政拨款支出1,167,094.65元，主要用于以下方面：</w:t>
        <w:br/>
        <w:t>　　一般公共服务支出（类）支出932,486.6元，占79.9%；</w:t>
        <w:br/>
        <w:t>　　社会保障和就业支出（类）支出154,068元，占13.2%；</w:t>
        <w:br/>
        <w:t>　　卫生健康支出（类）支出80,540.05元，占6.9%。</w:t>
      </w:r>
    </w:p>
    <w:p w:rsidR="0078279A" w14:paraId="34049796" w14:textId="77777777">
      <w:pPr>
        <w:numPr>
          <w:ilvl w:val="0"/>
          <w:numId w:val="1"/>
        </w:numPr>
        <w:spacing w:line="600" w:lineRule="exact"/>
        <w:ind w:firstLine="600" w:firstLineChars="200"/>
        <w:rPr>
          <w:rFonts w:eastAsia="楷体" w:cs="仿宋_GB2312"/>
          <w:b/>
          <w:sz w:val="30"/>
          <w:szCs w:val="30"/>
        </w:rPr>
      </w:pPr>
      <w:r>
        <w:rPr>
          <w:rFonts w:eastAsia="楷体" w:cs="仿宋_GB2312"/>
          <w:b/>
          <w:sz w:val="30"/>
          <w:szCs w:val="30"/>
        </w:rPr>
        <w:t>具体情况</w:t>
      </w:r>
    </w:p>
    <w:p w:rsidR="0078279A" w14:paraId="2F382E35" w14:textId="77777777">
      <w:pPr>
        <w:spacing w:line="600" w:lineRule="exact"/>
        <w:ind w:firstLine="600" w:firstLineChars="200"/>
        <w:jc w:val="both"/>
        <w:rPr>
          <w:rFonts w:eastAsia="仿宋_GB2312"/>
          <w:sz w:val="30"/>
          <w:szCs w:val="30"/>
        </w:rPr>
      </w:pPr>
      <w:r>
        <w:rPr>
          <w:rFonts w:eastAsia="仿宋_GB2312" w:cs="仿宋_GB2312" w:hint="eastAsia"/>
          <w:sz w:val="30"/>
          <w:szCs w:val="30"/>
        </w:rPr>
        <w:t>2024年度一般公共预算财政拨款支出年初预算为1,465,692元，支出决算为1,167,094.65元，完成年初预算的79.6%。其中：</w:t>
        <w:br/>
        <w:t>　　1.一般公共服务支出（类）对外联络事务（款）事业运行（项）年初预算为91,720元，支出决算为0元，完成年初预算的0%，决算数小于年初预算数的主要原因是严格落实过紧日子要求，压减支出。</w:t>
        <w:br/>
        <w:t>　　2.一般公共服务支出（类）市场监督管理事务（款）事业运行（项）年初预算为1,111,526元，支出决算为932,486.6元，完成年初预算的83.9%，决算数小于年初预算数的主要原因是人员变动调整。</w:t>
        <w:br/>
        <w:t>　　3.社会保障和就业支出（类）行政事业单位养老支出（款）事业单位离退休（项）年初预算为24,340元，支出决算为27,252元，完成年初预算的112%，决算数大于年初预算数的主要原因是人员变动及社险缴费基数的调整。</w:t>
        <w:br/>
        <w:t>　　4.社会保障和就业支出（类）行政事业单位养老支出（款）机关事业单位基本养老保险缴费支出（项）年初预算为96,448元，支出决算为84,544元，完成年初预算的87.7%，决算数小于年初预算数的主要原因是人员变动及社险缴费基数的调整。</w:t>
        <w:br/>
        <w:t>　　5.社会保障和就业支出（类）行政事业单位养老支出（款）机关事业单位职业年金缴费支出（项）年初预算为48,224元，支出决算为42,272元，完成年初预算的87.7%，决算数小于年初预算数的主要原因是人员变动及社险缴费基数的调整。</w:t>
        <w:br/>
        <w:t>　　6.卫生健康支出（类）行政事业单位医疗（款）事业单位医疗（项）年初预算为63,294元，支出决算为52,841元，完成年初预算的83.5%，决算数小于年初预算数的主要原因是人员变动及社险缴费基数的调整。</w:t>
        <w:br/>
        <w:t>　　7.卫生健康支出（类）行政事业单位医疗（款）其他行政事业单位医疗支出（项）年初预算为30,140元，支出决算为27,699.05元，完成年初预算的91.9%，决算数小于年初预算数的主要原因是人员变动及社险缴费基数的调整。</w:t>
      </w:r>
    </w:p>
    <w:p w:rsidR="0078279A" w14:paraId="1951837E" w14:textId="77777777">
      <w:pPr>
        <w:pStyle w:val="Heading2"/>
        <w:spacing w:before="0" w:after="0" w:line="600" w:lineRule="exact"/>
        <w:ind w:firstLine="600" w:firstLineChars="200"/>
        <w:rPr>
          <w:rFonts w:ascii="Times New Roman" w:eastAsia="黑体" w:hAnsi="Times New Roman"/>
          <w:b w:val="0"/>
          <w:sz w:val="30"/>
          <w:szCs w:val="30"/>
        </w:rPr>
      </w:pPr>
      <w:bookmarkStart w:id="22" w:name="_Toc8826"/>
      <w:r>
        <w:rPr>
          <w:rFonts w:ascii="Times New Roman" w:eastAsia="黑体" w:hAnsi="Times New Roman"/>
          <w:b w:val="0"/>
          <w:sz w:val="30"/>
          <w:szCs w:val="30"/>
        </w:rPr>
        <w:t>六、一般公共预算财政拨款基本支出决算情况</w:t>
      </w:r>
      <w:r>
        <w:rPr>
          <w:rFonts w:ascii="Times New Roman" w:eastAsia="黑体" w:hAnsi="Times New Roman" w:hint="eastAsia"/>
          <w:b w:val="0"/>
          <w:sz w:val="30"/>
          <w:szCs w:val="30"/>
        </w:rPr>
        <w:t>说明</w:t>
      </w:r>
      <w:bookmarkEnd w:id="22"/>
    </w:p>
    <w:p w:rsidR="0078279A" w14:paraId="672E4340" w14:textId="77777777">
      <w:pPr>
        <w:spacing w:line="600" w:lineRule="exact"/>
        <w:ind w:firstLine="600" w:firstLineChars="200"/>
        <w:jc w:val="both"/>
        <w:rPr>
          <w:rFonts w:eastAsia="仿宋_GB2312"/>
          <w:sz w:val="30"/>
          <w:szCs w:val="30"/>
        </w:rPr>
      </w:pPr>
      <w:r>
        <w:rPr>
          <w:rFonts w:eastAsia="仿宋_GB2312" w:cs="仿宋_GB2312" w:hint="eastAsia"/>
          <w:sz w:val="30"/>
          <w:szCs w:val="30"/>
        </w:rPr>
        <w:t>天津市河北区计量检定所2024年度部门决算一般公共预算财政拨款基本支出合计1,167,094.65元，与2023年度相比减少293,736.49元，主要原因是严格落实过紧日子要求，压减支出。其中：</w:t>
        <w:br/>
        <w:t>　　人员经费1,154,457.05元，主要包括基本工资、津贴补贴、绩效工资、机关事业单位养老保险缴费、职业年金缴费、职工基本医疗保险缴费、其他社会保障缴费、住房公积金、退休费、奖励金；</w:t>
        <w:br/>
        <w:t>　　公用经费12,637.6元，主要包括工会经费、福利费。</w:t>
      </w:r>
    </w:p>
    <w:p w:rsidR="0078279A" w14:paraId="74D6DD37" w14:textId="77777777">
      <w:pPr>
        <w:pStyle w:val="Heading2"/>
        <w:spacing w:before="0" w:after="0" w:line="600" w:lineRule="exact"/>
        <w:ind w:firstLine="600" w:firstLineChars="200"/>
        <w:rPr>
          <w:rFonts w:ascii="Times New Roman" w:eastAsia="楷体" w:hAnsi="Times New Roman" w:cs="仿宋_GB2312"/>
          <w:b w:val="0"/>
          <w:sz w:val="30"/>
          <w:szCs w:val="30"/>
        </w:rPr>
      </w:pPr>
      <w:bookmarkStart w:id="23" w:name="_Toc13712"/>
      <w:r>
        <w:rPr>
          <w:rFonts w:ascii="Times New Roman" w:eastAsia="黑体" w:hAnsi="Times New Roman" w:hint="eastAsia"/>
          <w:b w:val="0"/>
          <w:sz w:val="30"/>
          <w:szCs w:val="30"/>
        </w:rPr>
        <w:t>七</w:t>
      </w:r>
      <w:r>
        <w:rPr>
          <w:rFonts w:ascii="Times New Roman" w:eastAsia="黑体" w:hAnsi="Times New Roman"/>
          <w:b w:val="0"/>
          <w:sz w:val="30"/>
          <w:szCs w:val="30"/>
        </w:rPr>
        <w:t>、政府性基金预算财政拨款</w:t>
      </w:r>
      <w:r>
        <w:rPr>
          <w:rFonts w:ascii="Times New Roman" w:eastAsia="黑体" w:hAnsi="Times New Roman" w:hint="eastAsia"/>
          <w:b w:val="0"/>
          <w:sz w:val="30"/>
          <w:szCs w:val="30"/>
        </w:rPr>
        <w:t>收支决算</w:t>
      </w:r>
      <w:r>
        <w:rPr>
          <w:rFonts w:ascii="Times New Roman" w:eastAsia="黑体" w:hAnsi="Times New Roman"/>
          <w:b w:val="0"/>
          <w:sz w:val="30"/>
          <w:szCs w:val="30"/>
        </w:rPr>
        <w:t>情况</w:t>
      </w:r>
      <w:r>
        <w:rPr>
          <w:rFonts w:ascii="Times New Roman" w:eastAsia="黑体" w:hAnsi="Times New Roman" w:hint="eastAsia"/>
          <w:b w:val="0"/>
          <w:bCs w:val="0"/>
          <w:sz w:val="30"/>
          <w:szCs w:val="30"/>
        </w:rPr>
        <w:t>说明</w:t>
      </w:r>
      <w:bookmarkEnd w:id="23"/>
    </w:p>
    <w:p w:rsidR="0078279A" w14:paraId="59EA4719" w14:textId="77777777">
      <w:pPr>
        <w:spacing w:line="600" w:lineRule="exact"/>
        <w:ind w:firstLine="600" w:firstLineChars="200"/>
        <w:jc w:val="both"/>
        <w:rPr>
          <w:rFonts w:eastAsia="仿宋_GB2312"/>
          <w:sz w:val="30"/>
          <w:szCs w:val="30"/>
        </w:rPr>
      </w:pPr>
      <w:r>
        <w:rPr>
          <w:rFonts w:eastAsia="仿宋_GB2312" w:cs="仿宋_GB2312" w:hint="eastAsia"/>
          <w:sz w:val="30"/>
          <w:szCs w:val="30"/>
        </w:rPr>
        <w:t>天津市河北区计量检定所2024年度无政府性基金预算财政拨款收入、支出和结转结余。</w:t>
      </w:r>
    </w:p>
    <w:p w:rsidR="0078279A" w14:paraId="27B5E3D9" w14:textId="77777777">
      <w:pPr>
        <w:pStyle w:val="Heading2"/>
        <w:spacing w:before="0" w:after="0" w:line="600" w:lineRule="exact"/>
        <w:ind w:firstLine="600" w:firstLineChars="200"/>
        <w:rPr>
          <w:rFonts w:ascii="Times New Roman" w:eastAsia="黑体" w:hAnsi="Times New Roman"/>
          <w:b w:val="0"/>
          <w:sz w:val="30"/>
          <w:szCs w:val="30"/>
        </w:rPr>
      </w:pPr>
      <w:bookmarkStart w:id="24" w:name="_Toc1902"/>
      <w:r>
        <w:rPr>
          <w:rFonts w:ascii="Times New Roman" w:eastAsia="黑体" w:hAnsi="Times New Roman" w:hint="eastAsia"/>
          <w:b w:val="0"/>
          <w:sz w:val="30"/>
          <w:szCs w:val="30"/>
        </w:rPr>
        <w:t>八、国有资本经营预算财政拨款收支决算情况</w:t>
      </w:r>
      <w:r>
        <w:rPr>
          <w:rFonts w:ascii="Times New Roman" w:eastAsia="黑体" w:hAnsi="Times New Roman" w:hint="eastAsia"/>
          <w:b w:val="0"/>
          <w:bCs w:val="0"/>
          <w:sz w:val="30"/>
          <w:szCs w:val="30"/>
        </w:rPr>
        <w:t>说明</w:t>
      </w:r>
      <w:bookmarkEnd w:id="24"/>
    </w:p>
    <w:p w:rsidR="0078279A" w14:paraId="0988FE55" w14:textId="77777777">
      <w:pPr>
        <w:spacing w:line="600" w:lineRule="exact"/>
        <w:ind w:firstLine="600" w:firstLineChars="200"/>
        <w:jc w:val="both"/>
        <w:rPr>
          <w:rFonts w:eastAsia="仿宋_GB2312"/>
          <w:sz w:val="30"/>
          <w:szCs w:val="30"/>
        </w:rPr>
      </w:pPr>
      <w:r>
        <w:rPr>
          <w:rFonts w:eastAsia="仿宋_GB2312" w:cs="仿宋_GB2312" w:hint="eastAsia"/>
          <w:sz w:val="30"/>
          <w:szCs w:val="30"/>
        </w:rPr>
        <w:t>天津市河北区计量检定所2024年度无国有资本经营预算财政拨款收入、支出和结转结余。</w:t>
      </w:r>
    </w:p>
    <w:p w:rsidR="0078279A" w14:paraId="1743A004" w14:textId="77777777">
      <w:pPr>
        <w:pStyle w:val="Heading2"/>
        <w:spacing w:before="0" w:after="0" w:line="600" w:lineRule="exact"/>
        <w:ind w:firstLine="600" w:firstLineChars="200"/>
        <w:rPr>
          <w:rFonts w:ascii="Times New Roman" w:eastAsia="黑体" w:hAnsi="Times New Roman"/>
          <w:b w:val="0"/>
          <w:sz w:val="30"/>
          <w:szCs w:val="30"/>
        </w:rPr>
      </w:pPr>
      <w:bookmarkStart w:id="25" w:name="_Toc6751"/>
      <w:r>
        <w:rPr>
          <w:rFonts w:ascii="Times New Roman" w:eastAsia="黑体" w:hAnsi="Times New Roman" w:hint="eastAsia"/>
          <w:b w:val="0"/>
          <w:sz w:val="30"/>
          <w:szCs w:val="30"/>
        </w:rPr>
        <w:t>九、</w:t>
      </w:r>
      <w:r>
        <w:rPr>
          <w:rFonts w:ascii="Times New Roman" w:eastAsia="黑体" w:hAnsi="Times New Roman"/>
          <w:b w:val="0"/>
          <w:sz w:val="30"/>
          <w:szCs w:val="30"/>
        </w:rPr>
        <w:t>财政拨款</w:t>
      </w:r>
      <w:r>
        <w:rPr>
          <w:rFonts w:ascii="Times New Roman" w:eastAsia="黑体" w:hAnsi="Times New Roman"/>
          <w:b w:val="0"/>
          <w:sz w:val="30"/>
          <w:szCs w:val="30"/>
        </w:rPr>
        <w:t>“</w:t>
      </w:r>
      <w:r>
        <w:rPr>
          <w:rFonts w:ascii="Times New Roman" w:eastAsia="黑体" w:hAnsi="Times New Roman"/>
          <w:b w:val="0"/>
          <w:sz w:val="30"/>
          <w:szCs w:val="30"/>
        </w:rPr>
        <w:t>三公</w:t>
      </w:r>
      <w:r>
        <w:rPr>
          <w:rFonts w:ascii="Times New Roman" w:eastAsia="黑体" w:hAnsi="Times New Roman"/>
          <w:b w:val="0"/>
          <w:sz w:val="30"/>
          <w:szCs w:val="30"/>
        </w:rPr>
        <w:t>”</w:t>
      </w:r>
      <w:r>
        <w:rPr>
          <w:rFonts w:ascii="Times New Roman" w:eastAsia="黑体" w:hAnsi="Times New Roman"/>
          <w:b w:val="0"/>
          <w:sz w:val="30"/>
          <w:szCs w:val="30"/>
        </w:rPr>
        <w:t>经费</w:t>
      </w:r>
      <w:r>
        <w:rPr>
          <w:rFonts w:ascii="Times New Roman" w:eastAsia="黑体" w:hAnsi="Times New Roman" w:hint="eastAsia"/>
          <w:b w:val="0"/>
          <w:sz w:val="30"/>
          <w:szCs w:val="30"/>
        </w:rPr>
        <w:t>支出决算</w:t>
      </w:r>
      <w:r>
        <w:rPr>
          <w:rFonts w:ascii="Times New Roman" w:eastAsia="黑体" w:hAnsi="Times New Roman"/>
          <w:b w:val="0"/>
          <w:sz w:val="30"/>
          <w:szCs w:val="30"/>
        </w:rPr>
        <w:t>情况</w:t>
      </w:r>
      <w:r>
        <w:rPr>
          <w:rFonts w:ascii="Times New Roman" w:eastAsia="黑体" w:hAnsi="Times New Roman" w:hint="eastAsia"/>
          <w:b w:val="0"/>
          <w:bCs w:val="0"/>
          <w:sz w:val="30"/>
          <w:szCs w:val="30"/>
        </w:rPr>
        <w:t>说明</w:t>
      </w:r>
      <w:bookmarkEnd w:id="25"/>
    </w:p>
    <w:p w:rsidR="0078279A" w14:paraId="185E8356" w14:textId="77777777">
      <w:pPr>
        <w:spacing w:line="600" w:lineRule="exact"/>
        <w:ind w:firstLine="600" w:firstLineChars="200"/>
        <w:rPr>
          <w:rFonts w:eastAsia="楷体" w:cs="楷体"/>
          <w:b/>
          <w:bCs/>
          <w:sz w:val="30"/>
          <w:szCs w:val="30"/>
        </w:rPr>
      </w:pPr>
      <w:r>
        <w:rPr>
          <w:rFonts w:eastAsia="楷体" w:cs="楷体" w:hint="eastAsia"/>
          <w:b/>
          <w:bCs/>
          <w:sz w:val="30"/>
          <w:szCs w:val="30"/>
        </w:rPr>
        <w:t>（一）总体情况</w:t>
      </w:r>
    </w:p>
    <w:p w:rsidR="0078279A" w14:paraId="7CE13176" w14:textId="77777777">
      <w:pPr>
        <w:spacing w:line="600" w:lineRule="exact"/>
        <w:ind w:firstLine="600" w:firstLineChars="200"/>
        <w:jc w:val="both"/>
        <w:rPr>
          <w:rFonts w:eastAsia="仿宋_GB2312"/>
          <w:sz w:val="30"/>
          <w:szCs w:val="30"/>
        </w:rPr>
      </w:pPr>
      <w:r>
        <w:rPr>
          <w:rFonts w:eastAsia="仿宋_GB2312" w:cs="仿宋_GB2312" w:hint="eastAsia"/>
          <w:sz w:val="30"/>
          <w:szCs w:val="30"/>
        </w:rPr>
        <w:t>2024年财政拨款“三公”经费预算0元，支出决算0元（去年同期0元），支出决算与2024年预算相比持平；支出决算较上年持平。因本年及去年同期均未使用财政拨款列支“三公”经费，故本年支出决算与本年预算、上年支出决算均持平为0。</w:t>
      </w:r>
    </w:p>
    <w:p w:rsidR="0078279A" w14:paraId="6633770C" w14:textId="77777777">
      <w:pPr>
        <w:spacing w:line="600" w:lineRule="exact"/>
        <w:ind w:firstLine="600" w:firstLineChars="200"/>
        <w:rPr>
          <w:rFonts w:eastAsia="楷体" w:cs="楷体"/>
          <w:b/>
          <w:bCs/>
          <w:sz w:val="30"/>
          <w:szCs w:val="30"/>
        </w:rPr>
      </w:pPr>
      <w:r>
        <w:rPr>
          <w:rFonts w:eastAsia="楷体" w:cs="楷体" w:hint="eastAsia"/>
          <w:b/>
          <w:bCs/>
          <w:sz w:val="30"/>
          <w:szCs w:val="30"/>
        </w:rPr>
        <w:t>（二）具体情况</w:t>
      </w:r>
    </w:p>
    <w:p w:rsidR="0078279A" w14:paraId="5F6AF8E0" w14:textId="77777777">
      <w:pPr>
        <w:spacing w:line="600" w:lineRule="exact"/>
        <w:ind w:firstLine="600" w:firstLineChars="200"/>
        <w:jc w:val="both"/>
        <w:rPr>
          <w:rFonts w:eastAsia="仿宋_GB2312" w:cs="仿宋_GB2312"/>
          <w:sz w:val="30"/>
          <w:szCs w:val="30"/>
        </w:rPr>
      </w:pPr>
      <w:r>
        <w:rPr>
          <w:rFonts w:eastAsia="仿宋_GB2312" w:cs="仿宋_GB2312" w:hint="eastAsia"/>
          <w:sz w:val="30"/>
          <w:szCs w:val="30"/>
        </w:rPr>
        <w:t>1.因公出国（境）费预算0元，支出决算0元（去年同期0元），支出决算与2024年预算相比持平；支出决算较上年持平。因本年及去年同期均未使用财政拨款列支因公出国（境）费，故本年支出决算与本年预算、上年支出决算均持平为0。</w:t>
        <w:br/>
        <w:t>　　2024年本单位组织的出国团组0个，出国0人次。</w:t>
      </w:r>
    </w:p>
    <w:p w:rsidR="0078279A" w14:paraId="25DA8A56" w14:textId="77777777">
      <w:pPr>
        <w:spacing w:line="600" w:lineRule="exact"/>
        <w:ind w:firstLine="600" w:firstLineChars="200"/>
        <w:jc w:val="both"/>
        <w:rPr>
          <w:rFonts w:eastAsia="仿宋_GB2312" w:cs="仿宋_GB2312"/>
          <w:sz w:val="30"/>
          <w:szCs w:val="30"/>
        </w:rPr>
      </w:pPr>
      <w:r>
        <w:rPr>
          <w:rFonts w:eastAsia="仿宋_GB2312" w:cs="仿宋_GB2312" w:hint="eastAsia"/>
          <w:sz w:val="30"/>
          <w:szCs w:val="30"/>
        </w:rPr>
        <w:t>2.公务用车购置及运行维护费预算0元，支出决算0元（去年同期0元），支出决算与2024年预算相比持平；支出决算较上年持平。因本年及去年同期均未使用财政拨款列支公务用车购置及运行维护费，故本年支出决算与本年预算、上年支出决算均持平为0。其中：</w:t>
        <w:br/>
        <w:t>　　公务用车运行维护费预算0元，支出决算0元（去年同期0元），支出决算与2024年预算相比持平；支出决算较上年持平。因本年及去年同期均未使用财政拨款列支公务用车运行维护费，故本年支出决算与本年预算、上年支出决算均持平为0。</w:t>
        <w:br/>
        <w:t>　　截至2024年12月31日，使用财政拨款开支运行维护费的公务用车保有量为0辆。</w:t>
        <w:br/>
        <w:t>　　公务用车购置费预算0元，支出决算0元（去年同期0元），支出决算与2024年预算相比持平；支出决算较上年持平。因本年及去年同期均未使用财政拨款列支公务用车购置费，故本年支出决算与本年预算、上年支出决算均持平为0。</w:t>
        <w:br/>
        <w:t>　　2024年购置公务用车0辆。</w:t>
      </w:r>
    </w:p>
    <w:p w:rsidR="0078279A" w14:paraId="4BF9BA5E" w14:textId="77777777">
      <w:pPr>
        <w:spacing w:line="600" w:lineRule="exact"/>
        <w:ind w:firstLine="600" w:firstLineChars="200"/>
        <w:jc w:val="both"/>
        <w:rPr>
          <w:rFonts w:eastAsia="仿宋_GB2312" w:cs="仿宋_GB2312"/>
          <w:sz w:val="30"/>
          <w:szCs w:val="30"/>
        </w:rPr>
      </w:pPr>
      <w:r>
        <w:rPr>
          <w:rFonts w:eastAsia="仿宋_GB2312" w:cs="仿宋_GB2312" w:hint="eastAsia"/>
          <w:sz w:val="30"/>
          <w:szCs w:val="30"/>
        </w:rPr>
        <w:t>3.公务接待费预算0元，支出决算0元（去年同期0元），支出决算与2024年预算相比持平；支出决算较上年持平。因本年及去年同期均未使用财政拨款列支公务接待费，故本年支出决算与本年预算、上年支出决算均持平为0。</w:t>
        <w:br/>
        <w:t>　　2024年本单位国内公务接待0批次，0人次；其中，外事接待0批次，0人次。</w:t>
      </w:r>
    </w:p>
    <w:p w:rsidR="0078279A" w14:paraId="466F79AC" w14:textId="77777777">
      <w:pPr>
        <w:pStyle w:val="Heading2"/>
        <w:spacing w:before="0" w:after="0" w:line="600" w:lineRule="exact"/>
        <w:ind w:firstLine="600" w:firstLineChars="200"/>
        <w:rPr>
          <w:rFonts w:ascii="Times New Roman" w:eastAsia="黑体" w:hAnsi="Times New Roman"/>
          <w:b w:val="0"/>
          <w:sz w:val="30"/>
          <w:szCs w:val="30"/>
        </w:rPr>
      </w:pPr>
      <w:bookmarkStart w:id="26" w:name="_Toc2589"/>
      <w:r>
        <w:rPr>
          <w:rFonts w:ascii="Times New Roman" w:eastAsia="黑体" w:hAnsi="Times New Roman" w:hint="eastAsia"/>
          <w:b w:val="0"/>
          <w:sz w:val="30"/>
          <w:szCs w:val="30"/>
        </w:rPr>
        <w:t>十、</w:t>
      </w:r>
      <w:r>
        <w:rPr>
          <w:rFonts w:ascii="Times New Roman" w:eastAsia="黑体" w:hAnsi="Times New Roman"/>
          <w:b w:val="0"/>
          <w:sz w:val="30"/>
          <w:szCs w:val="30"/>
        </w:rPr>
        <w:t>机关运行经费</w:t>
      </w:r>
      <w:r>
        <w:rPr>
          <w:rFonts w:ascii="Times New Roman" w:eastAsia="黑体" w:hAnsi="Times New Roman" w:hint="eastAsia"/>
          <w:b w:val="0"/>
          <w:sz w:val="30"/>
          <w:szCs w:val="30"/>
        </w:rPr>
        <w:t>支出情况</w:t>
      </w:r>
      <w:r>
        <w:rPr>
          <w:rFonts w:ascii="Times New Roman" w:eastAsia="黑体" w:hAnsi="Times New Roman" w:hint="eastAsia"/>
          <w:b w:val="0"/>
          <w:bCs w:val="0"/>
          <w:sz w:val="30"/>
          <w:szCs w:val="30"/>
        </w:rPr>
        <w:t>说明</w:t>
      </w:r>
      <w:bookmarkEnd w:id="26"/>
    </w:p>
    <w:p w:rsidR="0078279A" w14:paraId="3D9B86F0" w14:textId="77777777">
      <w:pPr>
        <w:spacing w:line="600" w:lineRule="exact"/>
        <w:ind w:firstLine="600"/>
        <w:jc w:val="both"/>
        <w:rPr>
          <w:rFonts w:eastAsia="楷体"/>
          <w:sz w:val="30"/>
          <w:szCs w:val="30"/>
        </w:rPr>
      </w:pPr>
      <w:r>
        <w:rPr>
          <w:rFonts w:eastAsia="仿宋_GB2312" w:cs="仿宋_GB2312" w:hint="eastAsia"/>
          <w:sz w:val="30"/>
          <w:szCs w:val="30"/>
        </w:rPr>
        <w:t>天津市河北区计量检定所2024年度无机关运行经费。</w:t>
      </w:r>
    </w:p>
    <w:p w:rsidR="0078279A" w14:paraId="12947BA8" w14:textId="77777777">
      <w:pPr>
        <w:pStyle w:val="Heading2"/>
        <w:spacing w:before="0" w:after="0" w:line="600" w:lineRule="exact"/>
        <w:ind w:firstLine="600" w:firstLineChars="200"/>
        <w:rPr>
          <w:rFonts w:ascii="Times New Roman" w:eastAsia="黑体" w:hAnsi="Times New Roman"/>
          <w:b w:val="0"/>
          <w:sz w:val="30"/>
          <w:szCs w:val="30"/>
        </w:rPr>
      </w:pPr>
      <w:bookmarkStart w:id="27" w:name="_Toc15010"/>
      <w:r>
        <w:rPr>
          <w:rFonts w:ascii="Times New Roman" w:eastAsia="黑体" w:hAnsi="Times New Roman" w:hint="eastAsia"/>
          <w:b w:val="0"/>
          <w:sz w:val="30"/>
          <w:szCs w:val="30"/>
        </w:rPr>
        <w:t>十一、</w:t>
      </w:r>
      <w:r>
        <w:rPr>
          <w:rFonts w:ascii="Times New Roman" w:eastAsia="黑体" w:hAnsi="Times New Roman"/>
          <w:b w:val="0"/>
          <w:sz w:val="30"/>
          <w:szCs w:val="30"/>
        </w:rPr>
        <w:t>政府采购</w:t>
      </w:r>
      <w:r>
        <w:rPr>
          <w:rFonts w:ascii="Times New Roman" w:eastAsia="黑体" w:hAnsi="Times New Roman" w:hint="eastAsia"/>
          <w:b w:val="0"/>
          <w:sz w:val="30"/>
          <w:szCs w:val="30"/>
        </w:rPr>
        <w:t>支出</w:t>
      </w:r>
      <w:r>
        <w:rPr>
          <w:rFonts w:ascii="Times New Roman" w:eastAsia="黑体" w:hAnsi="Times New Roman"/>
          <w:b w:val="0"/>
          <w:sz w:val="30"/>
          <w:szCs w:val="30"/>
        </w:rPr>
        <w:t>情况</w:t>
      </w:r>
      <w:r>
        <w:rPr>
          <w:rFonts w:ascii="Times New Roman" w:eastAsia="黑体" w:hAnsi="Times New Roman" w:hint="eastAsia"/>
          <w:b w:val="0"/>
          <w:bCs w:val="0"/>
          <w:sz w:val="30"/>
          <w:szCs w:val="30"/>
        </w:rPr>
        <w:t>说明</w:t>
      </w:r>
      <w:bookmarkEnd w:id="27"/>
    </w:p>
    <w:p w:rsidR="0078279A" w14:paraId="6558A708" w14:textId="77777777">
      <w:pPr>
        <w:spacing w:line="600" w:lineRule="exact"/>
        <w:ind w:firstLine="600" w:firstLineChars="200"/>
        <w:jc w:val="both"/>
        <w:rPr>
          <w:rFonts w:eastAsia="楷体"/>
          <w:sz w:val="30"/>
          <w:szCs w:val="30"/>
        </w:rPr>
      </w:pPr>
      <w:r>
        <w:rPr>
          <w:rFonts w:eastAsia="仿宋_GB2312" w:cs="仿宋_GB2312" w:hint="eastAsia"/>
          <w:sz w:val="30"/>
          <w:szCs w:val="30"/>
        </w:rPr>
        <w:t>天津市河北区计量检定所2024年政府采购支出总额1,680元，其中：政府采购货物支出1,680元、政府采购工程支出0元、政府采购服务支出0元。授予中小企业合同金额1,680元，占政府采购支出总额的100%，其中：授予小微企业合同金额1,680元，占政府采购支出总额的100%；货物采购授予中小企业合同金额占货物支出金额的100%，工程采购授予中小企业合同金额占工程支出金额的0%，服务采购授予中小企业合同金额占服务支出金额的0%。</w:t>
      </w:r>
    </w:p>
    <w:p w:rsidR="0078279A" w14:paraId="150CD74B" w14:textId="77777777">
      <w:pPr>
        <w:pStyle w:val="Heading2"/>
        <w:spacing w:before="0" w:after="0" w:line="600" w:lineRule="exact"/>
        <w:ind w:firstLine="600" w:firstLineChars="200"/>
        <w:rPr>
          <w:rFonts w:ascii="Times New Roman" w:eastAsia="黑体" w:hAnsi="Times New Roman"/>
          <w:b w:val="0"/>
          <w:sz w:val="30"/>
          <w:szCs w:val="30"/>
        </w:rPr>
      </w:pPr>
      <w:bookmarkStart w:id="28" w:name="_Toc32128"/>
      <w:r>
        <w:rPr>
          <w:rFonts w:ascii="Times New Roman" w:eastAsia="黑体" w:hAnsi="Times New Roman" w:hint="eastAsia"/>
          <w:b w:val="0"/>
          <w:sz w:val="30"/>
          <w:szCs w:val="30"/>
        </w:rPr>
        <w:t>十二、国有资产占有使用情况</w:t>
      </w:r>
      <w:r>
        <w:rPr>
          <w:rFonts w:ascii="Times New Roman" w:eastAsia="黑体" w:hAnsi="Times New Roman" w:hint="eastAsia"/>
          <w:b w:val="0"/>
          <w:bCs w:val="0"/>
          <w:sz w:val="30"/>
          <w:szCs w:val="30"/>
        </w:rPr>
        <w:t>说明</w:t>
      </w:r>
      <w:bookmarkEnd w:id="28"/>
    </w:p>
    <w:p w:rsidR="0078279A" w14:paraId="28AC159D" w14:textId="77777777">
      <w:pPr>
        <w:spacing w:line="600" w:lineRule="exact"/>
        <w:ind w:firstLine="600" w:firstLineChars="200"/>
        <w:jc w:val="both"/>
        <w:rPr>
          <w:rFonts w:eastAsia="楷体"/>
          <w:sz w:val="30"/>
          <w:szCs w:val="30"/>
        </w:rPr>
      </w:pPr>
      <w:r>
        <w:rPr>
          <w:rFonts w:eastAsia="仿宋_GB2312" w:cs="仿宋_GB2312" w:hint="eastAsia"/>
          <w:sz w:val="30"/>
          <w:szCs w:val="30"/>
        </w:rPr>
        <w:t>天津市河北区计量检定所2024年度无国有资产占有使用情况。</w:t>
      </w:r>
    </w:p>
    <w:p w:rsidR="0078279A" w14:paraId="6CC5F8CE" w14:textId="77777777">
      <w:pPr>
        <w:pStyle w:val="Heading2"/>
        <w:spacing w:before="0" w:after="0" w:line="540" w:lineRule="exact"/>
        <w:ind w:firstLine="600" w:firstLineChars="200"/>
        <w:rPr>
          <w:rFonts w:ascii="Times New Roman" w:eastAsia="黑体" w:hAnsi="Times New Roman"/>
          <w:b w:val="0"/>
          <w:bCs w:val="0"/>
          <w:sz w:val="30"/>
          <w:szCs w:val="30"/>
        </w:rPr>
      </w:pPr>
      <w:bookmarkStart w:id="29" w:name="_Toc31889"/>
      <w:r>
        <w:rPr>
          <w:rFonts w:ascii="Times New Roman" w:eastAsia="黑体" w:hAnsi="Times New Roman" w:hint="eastAsia"/>
          <w:b w:val="0"/>
          <w:bCs w:val="0"/>
          <w:sz w:val="30"/>
          <w:szCs w:val="30"/>
        </w:rPr>
        <w:t>十三、预算绩效情况说明</w:t>
      </w:r>
      <w:bookmarkEnd w:id="29"/>
    </w:p>
    <w:p w:rsidR="0078279A" w14:paraId="01E6EFB3" w14:textId="77777777">
      <w:pPr>
        <w:spacing w:line="600" w:lineRule="exact"/>
        <w:ind w:firstLine="600" w:firstLineChars="200"/>
        <w:jc w:val="both"/>
        <w:rPr>
          <w:rFonts w:eastAsia="仿宋_GB2312"/>
          <w:sz w:val="30"/>
          <w:szCs w:val="30"/>
          <w:highlight w:val="yellow"/>
        </w:rPr>
      </w:pPr>
      <w:r>
        <w:rPr>
          <w:rFonts w:eastAsia="仿宋_GB2312" w:cs="仿宋_GB2312" w:hint="eastAsia"/>
          <w:sz w:val="30"/>
          <w:szCs w:val="30"/>
        </w:rPr>
        <w:t>天津市河北区计量检定所2024年度没有项目支出，无需开展绩效自评。</w:t>
      </w:r>
    </w:p>
    <w:p w:rsidR="0078279A" w14:paraId="1386590E" w14:textId="77777777">
      <w:pPr>
        <w:pStyle w:val="Heading2"/>
        <w:spacing w:before="0" w:after="0" w:line="600" w:lineRule="exact"/>
        <w:ind w:firstLine="600" w:firstLineChars="200"/>
        <w:rPr>
          <w:rFonts w:ascii="Times New Roman" w:eastAsia="黑体" w:hAnsi="Times New Roman"/>
          <w:b w:val="0"/>
          <w:sz w:val="30"/>
          <w:szCs w:val="30"/>
        </w:rPr>
      </w:pPr>
      <w:bookmarkStart w:id="30" w:name="_Toc6543"/>
      <w:r>
        <w:rPr>
          <w:rFonts w:ascii="Times New Roman" w:eastAsia="黑体" w:hAnsi="Times New Roman" w:hint="eastAsia"/>
          <w:b w:val="0"/>
          <w:sz w:val="30"/>
          <w:szCs w:val="30"/>
        </w:rPr>
        <w:t>十四、</w:t>
      </w:r>
      <w:r>
        <w:rPr>
          <w:rFonts w:ascii="Times New Roman" w:eastAsia="黑体" w:hAnsi="Times New Roman"/>
          <w:b w:val="0"/>
          <w:sz w:val="30"/>
          <w:szCs w:val="30"/>
        </w:rPr>
        <w:t>教育、医疗卫生、社会保障和就业、住房保障、涉农补贴等民生支出情况</w:t>
      </w:r>
      <w:r>
        <w:rPr>
          <w:rFonts w:ascii="Times New Roman" w:eastAsia="黑体" w:hAnsi="Times New Roman" w:hint="eastAsia"/>
          <w:b w:val="0"/>
          <w:bCs w:val="0"/>
          <w:sz w:val="30"/>
          <w:szCs w:val="30"/>
        </w:rPr>
        <w:t>说明</w:t>
      </w:r>
      <w:bookmarkEnd w:id="30"/>
    </w:p>
    <w:p w:rsidR="0078279A" w14:paraId="24133C51" w14:textId="77777777">
      <w:pPr>
        <w:spacing w:line="600" w:lineRule="exact"/>
        <w:ind w:firstLine="600"/>
        <w:jc w:val="both"/>
        <w:rPr>
          <w:rFonts w:eastAsia="楷体"/>
          <w:b/>
          <w:bCs/>
          <w:sz w:val="30"/>
          <w:szCs w:val="30"/>
        </w:rPr>
        <w:sectPr>
          <w:pgSz w:w="11906" w:h="16838"/>
          <w:pgMar w:top="1440" w:right="1800" w:bottom="1440" w:left="1800" w:header="851" w:footer="992" w:gutter="0"/>
          <w:cols w:space="720"/>
          <w:docGrid w:type="lines" w:linePitch="312"/>
        </w:sectPr>
      </w:pPr>
      <w:r>
        <w:rPr>
          <w:rFonts w:eastAsia="仿宋_GB2312" w:cs="仿宋_GB2312" w:hint="eastAsia"/>
          <w:sz w:val="30"/>
          <w:szCs w:val="30"/>
        </w:rPr>
        <w:t>天津市河北区计量检定所不属于乡、镇、街级单位，不涉及公开2024年度教育、医疗卫生、社会保障和就业、住房保障、涉农补贴等民生支出情况。</w:t>
      </w:r>
      <w:r>
        <w:rPr>
          <w:rFonts w:eastAsia="楷体"/>
          <w:b/>
          <w:bCs/>
          <w:sz w:val="30"/>
          <w:szCs w:val="30"/>
        </w:rPr>
        <w:t xml:space="preserve"> </w:t>
      </w:r>
    </w:p>
    <w:p w:rsidR="0078279A" w14:paraId="10FDABD2" w14:textId="77777777">
      <w:pPr>
        <w:pStyle w:val="Heading1"/>
        <w:spacing w:before="0" w:after="0" w:line="600" w:lineRule="exact"/>
        <w:jc w:val="center"/>
        <w:rPr>
          <w:rFonts w:eastAsia="方正小标宋简体" w:cs="方正小标宋简体"/>
          <w:b w:val="0"/>
        </w:rPr>
      </w:pPr>
      <w:bookmarkStart w:id="31" w:name="_Toc24691"/>
      <w:bookmarkStart w:id="32" w:name="_Toc17573"/>
      <w:r>
        <w:rPr>
          <w:rFonts w:eastAsia="方正小标宋简体" w:cs="方正小标宋简体" w:hint="eastAsia"/>
          <w:b w:val="0"/>
        </w:rPr>
        <w:t>第四部分</w:t>
      </w:r>
      <w:r>
        <w:rPr>
          <w:rFonts w:eastAsia="方正小标宋简体" w:cs="方正小标宋简体" w:hint="eastAsia"/>
          <w:b w:val="0"/>
        </w:rPr>
        <w:t xml:space="preserve">  </w:t>
      </w:r>
      <w:r>
        <w:rPr>
          <w:rFonts w:eastAsia="方正小标宋简体" w:cs="方正小标宋简体" w:hint="eastAsia"/>
          <w:b w:val="0"/>
        </w:rPr>
        <w:t>名词解释</w:t>
      </w:r>
      <w:bookmarkEnd w:id="31"/>
      <w:bookmarkEnd w:id="32"/>
    </w:p>
    <w:p w:rsidR="0078279A" w14:paraId="6EB55A33" w14:textId="77777777">
      <w:pPr>
        <w:spacing w:line="600" w:lineRule="exact"/>
        <w:ind w:firstLine="600" w:firstLineChars="200"/>
        <w:rPr>
          <w:rFonts w:eastAsia="仿宋_GB2312"/>
          <w:sz w:val="30"/>
          <w:szCs w:val="30"/>
        </w:rPr>
      </w:pPr>
    </w:p>
    <w:p w:rsidR="0078279A" w14:paraId="3E52383C" w14:textId="77777777">
      <w:pPr>
        <w:numPr>
          <w:ilvl w:val="0"/>
          <w:numId w:val="2"/>
        </w:numPr>
        <w:spacing w:line="600" w:lineRule="exact"/>
        <w:ind w:firstLine="600" w:firstLineChars="200"/>
        <w:rPr>
          <w:rFonts w:eastAsia="仿宋_GB2312"/>
          <w:sz w:val="30"/>
          <w:szCs w:val="30"/>
        </w:rPr>
      </w:pPr>
      <w:r>
        <w:rPr>
          <w:rFonts w:eastAsia="仿宋_GB2312" w:hint="eastAsia"/>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rsidR="0078279A" w14:paraId="73442A3D" w14:textId="77777777">
      <w:pPr>
        <w:spacing w:line="600" w:lineRule="exact"/>
        <w:ind w:firstLine="600" w:firstLineChars="200"/>
        <w:rPr>
          <w:rFonts w:eastAsia="仿宋_GB2312"/>
          <w:sz w:val="30"/>
          <w:szCs w:val="30"/>
        </w:rPr>
      </w:pPr>
      <w:r>
        <w:rPr>
          <w:rFonts w:eastAsia="仿宋_GB2312" w:hint="eastAsia"/>
          <w:sz w:val="30"/>
          <w:szCs w:val="30"/>
        </w:rPr>
        <w:t>2.</w:t>
      </w:r>
      <w:r>
        <w:rPr>
          <w:rFonts w:eastAsia="仿宋_GB2312" w:hint="eastAsia"/>
          <w:sz w:val="30"/>
          <w:szCs w:val="30"/>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rsidR="0078279A" w14:paraId="19155B33" w14:textId="77777777">
      <w:pPr>
        <w:spacing w:line="600" w:lineRule="exact"/>
        <w:ind w:firstLine="600" w:firstLineChars="200"/>
        <w:rPr>
          <w:rFonts w:eastAsia="仿宋_GB2312"/>
          <w:sz w:val="30"/>
          <w:szCs w:val="30"/>
        </w:rPr>
      </w:pPr>
      <w:r>
        <w:rPr>
          <w:rFonts w:eastAsia="仿宋_GB2312" w:hint="eastAsia"/>
          <w:sz w:val="30"/>
          <w:szCs w:val="30"/>
        </w:rPr>
        <w:t>3.</w:t>
      </w:r>
      <w:r>
        <w:rPr>
          <w:rFonts w:eastAsia="仿宋_GB2312" w:hint="eastAsia"/>
          <w:sz w:val="30"/>
          <w:szCs w:val="30"/>
        </w:rPr>
        <w:t>“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p w:rsidR="0078279A" w14:paraId="635882E0" w14:textId="77777777">
      <w:pPr>
        <w:spacing w:line="600" w:lineRule="exact"/>
        <w:ind w:firstLine="600"/>
        <w:rPr>
          <w:rFonts w:eastAsia="仿宋_GB2312"/>
          <w:sz w:val="30"/>
          <w:szCs w:val="30"/>
        </w:rPr>
      </w:pPr>
    </w:p>
    <w:sectPr>
      <w:footerReference w:type="default" r:id="rId7"/>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279A" w14:paraId="5BE0D38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279A" w14:paraId="71683A5B" w14:textId="77777777">
    <w:pPr>
      <w:pStyle w:val="Footer"/>
    </w:pPr>
    <w:r>
      <w:rPr>
        <w:noProof/>
      </w:rPr>
      <mc:AlternateContent>
        <mc:Choice Requires="wps">
          <w:drawing>
            <wp:anchor distT="0" distB="0" distL="114300" distR="114300" simplePos="0" relativeHeight="251661312" behindDoc="0" locked="0" layoutInCell="1" allowOverlap="1">
              <wp:simplePos x="0" y="0"/>
              <wp:positionH relativeFrom="margin">
                <wp:posOffset>2632075</wp:posOffset>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15875">
                        <a:noFill/>
                      </a:ln>
                    </wps:spPr>
                    <wps:txbx>
                      <w:txbxContent>
                        <w:p w:rsidR="0078279A" w14:textId="77777777">
                          <w:pPr>
                            <w:snapToGrid w:val="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Pr>
                              <w:szCs w:val="24"/>
                            </w:rPr>
                            <w:t>10</w:t>
                          </w:r>
                          <w:r>
                            <w:rPr>
                              <w:rFonts w:hint="eastAsia"/>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2049" type="#_x0000_t202" style="width:2in;height:2in;margin-top:0;margin-left:207.25pt;mso-position-horizontal-relative:margin;mso-wrap-distance-bottom:0;mso-wrap-distance-left:9pt;mso-wrap-distance-right:9pt;mso-wrap-distance-top:0;mso-wrap-style:none;position:absolute;v-text-anchor:top;z-index:251660288" filled="f" fillcolor="this" stroked="f" strokeweight="1.25pt">
              <v:textbox style="mso-fit-shape-to-text:t" inset="0,0,0,0">
                <w:txbxContent>
                  <w:p w:rsidR="0078279A" w14:paraId="7DAF9084" w14:textId="77777777">
                    <w:pPr>
                      <w:snapToGrid w:val="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Pr>
                        <w:szCs w:val="24"/>
                      </w:rPr>
                      <w:t>10</w:t>
                    </w:r>
                    <w:r>
                      <w:rPr>
                        <w:rFonts w:hint="eastAsia"/>
                        <w:szCs w:val="24"/>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279A" w14:paraId="2C8C326E" w14:textId="77777777">
    <w:pPr>
      <w:pStyle w:val="Footer"/>
    </w:pPr>
    <w:r>
      <w:rPr>
        <w:noProof/>
      </w:rPr>
      <mc:AlternateContent>
        <mc:Choice Requires="wps">
          <w:drawing>
            <wp:anchor distT="0" distB="0" distL="114300" distR="114300" simplePos="0" relativeHeight="251659264" behindDoc="0" locked="0" layoutInCell="1" allowOverlap="1">
              <wp:simplePos x="0" y="0"/>
              <wp:positionH relativeFrom="margin">
                <wp:posOffset>2632075</wp:posOffset>
              </wp:positionH>
              <wp:positionV relativeFrom="paragraph">
                <wp:posOffset>0</wp:posOffset>
              </wp:positionV>
              <wp:extent cx="1828800" cy="1828800"/>
              <wp:effectExtent l="3175" t="0" r="0" b="0"/>
              <wp:wrapNone/>
              <wp:docPr id="1" name="文本框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28800" cy="1828800"/>
                      </a:xfrm>
                      <a:prstGeom prst="rect">
                        <a:avLst/>
                      </a:prstGeom>
                      <a:noFill/>
                      <a:ln>
                        <a:noFill/>
                      </a:ln>
                    </wps:spPr>
                    <wps:txbx>
                      <w:txbxContent>
                        <w:p w:rsidR="0078279A" w14:textId="77777777">
                          <w:pPr>
                            <w:snapToGrid w:val="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Pr>
                              <w:szCs w:val="24"/>
                            </w:rPr>
                            <w:t>11</w:t>
                          </w:r>
                          <w:r>
                            <w:rPr>
                              <w:rFonts w:hint="eastAsia"/>
                              <w:szCs w:val="24"/>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2050" type="#_x0000_t202" style="width:2in;height:2in;margin-top:0;margin-left:207.25pt;mso-position-horizontal-relative:margin;mso-wrap-distance-bottom:0;mso-wrap-distance-left:9pt;mso-wrap-distance-right:9pt;mso-wrap-distance-top:0;mso-wrap-style:none;position:absolute;v-text-anchor:top;z-index:251658240" filled="f" fillcolor="this" stroked="f">
              <v:textbox style="mso-fit-shape-to-text:t" inset="0,0,0,0">
                <w:txbxContent>
                  <w:p w:rsidR="0078279A" w14:paraId="0D0D8826" w14:textId="77777777">
                    <w:pPr>
                      <w:snapToGrid w:val="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Pr>
                        <w:szCs w:val="24"/>
                      </w:rPr>
                      <w:t>11</w:t>
                    </w:r>
                    <w:r>
                      <w:rPr>
                        <w:rFonts w:hint="eastAsia"/>
                        <w:szCs w:val="24"/>
                      </w:rPr>
                      <w:fldChar w:fldCharType="end"/>
                    </w:r>
                  </w:p>
                </w:txbxContent>
              </v:textbox>
              <w10:wrap anchorx="margin"/>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2CB79B7"/>
    <w:multiLevelType w:val="singleLevel"/>
    <w:tmpl w:val="62CB79B7"/>
    <w:lvl w:ilvl="0">
      <w:start w:val="3"/>
      <w:numFmt w:val="chineseCounting"/>
      <w:suff w:val="nothing"/>
      <w:lvlText w:val="（%1）"/>
      <w:lvlJc w:val="left"/>
    </w:lvl>
  </w:abstractNum>
  <w:abstractNum w:abstractNumId="1">
    <w:nsid w:val="62CB88B4"/>
    <w:multiLevelType w:val="singleLevel"/>
    <w:tmpl w:val="62CB88B4"/>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D802DB"/>
    <w:rsid w:val="D74FDF30"/>
    <w:rsid w:val="DEAEE68D"/>
    <w:rsid w:val="F7F97754"/>
    <w:rsid w:val="FB7FC3E7"/>
    <w:rsid w:val="FF3F61B6"/>
    <w:rsid w:val="FFC7ECE8"/>
    <w:rsid w:val="00015911"/>
    <w:rsid w:val="00046E1C"/>
    <w:rsid w:val="00053901"/>
    <w:rsid w:val="000864BF"/>
    <w:rsid w:val="00092AB8"/>
    <w:rsid w:val="00095801"/>
    <w:rsid w:val="000B4E39"/>
    <w:rsid w:val="000E2F8C"/>
    <w:rsid w:val="000F2C61"/>
    <w:rsid w:val="00100BE7"/>
    <w:rsid w:val="001041E7"/>
    <w:rsid w:val="00112C55"/>
    <w:rsid w:val="001179AF"/>
    <w:rsid w:val="0012059C"/>
    <w:rsid w:val="00124993"/>
    <w:rsid w:val="0012531C"/>
    <w:rsid w:val="00126E2D"/>
    <w:rsid w:val="00132705"/>
    <w:rsid w:val="001829A0"/>
    <w:rsid w:val="00186ED8"/>
    <w:rsid w:val="001F0A7F"/>
    <w:rsid w:val="001F61CD"/>
    <w:rsid w:val="00203AAA"/>
    <w:rsid w:val="00241712"/>
    <w:rsid w:val="00243B89"/>
    <w:rsid w:val="002532F7"/>
    <w:rsid w:val="002566ED"/>
    <w:rsid w:val="00257643"/>
    <w:rsid w:val="00287148"/>
    <w:rsid w:val="002912A7"/>
    <w:rsid w:val="002952C1"/>
    <w:rsid w:val="002D2BBE"/>
    <w:rsid w:val="002E091E"/>
    <w:rsid w:val="002F00A9"/>
    <w:rsid w:val="003326FB"/>
    <w:rsid w:val="003365DD"/>
    <w:rsid w:val="003714D5"/>
    <w:rsid w:val="0037703E"/>
    <w:rsid w:val="00381206"/>
    <w:rsid w:val="0038216E"/>
    <w:rsid w:val="003942CD"/>
    <w:rsid w:val="003A4529"/>
    <w:rsid w:val="003B47DF"/>
    <w:rsid w:val="003D48A6"/>
    <w:rsid w:val="004040D1"/>
    <w:rsid w:val="00432D37"/>
    <w:rsid w:val="00464079"/>
    <w:rsid w:val="00465602"/>
    <w:rsid w:val="004918AD"/>
    <w:rsid w:val="004A10D3"/>
    <w:rsid w:val="004A1361"/>
    <w:rsid w:val="0050332F"/>
    <w:rsid w:val="00503464"/>
    <w:rsid w:val="0052293E"/>
    <w:rsid w:val="00525F27"/>
    <w:rsid w:val="00532C4C"/>
    <w:rsid w:val="005438C2"/>
    <w:rsid w:val="005626B9"/>
    <w:rsid w:val="00570354"/>
    <w:rsid w:val="005828D7"/>
    <w:rsid w:val="005B60DB"/>
    <w:rsid w:val="005C22AF"/>
    <w:rsid w:val="005F2510"/>
    <w:rsid w:val="00604094"/>
    <w:rsid w:val="006566FC"/>
    <w:rsid w:val="00676A5E"/>
    <w:rsid w:val="00684825"/>
    <w:rsid w:val="006A54BF"/>
    <w:rsid w:val="006D05B2"/>
    <w:rsid w:val="006D71B2"/>
    <w:rsid w:val="006E6D9E"/>
    <w:rsid w:val="00724386"/>
    <w:rsid w:val="00727434"/>
    <w:rsid w:val="00734D29"/>
    <w:rsid w:val="0077787E"/>
    <w:rsid w:val="00780DDB"/>
    <w:rsid w:val="0078279A"/>
    <w:rsid w:val="0078399B"/>
    <w:rsid w:val="0079348B"/>
    <w:rsid w:val="007A3491"/>
    <w:rsid w:val="007B4B58"/>
    <w:rsid w:val="007F3679"/>
    <w:rsid w:val="007F448B"/>
    <w:rsid w:val="007F718E"/>
    <w:rsid w:val="00801B2B"/>
    <w:rsid w:val="00803B43"/>
    <w:rsid w:val="00817AE2"/>
    <w:rsid w:val="0085671E"/>
    <w:rsid w:val="00876FA4"/>
    <w:rsid w:val="00887A19"/>
    <w:rsid w:val="00893EAC"/>
    <w:rsid w:val="008A6092"/>
    <w:rsid w:val="008C3474"/>
    <w:rsid w:val="008C677C"/>
    <w:rsid w:val="008D2605"/>
    <w:rsid w:val="008D64CE"/>
    <w:rsid w:val="009142B8"/>
    <w:rsid w:val="00915276"/>
    <w:rsid w:val="00936468"/>
    <w:rsid w:val="009371C3"/>
    <w:rsid w:val="0094195A"/>
    <w:rsid w:val="00973659"/>
    <w:rsid w:val="0098387F"/>
    <w:rsid w:val="009E0EF5"/>
    <w:rsid w:val="009F18E1"/>
    <w:rsid w:val="009F6C2B"/>
    <w:rsid w:val="009F712F"/>
    <w:rsid w:val="00A026D9"/>
    <w:rsid w:val="00A03F1F"/>
    <w:rsid w:val="00A12C57"/>
    <w:rsid w:val="00A14B8A"/>
    <w:rsid w:val="00A41813"/>
    <w:rsid w:val="00A557F8"/>
    <w:rsid w:val="00A609A1"/>
    <w:rsid w:val="00AA676A"/>
    <w:rsid w:val="00B13870"/>
    <w:rsid w:val="00B14558"/>
    <w:rsid w:val="00B17258"/>
    <w:rsid w:val="00B210F5"/>
    <w:rsid w:val="00B44EDA"/>
    <w:rsid w:val="00B53416"/>
    <w:rsid w:val="00B70243"/>
    <w:rsid w:val="00B807AE"/>
    <w:rsid w:val="00BA3182"/>
    <w:rsid w:val="00BB0047"/>
    <w:rsid w:val="00BB051A"/>
    <w:rsid w:val="00BC1AE3"/>
    <w:rsid w:val="00BD343E"/>
    <w:rsid w:val="00BE511A"/>
    <w:rsid w:val="00BE682B"/>
    <w:rsid w:val="00C0672E"/>
    <w:rsid w:val="00C23867"/>
    <w:rsid w:val="00C33362"/>
    <w:rsid w:val="00C4105D"/>
    <w:rsid w:val="00C47864"/>
    <w:rsid w:val="00C50C4F"/>
    <w:rsid w:val="00C528B3"/>
    <w:rsid w:val="00C52B2B"/>
    <w:rsid w:val="00C53602"/>
    <w:rsid w:val="00C56340"/>
    <w:rsid w:val="00C77332"/>
    <w:rsid w:val="00C83F29"/>
    <w:rsid w:val="00CA5CD5"/>
    <w:rsid w:val="00CB5EF5"/>
    <w:rsid w:val="00CE4C80"/>
    <w:rsid w:val="00CE7A0E"/>
    <w:rsid w:val="00CF0671"/>
    <w:rsid w:val="00CF4ADE"/>
    <w:rsid w:val="00D20562"/>
    <w:rsid w:val="00D56FBF"/>
    <w:rsid w:val="00DA3A83"/>
    <w:rsid w:val="00DA7E95"/>
    <w:rsid w:val="00DB0D2B"/>
    <w:rsid w:val="00DC0D31"/>
    <w:rsid w:val="00E21DD7"/>
    <w:rsid w:val="00E412B5"/>
    <w:rsid w:val="00E42082"/>
    <w:rsid w:val="00E4337C"/>
    <w:rsid w:val="00E56EBF"/>
    <w:rsid w:val="00E56F06"/>
    <w:rsid w:val="00E576CC"/>
    <w:rsid w:val="00E61DF9"/>
    <w:rsid w:val="00E8285A"/>
    <w:rsid w:val="00E8795B"/>
    <w:rsid w:val="00EB277E"/>
    <w:rsid w:val="00EB7B3B"/>
    <w:rsid w:val="00EE2CA4"/>
    <w:rsid w:val="00F008E4"/>
    <w:rsid w:val="00F14DB8"/>
    <w:rsid w:val="00F3454D"/>
    <w:rsid w:val="00F3737B"/>
    <w:rsid w:val="00F6315A"/>
    <w:rsid w:val="00FF6CDB"/>
    <w:rsid w:val="01582EB3"/>
    <w:rsid w:val="01D92F4B"/>
    <w:rsid w:val="021D09AE"/>
    <w:rsid w:val="02317CA1"/>
    <w:rsid w:val="02C26D17"/>
    <w:rsid w:val="032B2B72"/>
    <w:rsid w:val="03633F1C"/>
    <w:rsid w:val="03877CF5"/>
    <w:rsid w:val="03971CD2"/>
    <w:rsid w:val="03A73B20"/>
    <w:rsid w:val="03AF5F26"/>
    <w:rsid w:val="04D27C6A"/>
    <w:rsid w:val="04DA6E85"/>
    <w:rsid w:val="054E0E8D"/>
    <w:rsid w:val="059D199E"/>
    <w:rsid w:val="065A73D7"/>
    <w:rsid w:val="068D56CD"/>
    <w:rsid w:val="068F1656"/>
    <w:rsid w:val="06CE3C39"/>
    <w:rsid w:val="070745F4"/>
    <w:rsid w:val="0750320D"/>
    <w:rsid w:val="080C427F"/>
    <w:rsid w:val="08496DC5"/>
    <w:rsid w:val="08601190"/>
    <w:rsid w:val="08610C17"/>
    <w:rsid w:val="08754C50"/>
    <w:rsid w:val="08AB76E6"/>
    <w:rsid w:val="08B17C7F"/>
    <w:rsid w:val="09794F69"/>
    <w:rsid w:val="09965884"/>
    <w:rsid w:val="09A97994"/>
    <w:rsid w:val="09BC7107"/>
    <w:rsid w:val="09C86481"/>
    <w:rsid w:val="09CD6F6A"/>
    <w:rsid w:val="0ABD2EA9"/>
    <w:rsid w:val="0AF02B7A"/>
    <w:rsid w:val="0B0C0657"/>
    <w:rsid w:val="0B2F7E6E"/>
    <w:rsid w:val="0B7057C8"/>
    <w:rsid w:val="0BF51CAC"/>
    <w:rsid w:val="0C327E5C"/>
    <w:rsid w:val="0C782ACE"/>
    <w:rsid w:val="0CD8398F"/>
    <w:rsid w:val="0D66464C"/>
    <w:rsid w:val="0DCA24E7"/>
    <w:rsid w:val="0E1905E8"/>
    <w:rsid w:val="0E3D2D31"/>
    <w:rsid w:val="0E6B081A"/>
    <w:rsid w:val="0E812A35"/>
    <w:rsid w:val="0F1A64E0"/>
    <w:rsid w:val="0F3A7BBE"/>
    <w:rsid w:val="0FB146BC"/>
    <w:rsid w:val="10D0376E"/>
    <w:rsid w:val="11D75F2F"/>
    <w:rsid w:val="11D802DB"/>
    <w:rsid w:val="121401BA"/>
    <w:rsid w:val="122136E2"/>
    <w:rsid w:val="122B009F"/>
    <w:rsid w:val="135D03D9"/>
    <w:rsid w:val="136D0116"/>
    <w:rsid w:val="13A17616"/>
    <w:rsid w:val="149264E6"/>
    <w:rsid w:val="14B05B25"/>
    <w:rsid w:val="14F31DE2"/>
    <w:rsid w:val="15127621"/>
    <w:rsid w:val="15147EEB"/>
    <w:rsid w:val="156A2C3E"/>
    <w:rsid w:val="157A3189"/>
    <w:rsid w:val="15E37C52"/>
    <w:rsid w:val="166938A9"/>
    <w:rsid w:val="169221B4"/>
    <w:rsid w:val="16EA0A1B"/>
    <w:rsid w:val="181D0AF6"/>
    <w:rsid w:val="18E12A26"/>
    <w:rsid w:val="1A2F34CF"/>
    <w:rsid w:val="1AEF4D78"/>
    <w:rsid w:val="1B0B6786"/>
    <w:rsid w:val="1C2E1750"/>
    <w:rsid w:val="1C8A5079"/>
    <w:rsid w:val="1D520C3E"/>
    <w:rsid w:val="1D886D0B"/>
    <w:rsid w:val="1DA340AC"/>
    <w:rsid w:val="1E2F4E67"/>
    <w:rsid w:val="1E506972"/>
    <w:rsid w:val="1E8146FC"/>
    <w:rsid w:val="1EC8639D"/>
    <w:rsid w:val="1EC97805"/>
    <w:rsid w:val="1EFB07B0"/>
    <w:rsid w:val="1F6101B7"/>
    <w:rsid w:val="1FABD71D"/>
    <w:rsid w:val="20505929"/>
    <w:rsid w:val="2093268B"/>
    <w:rsid w:val="21134B3E"/>
    <w:rsid w:val="228770CD"/>
    <w:rsid w:val="236906A5"/>
    <w:rsid w:val="23AA7995"/>
    <w:rsid w:val="23BA0D09"/>
    <w:rsid w:val="24BA0C0F"/>
    <w:rsid w:val="259F5563"/>
    <w:rsid w:val="25AD749C"/>
    <w:rsid w:val="25AE4162"/>
    <w:rsid w:val="261B2634"/>
    <w:rsid w:val="26872640"/>
    <w:rsid w:val="26C653DA"/>
    <w:rsid w:val="26EC5D21"/>
    <w:rsid w:val="27615821"/>
    <w:rsid w:val="27A13E6E"/>
    <w:rsid w:val="28863E70"/>
    <w:rsid w:val="288A6337"/>
    <w:rsid w:val="28994B2A"/>
    <w:rsid w:val="28CD1B01"/>
    <w:rsid w:val="290441D9"/>
    <w:rsid w:val="292E4395"/>
    <w:rsid w:val="29867FF5"/>
    <w:rsid w:val="29D72E63"/>
    <w:rsid w:val="29F01BC9"/>
    <w:rsid w:val="2A1248CB"/>
    <w:rsid w:val="2A24302B"/>
    <w:rsid w:val="2A7456B8"/>
    <w:rsid w:val="2CA270C4"/>
    <w:rsid w:val="2CB024EC"/>
    <w:rsid w:val="2CD45AC9"/>
    <w:rsid w:val="2CE61692"/>
    <w:rsid w:val="2D2B1A30"/>
    <w:rsid w:val="2D5BB7F4"/>
    <w:rsid w:val="2DA87FE3"/>
    <w:rsid w:val="2DAB1C1C"/>
    <w:rsid w:val="2E6455AA"/>
    <w:rsid w:val="2E6E5875"/>
    <w:rsid w:val="2EAA1E45"/>
    <w:rsid w:val="2EBA2F30"/>
    <w:rsid w:val="2F8573F4"/>
    <w:rsid w:val="2FFD4B55"/>
    <w:rsid w:val="31F32BCC"/>
    <w:rsid w:val="322D5537"/>
    <w:rsid w:val="32500429"/>
    <w:rsid w:val="32B00783"/>
    <w:rsid w:val="33987EA4"/>
    <w:rsid w:val="33E55770"/>
    <w:rsid w:val="343041E9"/>
    <w:rsid w:val="343E2C5A"/>
    <w:rsid w:val="347167BC"/>
    <w:rsid w:val="34AD4440"/>
    <w:rsid w:val="34E404B6"/>
    <w:rsid w:val="353874A5"/>
    <w:rsid w:val="356C4B0F"/>
    <w:rsid w:val="357756D0"/>
    <w:rsid w:val="35F83418"/>
    <w:rsid w:val="36433E0B"/>
    <w:rsid w:val="3685618C"/>
    <w:rsid w:val="36DF7E92"/>
    <w:rsid w:val="37210A48"/>
    <w:rsid w:val="37C605ED"/>
    <w:rsid w:val="37EC07D4"/>
    <w:rsid w:val="39054161"/>
    <w:rsid w:val="395157DA"/>
    <w:rsid w:val="39D81DB4"/>
    <w:rsid w:val="39DD1F63"/>
    <w:rsid w:val="3A875795"/>
    <w:rsid w:val="3B3A6848"/>
    <w:rsid w:val="3C7702D9"/>
    <w:rsid w:val="3C822FFF"/>
    <w:rsid w:val="3C987755"/>
    <w:rsid w:val="3D1712DB"/>
    <w:rsid w:val="3D6E4CFB"/>
    <w:rsid w:val="3DB948D9"/>
    <w:rsid w:val="3DED19CC"/>
    <w:rsid w:val="3E551C1D"/>
    <w:rsid w:val="3EAA16DD"/>
    <w:rsid w:val="3EE7006C"/>
    <w:rsid w:val="3F043070"/>
    <w:rsid w:val="3F397145"/>
    <w:rsid w:val="3F3C12AC"/>
    <w:rsid w:val="419141BF"/>
    <w:rsid w:val="41C01A6A"/>
    <w:rsid w:val="41C515FE"/>
    <w:rsid w:val="42C52D12"/>
    <w:rsid w:val="42EA0B90"/>
    <w:rsid w:val="436E1D48"/>
    <w:rsid w:val="442221E6"/>
    <w:rsid w:val="44FC0AD9"/>
    <w:rsid w:val="45C66F5A"/>
    <w:rsid w:val="464311BD"/>
    <w:rsid w:val="46762869"/>
    <w:rsid w:val="46800ECA"/>
    <w:rsid w:val="46C0784B"/>
    <w:rsid w:val="46D65DFF"/>
    <w:rsid w:val="46ED43C8"/>
    <w:rsid w:val="47655748"/>
    <w:rsid w:val="481F5D29"/>
    <w:rsid w:val="485B08F6"/>
    <w:rsid w:val="48CB3DCC"/>
    <w:rsid w:val="48E65506"/>
    <w:rsid w:val="49A95325"/>
    <w:rsid w:val="49C60D15"/>
    <w:rsid w:val="4A601190"/>
    <w:rsid w:val="4C72500A"/>
    <w:rsid w:val="4E470451"/>
    <w:rsid w:val="4E5A4E46"/>
    <w:rsid w:val="4E776E4B"/>
    <w:rsid w:val="4EBE5040"/>
    <w:rsid w:val="4EC635D4"/>
    <w:rsid w:val="4EF42DDE"/>
    <w:rsid w:val="4F021DFD"/>
    <w:rsid w:val="4FA93361"/>
    <w:rsid w:val="50491464"/>
    <w:rsid w:val="50EB4351"/>
    <w:rsid w:val="516E5D30"/>
    <w:rsid w:val="519A61B8"/>
    <w:rsid w:val="529328AD"/>
    <w:rsid w:val="52A26688"/>
    <w:rsid w:val="52C3106D"/>
    <w:rsid w:val="532D1C0A"/>
    <w:rsid w:val="53583E88"/>
    <w:rsid w:val="54D72BF4"/>
    <w:rsid w:val="54F6709D"/>
    <w:rsid w:val="566138B1"/>
    <w:rsid w:val="56F540E8"/>
    <w:rsid w:val="57814C22"/>
    <w:rsid w:val="579303E0"/>
    <w:rsid w:val="57BD125F"/>
    <w:rsid w:val="59005937"/>
    <w:rsid w:val="596D5572"/>
    <w:rsid w:val="5A106A61"/>
    <w:rsid w:val="5B012DD6"/>
    <w:rsid w:val="5B4A303E"/>
    <w:rsid w:val="5B867F38"/>
    <w:rsid w:val="5BBF1EDC"/>
    <w:rsid w:val="5C0D5EDF"/>
    <w:rsid w:val="5CCB520D"/>
    <w:rsid w:val="5CDE5F6B"/>
    <w:rsid w:val="5CE729B2"/>
    <w:rsid w:val="5D072615"/>
    <w:rsid w:val="5D820B03"/>
    <w:rsid w:val="5DDC291B"/>
    <w:rsid w:val="5DE919D2"/>
    <w:rsid w:val="5DE96BF2"/>
    <w:rsid w:val="5E3B56D9"/>
    <w:rsid w:val="5E7F01AB"/>
    <w:rsid w:val="5E910416"/>
    <w:rsid w:val="5FC652D8"/>
    <w:rsid w:val="6043407E"/>
    <w:rsid w:val="605F74B4"/>
    <w:rsid w:val="607B68FE"/>
    <w:rsid w:val="617007B5"/>
    <w:rsid w:val="61E56E86"/>
    <w:rsid w:val="621870FC"/>
    <w:rsid w:val="62DA2A3D"/>
    <w:rsid w:val="637B3A8F"/>
    <w:rsid w:val="63A65E89"/>
    <w:rsid w:val="656453FF"/>
    <w:rsid w:val="65737FA2"/>
    <w:rsid w:val="65C02263"/>
    <w:rsid w:val="65D920E1"/>
    <w:rsid w:val="65D95650"/>
    <w:rsid w:val="65D9655D"/>
    <w:rsid w:val="6656630C"/>
    <w:rsid w:val="66EC0C69"/>
    <w:rsid w:val="67AD24B8"/>
    <w:rsid w:val="67F5DAB5"/>
    <w:rsid w:val="68261741"/>
    <w:rsid w:val="68817BAC"/>
    <w:rsid w:val="68B41451"/>
    <w:rsid w:val="693E2FAD"/>
    <w:rsid w:val="698062FC"/>
    <w:rsid w:val="69BD5EE8"/>
    <w:rsid w:val="6A740B43"/>
    <w:rsid w:val="6ABD46BF"/>
    <w:rsid w:val="6AF730BD"/>
    <w:rsid w:val="6B617BE2"/>
    <w:rsid w:val="6BA66029"/>
    <w:rsid w:val="6CA041B2"/>
    <w:rsid w:val="6CE11BF2"/>
    <w:rsid w:val="6DDD5EBF"/>
    <w:rsid w:val="6E2E2D6D"/>
    <w:rsid w:val="6E460B96"/>
    <w:rsid w:val="6EA82131"/>
    <w:rsid w:val="6F046708"/>
    <w:rsid w:val="6FB410D2"/>
    <w:rsid w:val="6FC54BEF"/>
    <w:rsid w:val="706921FA"/>
    <w:rsid w:val="70B22C23"/>
    <w:rsid w:val="71411B5D"/>
    <w:rsid w:val="719931E1"/>
    <w:rsid w:val="7240055A"/>
    <w:rsid w:val="728E0BA0"/>
    <w:rsid w:val="736064A7"/>
    <w:rsid w:val="73F71039"/>
    <w:rsid w:val="73F91498"/>
    <w:rsid w:val="74D975E2"/>
    <w:rsid w:val="754E52B9"/>
    <w:rsid w:val="756B7D6A"/>
    <w:rsid w:val="757C417D"/>
    <w:rsid w:val="759455DB"/>
    <w:rsid w:val="75D160D9"/>
    <w:rsid w:val="762914BB"/>
    <w:rsid w:val="773A73AB"/>
    <w:rsid w:val="775767BB"/>
    <w:rsid w:val="7779068F"/>
    <w:rsid w:val="77B92148"/>
    <w:rsid w:val="77FFE39F"/>
    <w:rsid w:val="781B1736"/>
    <w:rsid w:val="78F051A8"/>
    <w:rsid w:val="79EF18A6"/>
    <w:rsid w:val="7A903B21"/>
    <w:rsid w:val="7C646F9B"/>
    <w:rsid w:val="7CF2196B"/>
    <w:rsid w:val="7D2E7430"/>
    <w:rsid w:val="7D9A013D"/>
    <w:rsid w:val="7E9160CF"/>
    <w:rsid w:val="7EC635B1"/>
    <w:rsid w:val="7EC677D3"/>
    <w:rsid w:val="7FDC2489"/>
    <w:rsid w:val="7FFDEEFD"/>
  </w:rsids>
  <w:docVars>
    <w:docVar w:name="commondata" w:val="eyJoZGlkIjoiMDYyNzRjODIwNDMyMWFhMzA3ZWZkM2QwNzBjNmI1ZGY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15D2426"/>
  <w15:docId w15:val="{E3A86527-F3E5-4A95-BE66-A2542C98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djustRightInd w:val="0"/>
      <w:spacing w:line="360" w:lineRule="atLeast"/>
      <w:textAlignment w:val="baseline"/>
    </w:pPr>
    <w:rPr>
      <w:sz w:val="24"/>
    </w:rPr>
  </w:style>
  <w:style w:type="paragraph" w:styleId="Heading1">
    <w:name w:val="heading 1"/>
    <w:basedOn w:val="Normal"/>
    <w:next w:val="Normal"/>
    <w:link w:val="1"/>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2"/>
    <w:uiPriority w:val="9"/>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3"/>
    <w:uiPriority w:val="9"/>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a1"/>
    <w:uiPriority w:val="99"/>
    <w:unhideWhenUsed/>
    <w:qFormat/>
    <w:pPr>
      <w:spacing w:line="240" w:lineRule="auto"/>
    </w:pPr>
    <w:rPr>
      <w:sz w:val="18"/>
      <w:szCs w:val="18"/>
    </w:rPr>
  </w:style>
  <w:style w:type="paragraph" w:styleId="Footer">
    <w:name w:val="footer"/>
    <w:basedOn w:val="Normal"/>
    <w:link w:val="a"/>
    <w:unhideWhenUsed/>
    <w:qFormat/>
    <w:pPr>
      <w:tabs>
        <w:tab w:val="center" w:pos="4153"/>
        <w:tab w:val="right" w:pos="8306"/>
      </w:tabs>
      <w:snapToGrid w:val="0"/>
      <w:spacing w:line="240" w:lineRule="atLeast"/>
    </w:pPr>
    <w:rPr>
      <w:sz w:val="18"/>
      <w:szCs w:val="18"/>
    </w:rPr>
  </w:style>
  <w:style w:type="paragraph" w:styleId="Header">
    <w:name w:val="header"/>
    <w:basedOn w:val="Normal"/>
    <w:link w:val="a0"/>
    <w:unhideWhenUsed/>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character" w:styleId="Hyperlink">
    <w:name w:val="Hyperlink"/>
    <w:uiPriority w:val="99"/>
    <w:unhideWhenUsed/>
    <w:rPr>
      <w:color w:val="0000FF"/>
      <w:u w:val="single"/>
    </w:rPr>
  </w:style>
  <w:style w:type="character" w:customStyle="1" w:styleId="3">
    <w:name w:val="标题 3 字符"/>
    <w:link w:val="Heading3"/>
    <w:uiPriority w:val="9"/>
    <w:semiHidden/>
    <w:qFormat/>
    <w:rPr>
      <w:b/>
      <w:bCs/>
      <w:sz w:val="32"/>
      <w:szCs w:val="32"/>
    </w:rPr>
  </w:style>
  <w:style w:type="character" w:customStyle="1" w:styleId="a">
    <w:name w:val="页脚 字符"/>
    <w:link w:val="Footer"/>
    <w:semiHidden/>
    <w:qFormat/>
    <w:rPr>
      <w:sz w:val="18"/>
      <w:szCs w:val="18"/>
    </w:rPr>
  </w:style>
  <w:style w:type="character" w:customStyle="1" w:styleId="a0">
    <w:name w:val="页眉 字符"/>
    <w:link w:val="Header"/>
    <w:semiHidden/>
    <w:rPr>
      <w:sz w:val="18"/>
      <w:szCs w:val="18"/>
    </w:rPr>
  </w:style>
  <w:style w:type="character" w:customStyle="1" w:styleId="a1">
    <w:name w:val="批注框文本 字符"/>
    <w:link w:val="BalloonText"/>
    <w:uiPriority w:val="99"/>
    <w:semiHidden/>
    <w:qFormat/>
    <w:rPr>
      <w:sz w:val="18"/>
      <w:szCs w:val="18"/>
    </w:rPr>
  </w:style>
  <w:style w:type="character" w:customStyle="1" w:styleId="2">
    <w:name w:val="标题 2 字符"/>
    <w:link w:val="Heading2"/>
    <w:uiPriority w:val="9"/>
    <w:semiHidden/>
    <w:rPr>
      <w:rFonts w:ascii="Cambria" w:eastAsia="宋体" w:hAnsi="Cambria" w:cs="Times New Roman"/>
      <w:b/>
      <w:bCs/>
      <w:sz w:val="32"/>
      <w:szCs w:val="32"/>
    </w:rPr>
  </w:style>
  <w:style w:type="character" w:customStyle="1" w:styleId="1">
    <w:name w:val="标题 1 字符"/>
    <w:link w:val="Heading1"/>
    <w:uiPriority w:val="9"/>
    <w:qFormat/>
    <w:rPr>
      <w:b/>
      <w:bCs/>
      <w:kern w:val="44"/>
      <w:sz w:val="44"/>
      <w:szCs w:val="44"/>
    </w:rPr>
  </w:style>
  <w:style w:type="paragraph" w:customStyle="1" w:styleId="TOC10">
    <w:name w:val="TOC 标题1"/>
    <w:basedOn w:val="Heading1"/>
    <w:next w:val="Normal"/>
    <w:uiPriority w:val="39"/>
    <w:qFormat/>
    <w:pPr>
      <w:widowControl/>
      <w:adjustRightInd/>
      <w:spacing w:before="480" w:after="0" w:line="276" w:lineRule="auto"/>
      <w:textAlignment w:val="auto"/>
      <w:outlineLvl w:val="9"/>
    </w:pPr>
    <w:rPr>
      <w:rFonts w:ascii="Cambria" w:hAnsi="Cambria"/>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14</Pages>
  <Words>534</Words>
  <Characters>3047</Characters>
  <Application>Microsoft Office Word</Application>
  <DocSecurity>0</DocSecurity>
  <Lines>25</Lines>
  <Paragraphs>7</Paragraphs>
  <ScaleCrop>false</ScaleCrop>
  <Company>Microsoft</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zz yin</cp:lastModifiedBy>
  <cp:revision>7</cp:revision>
  <cp:lastPrinted>2025-06-25T07:52:00Z</cp:lastPrinted>
  <dcterms:created xsi:type="dcterms:W3CDTF">2025-09-05T02:36:00Z</dcterms:created>
  <dcterms:modified xsi:type="dcterms:W3CDTF">2025-11-03T07:02:00Z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45B29D27DA12464F966D89E11FB82948</vt:lpwstr>
  </property>
  <property fmtid="{D5CDD505-2E9C-101B-9397-08002B2CF9AE}" pid="3" name="KSOProductBuildVer">
    <vt:lpwstr>2052-12.1.0.22529</vt:lpwstr>
  </property>
  <property fmtid="{D5CDD505-2E9C-101B-9397-08002B2CF9AE}" pid="4" name="KSOTemplateDocerSaveRecord">
    <vt:lpwstr>eyJoZGlkIjoiMWE3MzhjZTJhNmRiZjRhZTk5OGNlZTAzZTMxZDJlNTkiLCJ1c2VySWQiOiIxMTI5ODg0NTQ0In0=</vt:lpwstr>
  </property>
</Properties>
</file>