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1.0 -->
  <w:body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ab/>
      </w:r>
      <w:r>
        <w:rPr>
          <w:rFonts w:eastAsia="黑体" w:hint="eastAsia"/>
          <w:w w:val="95"/>
          <w:sz w:val="44"/>
          <w:szCs w:val="44"/>
        </w:rPr>
        <w:tab/>
      </w: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天津市河北区市场监管局12315投诉举报中心</w:t>
      </w:r>
    </w:p>
    <w:p w:rsidR="00BC499A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2025</w:t>
      </w:r>
      <w:r w:rsidR="00296995">
        <w:rPr>
          <w:rFonts w:ascii="黑体" w:eastAsia="黑体" w:hAnsi="黑体" w:cs="黑体" w:hint="eastAsia"/>
          <w:sz w:val="48"/>
          <w:szCs w:val="48"/>
        </w:rPr>
        <w:t>年部门预算</w:t>
      </w:r>
    </w:p>
    <w:p w:rsidR="00BC499A">
      <w:pPr>
        <w:spacing w:line="240" w:lineRule="auto"/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:rsidR="00BC499A"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:rsidR="00BC499A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目   录</w:t>
      </w:r>
    </w:p>
    <w:p w:rsidR="00BC499A">
      <w:pPr>
        <w:spacing w:line="600" w:lineRule="exact"/>
        <w:rPr>
          <w:rFonts w:ascii="黑体" w:eastAsia="黑体"/>
          <w:sz w:val="30"/>
          <w:szCs w:val="30"/>
        </w:rPr>
      </w:pP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第一部分  概 况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一、主要职责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二、机构设置情况</w:t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第二部分  </w:t>
      </w:r>
      <w:r w:rsidR="00230EE4">
        <w:rPr>
          <w:rFonts w:ascii="仿宋_GB2312" w:eastAsia="仿宋_GB2312" w:hint="eastAsia"/>
          <w:b/>
          <w:sz w:val="30"/>
          <w:szCs w:val="30"/>
        </w:rPr>
        <w:t>2025</w:t>
      </w:r>
      <w:r>
        <w:rPr>
          <w:rFonts w:ascii="仿宋_GB2312" w:eastAsia="仿宋_GB2312" w:hint="eastAsia"/>
          <w:b/>
          <w:sz w:val="30"/>
          <w:szCs w:val="30"/>
        </w:rPr>
        <w:t>年部门预算情况说明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一、关于收支总体情况表的说明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二、关于收入总体情况表的说明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三、关于支出总体情况表的说明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四、关于财政拨款收支总体情况表的说明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五、关于一般公共预算支出情况的说明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六、关于一般公共预算基本支出情况表的说明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七、关于一般公共预算“三公”经费支出情况表的说明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八、关于政府性基金预算支出情况表的说明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九、关于国有资本经营预算支出情况表的说明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十、其他重要事项的情况说明</w:t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第三部分  名词解释</w:t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第四部分  </w:t>
      </w:r>
      <w:r w:rsidR="00230EE4">
        <w:rPr>
          <w:rFonts w:ascii="仿宋_GB2312" w:eastAsia="仿宋_GB2312" w:hint="eastAsia"/>
          <w:b/>
          <w:sz w:val="30"/>
          <w:szCs w:val="30"/>
        </w:rPr>
        <w:t>2025</w:t>
      </w:r>
      <w:r>
        <w:rPr>
          <w:rFonts w:ascii="仿宋_GB2312" w:eastAsia="仿宋_GB2312" w:hint="eastAsia"/>
          <w:b/>
          <w:sz w:val="30"/>
          <w:szCs w:val="30"/>
        </w:rPr>
        <w:t>年部门预算表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一、部门收支总体情况表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二、部门收入总体情况表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三、部门支出总体情况表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四、财政拨款收支总体情况表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五、一般公共预算支出情况表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六、一般公共预算基本支出情况表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七、一般公共预算“三公”经费支出情况表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八、政府性基金预算支出情况表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九、国有资本经营预算支出情况表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十、项目支出表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十一、关于空表的说明</w:t>
      </w:r>
      <w:r>
        <w:rPr>
          <w:rFonts w:ascii="仿宋_GB2312" w:eastAsia="仿宋_GB2312" w:hint="eastAsia"/>
          <w:sz w:val="30"/>
          <w:szCs w:val="30"/>
        </w:rPr>
        <w:tab/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 w:rsidRPr="009B2E42">
        <w:rPr>
          <w:rFonts w:ascii="仿宋_GB2312" w:eastAsia="仿宋_GB2312"/>
          <w:b/>
          <w:sz w:val="30"/>
          <w:szCs w:val="30"/>
        </w:rPr>
        <w:fldChar w:fldCharType="begin"/>
      </w:r>
      <w:r w:rsidR="00296995">
        <w:rPr>
          <w:rFonts w:ascii="仿宋_GB2312" w:eastAsia="仿宋_GB2312" w:hint="eastAsia"/>
          <w:b/>
          <w:sz w:val="30"/>
          <w:szCs w:val="30"/>
        </w:rPr>
        <w:instrText>TOC \o "1-3" \h \z \u</w:instrText>
      </w:r>
      <w:r w:rsidRPr="009B2E42">
        <w:rPr>
          <w:rFonts w:ascii="仿宋_GB2312" w:eastAsia="仿宋_GB2312"/>
          <w:b/>
          <w:sz w:val="30"/>
          <w:szCs w:val="30"/>
        </w:rPr>
        <w:fldChar w:fldCharType="separate"/>
      </w: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end"/>
      </w: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BC499A">
      <w:pPr>
        <w:pStyle w:val="TOC2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>
          <w:headerReference w:type="default" r:id="rId4"/>
          <w:footerReference w:type="even" r:id="rId5"/>
          <w:footerReference w:type="default" r:id="rId6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BC499A">
      <w:pPr>
        <w:pStyle w:val="Heading1"/>
        <w:spacing w:line="600" w:lineRule="exact"/>
        <w:jc w:val="center"/>
        <w:rPr>
          <w:rFonts w:ascii="黑体" w:eastAsia="黑体" w:hAnsi="黑体" w:cs="黑体"/>
          <w:b w:val="0"/>
        </w:rPr>
      </w:pPr>
      <w:bookmarkStart w:id="0" w:name="_Toc78784554"/>
      <w:r>
        <w:rPr>
          <w:rFonts w:ascii="黑体" w:eastAsia="黑体" w:hAnsi="黑体" w:cs="黑体" w:hint="eastAsia"/>
          <w:b w:val="0"/>
        </w:rPr>
        <w:t>第一部分  概 况</w:t>
      </w:r>
      <w:bookmarkEnd w:id="0"/>
    </w:p>
    <w:p w:rsidR="00BC499A">
      <w:pPr>
        <w:spacing w:line="600" w:lineRule="exact"/>
      </w:pP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sz w:val="30"/>
          <w:szCs w:val="30"/>
        </w:rPr>
      </w:pPr>
      <w:bookmarkStart w:id="1" w:name="_Toc78784555"/>
      <w:r>
        <w:rPr>
          <w:rFonts w:ascii="黑体" w:eastAsia="黑体" w:hAnsi="黑体" w:hint="eastAsia"/>
          <w:sz w:val="30"/>
          <w:szCs w:val="30"/>
        </w:rPr>
        <w:t>一、主要职责</w:t>
      </w:r>
      <w:bookmarkEnd w:id="1"/>
    </w:p>
    <w:p w:rsidR="00BC499A">
      <w:pPr>
        <w:autoSpaceDE w:val="0"/>
        <w:autoSpaceDN w:val="0"/>
        <w:spacing w:line="5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bookmarkStart w:id="2" w:name="_Toc78784556"/>
      <w:r>
        <w:rPr>
          <w:rFonts w:ascii="仿宋_GB2312" w:eastAsia="仿宋_GB2312" w:hint="eastAsia"/>
          <w:sz w:val="30"/>
          <w:szCs w:val="30"/>
        </w:rPr>
        <w:t>负责为消费者服务，受理消费者的投诉、举报，对投诉、举报内容进行整理、汇总、为市场监管和行政执法提供信息，会同有关部门调解、查处投诉、举报案件。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二、机构设置</w:t>
      </w:r>
      <w:bookmarkEnd w:id="2"/>
      <w:r>
        <w:rPr>
          <w:rFonts w:ascii="黑体" w:eastAsia="黑体" w:hAnsi="黑体" w:hint="eastAsia"/>
          <w:sz w:val="30"/>
          <w:szCs w:val="30"/>
        </w:rPr>
        <w:t>情况</w:t>
      </w:r>
    </w:p>
    <w:p w:rsidR="00BC499A">
      <w:pPr>
        <w:autoSpaceDE w:val="0"/>
        <w:autoSpaceDN w:val="0"/>
        <w:spacing w:line="5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天津市河北区市场监管局12315投诉举报中心</w:t>
      </w:r>
      <w:r w:rsidR="00296995">
        <w:rPr>
          <w:rFonts w:ascii="仿宋_GB2312" w:eastAsia="仿宋_GB2312" w:hint="eastAsia"/>
          <w:sz w:val="30"/>
          <w:szCs w:val="30"/>
        </w:rPr>
        <w:t>内设</w:t>
      </w:r>
      <w:r>
        <w:rPr>
          <w:rFonts w:ascii="仿宋_GB2312" w:eastAsia="仿宋_GB2312" w:hint="eastAsia"/>
          <w:sz w:val="30"/>
          <w:szCs w:val="30"/>
        </w:rPr>
        <w:t>0</w:t>
      </w:r>
      <w:r w:rsidR="00296995">
        <w:rPr>
          <w:rFonts w:ascii="仿宋_GB2312" w:eastAsia="仿宋_GB2312" w:hint="eastAsia"/>
          <w:sz w:val="30"/>
          <w:szCs w:val="30"/>
        </w:rPr>
        <w:t>个职能处室；下辖</w:t>
      </w:r>
      <w:r>
        <w:rPr>
          <w:rFonts w:ascii="仿宋_GB2312" w:eastAsia="仿宋_GB2312" w:hint="eastAsia"/>
          <w:sz w:val="30"/>
          <w:szCs w:val="30"/>
        </w:rPr>
        <w:t>1</w:t>
      </w:r>
      <w:r w:rsidR="00296995">
        <w:rPr>
          <w:rFonts w:ascii="仿宋_GB2312" w:eastAsia="仿宋_GB2312" w:hint="eastAsia"/>
          <w:sz w:val="30"/>
          <w:szCs w:val="30"/>
        </w:rPr>
        <w:t>个预算单位。</w:t>
      </w:r>
    </w:p>
    <w:p w:rsidR="00BC499A">
      <w:pPr>
        <w:autoSpaceDE w:val="0"/>
        <w:autoSpaceDN w:val="0"/>
        <w:spacing w:line="5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纳入</w:t>
      </w:r>
      <w:r w:rsidR="00461215">
        <w:rPr>
          <w:rFonts w:ascii="仿宋_GB2312" w:eastAsia="仿宋_GB2312" w:hint="eastAsia"/>
          <w:sz w:val="30"/>
          <w:szCs w:val="30"/>
        </w:rPr>
        <w:t>天津市河北区市场监管局12315投诉举报中心</w:t>
      </w:r>
      <w:r w:rsidR="00230EE4"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年部门预算编制范围的预算单位包括：</w:t>
      </w:r>
    </w:p>
    <w:p w:rsidR="00BC499A">
      <w:pPr>
        <w:spacing w:line="600" w:lineRule="exact"/>
        <w:ind w:firstLine="600"/>
        <w:jc w:val="both"/>
        <w:rPr>
          <w:rFonts w:ascii="仿宋_GB2312" w:eastAsia="仿宋_GB2312"/>
          <w:sz w:val="30"/>
          <w:szCs w:val="30"/>
        </w:rPr>
        <w:sectPr>
          <w:footerReference w:type="default" r:id="rId7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  <w:r>
        <w:rPr>
          <w:rFonts w:ascii="仿宋_GB2312" w:eastAsia="仿宋_GB2312" w:hint="eastAsia"/>
          <w:sz w:val="30"/>
          <w:szCs w:val="30"/>
        </w:rPr>
        <w:t>1.天津市河北区市场监管局12315投诉举报中心</w:t>
      </w:r>
    </w:p>
    <w:p w:rsidR="00BC499A">
      <w:pPr>
        <w:pStyle w:val="Heading1"/>
        <w:spacing w:line="600" w:lineRule="exact"/>
        <w:jc w:val="center"/>
        <w:rPr>
          <w:rFonts w:ascii="黑体" w:eastAsia="黑体"/>
          <w:sz w:val="30"/>
          <w:szCs w:val="30"/>
        </w:rPr>
      </w:pPr>
      <w:bookmarkStart w:id="3" w:name="_Toc78784570"/>
      <w:r>
        <w:rPr>
          <w:rFonts w:ascii="黑体" w:eastAsia="黑体" w:hAnsi="黑体" w:cs="黑体" w:hint="eastAsia"/>
        </w:rPr>
        <w:t xml:space="preserve">第二部分  </w:t>
      </w:r>
      <w:r w:rsidR="00230EE4">
        <w:rPr>
          <w:rFonts w:ascii="黑体" w:eastAsia="黑体" w:hAnsi="黑体" w:cs="黑体" w:hint="eastAsia"/>
        </w:rPr>
        <w:t>2025</w:t>
      </w:r>
      <w:r>
        <w:rPr>
          <w:rFonts w:ascii="黑体" w:eastAsia="黑体" w:hAnsi="黑体" w:cs="黑体" w:hint="eastAsia"/>
        </w:rPr>
        <w:t>年部门预算情况说明</w:t>
      </w:r>
      <w:bookmarkEnd w:id="3"/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bookmarkStart w:id="4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4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按照综合预算的原则，天津市河北区市场监管局12315投诉举报中心所有收入和支出均纳入部门预算管理。收入包括：一般公共预算拨款收入1,083,069.00元、政府性基金预算拨款收入0.00元、国有资本经营预算拨款收入0.00元、财政专户管理资金收入0.00元、事业收入0.00元、事业单位经营收入0.00元、上级补助收入0.00元、附属单位上缴收入0.00元、其他收入0.00元、上年结转结余0.00元；支出包括：一般公共服务支出890,869.00元、社会保障和就业支出116,780.00元、卫生健康支出75,420.00元。天津市河北区市场监管局12315投诉举报中心2025年收支总预算1,083,069.00元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 w:cs="仿宋_GB2312"/>
          <w:b w:val="0"/>
          <w:sz w:val="30"/>
          <w:szCs w:val="30"/>
        </w:rPr>
      </w:pPr>
      <w:bookmarkStart w:id="5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5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市场监管局12315投诉举报中心2025年部门预算收入1,083,069.00元，与2024年预算相比增加2,846.00元，主要原因是人员变动。其中：上年结转结余0.00元，占0.00%；一般公共预算1,083,069.00元，占100.00%；政府性基金预算0.00元，占0.00%；国有资本经营预算0.00元，占0.00%；财政专户管理资金0.00元，占0.00%；事业收入0.00元，占0.00%；事业单位经营收入0.00元，占0.00%；上级补助收入0.00元，占0.00%；附属单位上缴收入0.00元，占0.00%；其他收入0.00元，占0.00%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 w:cs="仿宋_GB2312"/>
          <w:b w:val="0"/>
          <w:sz w:val="30"/>
          <w:szCs w:val="30"/>
        </w:rPr>
      </w:pPr>
      <w:bookmarkStart w:id="6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7" w:name="_Toc78784574"/>
      <w:r>
        <w:rPr>
          <w:rFonts w:ascii="仿宋_GB2312" w:eastAsia="仿宋_GB2312" w:hint="eastAsia"/>
          <w:sz w:val="30"/>
          <w:szCs w:val="30"/>
        </w:rPr>
        <w:t>天津市河北区市场监管局12315投诉举报中心2025年支出预算1,083,069.00元，与2024年预算相比增加2,846.00元，主要原因是人员变动。其中：基本支出1,083,069.00元，占100.00%；项目支出0.00元，占0.00%；事业单位经营支出0.00元，占0.00%；上缴上级支出0.00元，占0.00%；对附属单位补助支出0.00元，占0.00%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7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8" w:name="_Toc78784575"/>
      <w:r>
        <w:rPr>
          <w:rFonts w:ascii="仿宋_GB2312" w:eastAsia="仿宋_GB2312" w:hint="eastAsia"/>
          <w:sz w:val="30"/>
          <w:szCs w:val="30"/>
        </w:rPr>
        <w:t>天津市河北区市场监管局12315投诉举报中心2025年财政拨款收入预算1,083,069.00元，与2024年预算相比增加2,846.00元，主要原因是人员变动。收入包括：一般公共预算拨款收入1,083,069.00元、政府性基金预算拨款收入0.00元、国有资本经营预算拨款收入0.00元、上年财政结转结余0.00元。2025年财政拨款支出预算1,083,069.00元，与2024年预算相比增加2,846.00元，主要原因是人员变动。支出包括：一般公共服务支出890,869.00元、社会保障和就业支出116,780.00元、卫生健康支出75,420.00元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/>
          <w:b w:val="0"/>
          <w:sz w:val="30"/>
          <w:szCs w:val="30"/>
        </w:rPr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天津市河北区市场监管局12315投诉举报中心2025年一般公共预算支出1,083,069.00元，与2024年预算相比增加2,846.00元，主要原因是人员变动。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（二）具体情况。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1.“一般公共服务支出（类）”890,869.00元，与2024年预算相比增加850.00元，主要原因是人员变动。其中：</w:t>
        <w:br/>
        <w:t>　　“市场监督管理事务（款）”890,869.00元，包括：“事业运行（项）”890,869.00元，主要用于中心基本运行。</w:t>
        <w:br/>
        <w:t>　　2.“社会保障和就业支出（类）”116,780.00元，与2024年预算相比增加1,214.00元，主要原因是人员变动。其中：</w:t>
        <w:br/>
        <w:t>　　“行政事业单位养老支出（款）”116,780.00元，包括：“机关事业单位基本养老保险缴费支出（项）”77,853.00元，主要用于在职员工养老保险缴费。“机关事业单位职业年金缴费支出（项）”38,927.00元，主要用于在职员工职业年金缴费。</w:t>
        <w:br/>
        <w:t>　　3.“卫生健康支出（类）”75,420.00元，与2024年预算相比增加782.00元，主要原因是人员变动。其中：</w:t>
        <w:br/>
        <w:t>　　“行政事业单位医疗（款）”75,420.00元，包括：“事业单位医疗（项）”51,091.00元，主要用于缴纳在职员工医疗保险。“其他行政事业单位医疗支出（项）”24,329.00元，主要用于缴纳在职员工医疗补助。</w:t>
      </w:r>
    </w:p>
    <w:p w:rsidR="00BC499A">
      <w:pPr>
        <w:spacing w:line="600" w:lineRule="exact"/>
        <w:rPr>
          <w:rFonts w:ascii="楷体" w:eastAsia="楷体" w:hAnsi="楷体" w:cs="仿宋_GB2312"/>
          <w:b/>
          <w:sz w:val="30"/>
          <w:szCs w:val="30"/>
        </w:rPr>
      </w:pP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bookmarkStart w:id="9" w:name="_Toc78784576"/>
      <w:r>
        <w:rPr>
          <w:rFonts w:ascii="黑体" w:eastAsia="黑体" w:hAnsi="黑体"/>
          <w:b w:val="0"/>
          <w:sz w:val="30"/>
          <w:szCs w:val="30"/>
        </w:rPr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10" w:name="_Toc78784577"/>
      <w:r>
        <w:rPr>
          <w:rFonts w:ascii="仿宋_GB2312" w:eastAsia="仿宋_GB2312" w:hint="eastAsia"/>
          <w:sz w:val="30"/>
          <w:szCs w:val="30"/>
        </w:rPr>
        <w:t>天津市河北区市场监管局12315投诉举报中心一般公共预算基本支出1,083,069.00元，与2024年预算相比增加2,846.00元，主要原因是人员变动。其中：</w:t>
        <w:br/>
        <w:t>　　人员经费1,061,131.00元，主要包括：基本工资、津贴补贴、绩效工资、机关事业单位基本养老保险缴费、职业年金缴费、职工基本医疗保险缴费、其他社会保障缴费、住房公积金、医疗费、奖励金。</w:t>
        <w:br/>
        <w:t>　　公用经费21,938.00元，主要包括：工会经费、福利费。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2025年一般公共预算“三公”经费安排0.00元，与2024年预算相比增加（减少）0.00元，主要原因是本部门一般公共预算未安排“三公”经费。具体情况：</w:t>
        <w:br/>
        <w:t>　　一、2025年因公出国（境）费预算0.00元，与2024年预算相比增加（减少）0.00元，主要原因是本部门一般公共预算未安排“因公出国（境）”费。</w:t>
        <w:br/>
        <w:t>　　二、2025年公务用车购置及运行费预算0.00元，其中公务用车运行费0.00元，与2024年预算相比增加（减少）0.00元，主要原因是本部门一般公共预算未安排“公务用车运行”费；公务用车购置费0.00元，与2024年预算相比增加（减少）0.00元，主要原因是本部门一般公共预算未安排“公务用车购置”费。</w:t>
        <w:br/>
        <w:t>　　三、2025年公务接待费预算0.00元，与2024年预算相比增加（减少）0.00元，主要原因是本部门一般公共预算未安排“公务接待”费。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BC499A" w:rsidP="00375EBB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11" w:name="_Toc78784578"/>
      <w:r w:rsidRPr="00375EBB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2025年天津市河北区市场监管局12315投诉举报中心预算中没有使用政府性基金预算安排的支出。</w:t>
      </w:r>
      <w:r w:rsidRPr="00375EBB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BC499A" w:rsidP="00610A8C">
      <w:pPr>
        <w:spacing w:line="600" w:lineRule="exact"/>
        <w:ind w:firstLine="600" w:firstLineChars="200"/>
      </w:pPr>
      <w:r w:rsidRPr="00610A8C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2025年天津市河北区市场监管局12315投诉举报中心预算中没有使用国有资本经营预算安排的支出。</w:t>
      </w:r>
      <w:r w:rsidRPr="00610A8C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bookmarkStart w:id="12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2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本部门2025年未安排机关运行经费预算。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（二）政府采购情况。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本部门2025年未安排政府采购预算。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（三）国有资产占用情况。</w:t>
      </w:r>
    </w:p>
    <w:p w:rsidR="00BC499A">
      <w:pPr>
        <w:spacing w:line="58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截至2024年7月底，本部门各单位共有车辆0辆，其中：副部（省）级及以上领导用车0辆、主要负责人干部用车0辆、机要通信用车0辆、应急保障用车0辆、执法执勤用车0辆、特种专业技术用车0辆、离退休干部服务用车0辆、其他用车0辆，其他用车主要包括无。单价（账面原值）100万元以上的设备0台（套）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（四）预算绩效情况说明。</w:t>
      </w:r>
    </w:p>
    <w:p w:rsidR="00BC499A">
      <w:pPr>
        <w:spacing w:line="580" w:lineRule="exact"/>
        <w:ind w:firstLine="600" w:firstLineChars="200"/>
        <w:jc w:val="both"/>
        <w:rPr>
          <w:rFonts w:ascii="仿宋_GB2312" w:eastAsia="仿宋_GB2312" w:hAnsi="仿宋_GB2312" w:cs="仿宋_GB2312"/>
          <w:sz w:val="30"/>
          <w:szCs w:val="30"/>
        </w:rPr>
        <w:sectPr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本部门2025年实行绩效目标管理的项目0个，涉及预算金额0.00元。</w:t>
      </w:r>
    </w:p>
    <w:p w:rsidR="00BC499A">
      <w:pPr>
        <w:spacing w:line="58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</w:p>
    <w:p w:rsidR="00BC499A">
      <w:pPr>
        <w:pStyle w:val="Heading1"/>
        <w:spacing w:line="600" w:lineRule="exact"/>
        <w:jc w:val="center"/>
        <w:rPr>
          <w:rFonts w:ascii="黑体" w:eastAsia="黑体" w:hAnsi="黑体" w:cs="黑体"/>
        </w:rPr>
      </w:pPr>
      <w:bookmarkStart w:id="13" w:name="_Toc78784585"/>
      <w:r>
        <w:rPr>
          <w:rFonts w:ascii="黑体" w:eastAsia="黑体" w:hAnsi="黑体" w:cs="黑体" w:hint="eastAsia"/>
        </w:rPr>
        <w:t>第三部分  名词解释</w:t>
      </w:r>
      <w:bookmarkEnd w:id="13"/>
    </w:p>
    <w:p w:rsidR="00BC499A"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BC499A"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（“部门预算”和“机关运行经费”作为专业性名词各单位必须公开。除此之外，</w:t>
      </w:r>
      <w:r>
        <w:rPr>
          <w:rFonts w:eastAsia="楷体_GB2312"/>
          <w:sz w:val="30"/>
          <w:szCs w:val="30"/>
        </w:rPr>
        <w:t>各单位可</w:t>
      </w:r>
      <w:r>
        <w:rPr>
          <w:rFonts w:eastAsia="楷体_GB2312" w:hint="eastAsia"/>
          <w:sz w:val="30"/>
          <w:szCs w:val="30"/>
        </w:rPr>
        <w:t>根据需要对说明中其他专业性较强名词</w:t>
      </w:r>
      <w:r>
        <w:rPr>
          <w:rFonts w:eastAsia="楷体_GB2312"/>
          <w:sz w:val="30"/>
          <w:szCs w:val="30"/>
        </w:rPr>
        <w:t>进行解释</w:t>
      </w:r>
      <w:r>
        <w:rPr>
          <w:rFonts w:eastAsia="楷体_GB2312" w:hint="eastAsia"/>
          <w:sz w:val="30"/>
          <w:szCs w:val="30"/>
        </w:rPr>
        <w:t>。</w:t>
      </w:r>
      <w:r>
        <w:rPr>
          <w:rFonts w:eastAsia="楷体_GB2312"/>
          <w:sz w:val="30"/>
          <w:szCs w:val="30"/>
        </w:rPr>
        <w:t>）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pStyle w:val="Heading1"/>
        <w:spacing w:line="6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第四部分  </w:t>
      </w:r>
      <w:r w:rsidR="00230EE4">
        <w:rPr>
          <w:rFonts w:ascii="黑体" w:eastAsia="黑体" w:hAnsi="黑体" w:cs="黑体" w:hint="eastAsia"/>
        </w:rPr>
        <w:t>2025</w:t>
      </w:r>
      <w:r>
        <w:rPr>
          <w:rFonts w:ascii="黑体" w:eastAsia="黑体" w:hAnsi="黑体" w:cs="黑体" w:hint="eastAsia"/>
        </w:rPr>
        <w:t>年部门预算表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一、《部门收支总体情况表》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二、《部门收入总体情况表》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三、《部门支出总体情况表》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四、《财政拨款收支总体情况表》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五、《一般公共预算支出情况表》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六、《一般公共预算基本支出情况表》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七、</w:t>
      </w:r>
      <w:bookmarkStart w:id="14" w:name="_GoBack"/>
      <w:bookmarkEnd w:id="14"/>
      <w:r>
        <w:rPr>
          <w:rFonts w:ascii="楷体_GB2312" w:eastAsia="楷体_GB2312" w:hint="eastAsia"/>
          <w:b/>
          <w:sz w:val="30"/>
          <w:szCs w:val="30"/>
        </w:rPr>
        <w:t>《一般公共预算“三公”经费支出情况表》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八、《政府性基金预算支出情况表》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九、《国有资本经营预算支出情况表》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十、《项目支出表》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int="eastAsia"/>
          <w:b/>
          <w:sz w:val="30"/>
          <w:szCs w:val="30"/>
        </w:rPr>
        <w:tab/>
      </w:r>
    </w:p>
    <w:p w:rsidR="00BC499A">
      <w:pPr>
        <w:spacing w:line="560" w:lineRule="exact"/>
        <w:ind w:firstLine="600" w:firstLineChars="2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1.“本部门2025年一般公共预算“三公”经费支出情况表为空表”。</w:t>
        <w:br/>
        <w:t>　　2.“本部门2025年政府性基金预算支出情况表为空表”。</w:t>
        <w:br/>
        <w:t>　　3.“本部门2025年国有资本经营预算支出情况表为空表”。</w:t>
        <w:br/>
        <w:t>　　4.“本部门2025年项目支出表为空表”。</w:t>
      </w:r>
    </w:p>
    <w:p w:rsidR="00BC499A">
      <w:pPr>
        <w:spacing w:line="560" w:lineRule="exact"/>
        <w:rPr>
          <w:rFonts w:eastAsia="楷体"/>
          <w:sz w:val="30"/>
          <w:szCs w:val="30"/>
        </w:rPr>
      </w:pPr>
    </w:p>
    <w:p w:rsidR="00BC499A">
      <w:pPr>
        <w:spacing w:line="56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eastAsia="楷体" w:hint="eastAsia"/>
          <w:sz w:val="30"/>
          <w:szCs w:val="30"/>
        </w:rPr>
        <w:t>注：以上预算公开表均作为附表，附于预算公开说明文档后。</w:t>
      </w:r>
    </w:p>
    <w:sectPr w:rsidSect="00BC499A"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 w:rsidR="00296995"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BC499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Footer"/>
      <w:jc w:val="center"/>
    </w:pPr>
    <w:r>
      <w:fldChar w:fldCharType="begin"/>
    </w:r>
    <w:r w:rsidR="00296995">
      <w:instrText>PAGE   \* MERGEFORMAT</w:instrText>
    </w:r>
    <w:r>
      <w:fldChar w:fldCharType="separate"/>
    </w:r>
    <w:r w:rsidRPr="002E7B1F" w:rsidR="002E7B1F">
      <w:rPr>
        <w:noProof/>
        <w:lang w:val="zh-CN"/>
      </w:rPr>
      <w:t>-</w:t>
    </w:r>
    <w:r w:rsidR="002E7B1F">
      <w:rPr>
        <w:noProof/>
      </w:rPr>
      <w:t xml:space="preserve"> 1 -</w:t>
    </w:r>
    <w:r>
      <w:fldChar w:fldCharType="end"/>
    </w:r>
  </w:p>
  <w:p w:rsidR="00BC499A">
    <w:pPr>
      <w:pStyle w:val="Footer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D77"/>
    <w:rsid w:val="DEFFAB64"/>
    <w:rsid w:val="F51C3534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43357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0EE4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96995"/>
    <w:rsid w:val="002A1782"/>
    <w:rsid w:val="002A23DC"/>
    <w:rsid w:val="002A3DBF"/>
    <w:rsid w:val="002B7B88"/>
    <w:rsid w:val="002D67AE"/>
    <w:rsid w:val="002D715E"/>
    <w:rsid w:val="002E3C02"/>
    <w:rsid w:val="002E7B1F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75EBB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1215"/>
    <w:rsid w:val="004645C1"/>
    <w:rsid w:val="004654FD"/>
    <w:rsid w:val="004660E2"/>
    <w:rsid w:val="0046727B"/>
    <w:rsid w:val="0047004A"/>
    <w:rsid w:val="00472621"/>
    <w:rsid w:val="00474C09"/>
    <w:rsid w:val="0048352E"/>
    <w:rsid w:val="00494982"/>
    <w:rsid w:val="004A5DF5"/>
    <w:rsid w:val="004A6EE3"/>
    <w:rsid w:val="004B0888"/>
    <w:rsid w:val="004C0EED"/>
    <w:rsid w:val="004C1F92"/>
    <w:rsid w:val="004D2A21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0A8C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206B0"/>
    <w:rsid w:val="00737A20"/>
    <w:rsid w:val="0074381E"/>
    <w:rsid w:val="00753E8C"/>
    <w:rsid w:val="00754417"/>
    <w:rsid w:val="00762AF5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40A8"/>
    <w:rsid w:val="00946BC0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B2E42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64D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2EB9"/>
    <w:rsid w:val="00AF38CA"/>
    <w:rsid w:val="00B03433"/>
    <w:rsid w:val="00B100CB"/>
    <w:rsid w:val="00B1463F"/>
    <w:rsid w:val="00B154E2"/>
    <w:rsid w:val="00B25010"/>
    <w:rsid w:val="00B264EF"/>
    <w:rsid w:val="00B370F4"/>
    <w:rsid w:val="00B4348E"/>
    <w:rsid w:val="00B45D35"/>
    <w:rsid w:val="00B47C04"/>
    <w:rsid w:val="00B53EC1"/>
    <w:rsid w:val="00B66FA2"/>
    <w:rsid w:val="00B757C2"/>
    <w:rsid w:val="00B90553"/>
    <w:rsid w:val="00B91B6A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499A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46DDD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4A62A1C"/>
    <w:rsid w:val="04C11604"/>
    <w:rsid w:val="06163BD1"/>
    <w:rsid w:val="07C35B28"/>
    <w:rsid w:val="08311465"/>
    <w:rsid w:val="0C6D3E1F"/>
    <w:rsid w:val="0E0A595C"/>
    <w:rsid w:val="0E3F0579"/>
    <w:rsid w:val="0F182768"/>
    <w:rsid w:val="10AA73F0"/>
    <w:rsid w:val="116B3023"/>
    <w:rsid w:val="1204617D"/>
    <w:rsid w:val="18D47700"/>
    <w:rsid w:val="1C4240E5"/>
    <w:rsid w:val="1C7E45DE"/>
    <w:rsid w:val="1CBD04AB"/>
    <w:rsid w:val="1D4053A6"/>
    <w:rsid w:val="1D681DEC"/>
    <w:rsid w:val="215C4736"/>
    <w:rsid w:val="21697719"/>
    <w:rsid w:val="216E6D19"/>
    <w:rsid w:val="21843C8D"/>
    <w:rsid w:val="2186530F"/>
    <w:rsid w:val="2250591D"/>
    <w:rsid w:val="22D622C7"/>
    <w:rsid w:val="24092228"/>
    <w:rsid w:val="2426102C"/>
    <w:rsid w:val="248C5333"/>
    <w:rsid w:val="256035B5"/>
    <w:rsid w:val="25EE3CB6"/>
    <w:rsid w:val="268758BC"/>
    <w:rsid w:val="27514906"/>
    <w:rsid w:val="28602FA0"/>
    <w:rsid w:val="291D29FD"/>
    <w:rsid w:val="2A5A5DE2"/>
    <w:rsid w:val="2C0025FA"/>
    <w:rsid w:val="2D67693D"/>
    <w:rsid w:val="2DBB0A37"/>
    <w:rsid w:val="2E554CE2"/>
    <w:rsid w:val="2F7962C5"/>
    <w:rsid w:val="31C14142"/>
    <w:rsid w:val="354C2609"/>
    <w:rsid w:val="35551771"/>
    <w:rsid w:val="3557428F"/>
    <w:rsid w:val="379D78E5"/>
    <w:rsid w:val="398C07DC"/>
    <w:rsid w:val="3B793DE1"/>
    <w:rsid w:val="3D407E3C"/>
    <w:rsid w:val="3D485717"/>
    <w:rsid w:val="3DA212CB"/>
    <w:rsid w:val="3EF7064B"/>
    <w:rsid w:val="3FCB28EB"/>
    <w:rsid w:val="40324B88"/>
    <w:rsid w:val="40956B0D"/>
    <w:rsid w:val="43935499"/>
    <w:rsid w:val="43BE0DBB"/>
    <w:rsid w:val="4878739D"/>
    <w:rsid w:val="4C3C28EB"/>
    <w:rsid w:val="4CFF2296"/>
    <w:rsid w:val="4E1E02D7"/>
    <w:rsid w:val="4E4B40B1"/>
    <w:rsid w:val="4F204931"/>
    <w:rsid w:val="512E6400"/>
    <w:rsid w:val="523A79B4"/>
    <w:rsid w:val="53B611D5"/>
    <w:rsid w:val="551B5793"/>
    <w:rsid w:val="59EA1BD8"/>
    <w:rsid w:val="5A932272"/>
    <w:rsid w:val="5C4C6B7A"/>
    <w:rsid w:val="5D3A6375"/>
    <w:rsid w:val="5DE51034"/>
    <w:rsid w:val="5DFF4583"/>
    <w:rsid w:val="5F501CDC"/>
    <w:rsid w:val="600F2399"/>
    <w:rsid w:val="625B7B17"/>
    <w:rsid w:val="63A61A51"/>
    <w:rsid w:val="693A5856"/>
    <w:rsid w:val="69C67F6C"/>
    <w:rsid w:val="6A2D5246"/>
    <w:rsid w:val="6A8249E6"/>
    <w:rsid w:val="6B5C045C"/>
    <w:rsid w:val="6D3E2D09"/>
    <w:rsid w:val="6DC70686"/>
    <w:rsid w:val="6DE54739"/>
    <w:rsid w:val="6FB256A1"/>
    <w:rsid w:val="70C42D2B"/>
    <w:rsid w:val="71CF5404"/>
    <w:rsid w:val="721F0751"/>
    <w:rsid w:val="73A82400"/>
    <w:rsid w:val="748F20DD"/>
    <w:rsid w:val="772067E2"/>
    <w:rsid w:val="77EFDD89"/>
    <w:rsid w:val="7ECE503D"/>
  </w:rsids>
  <w:docVars>
    <w:docVar w:name="commondata" w:val="eyJoZGlkIjoiNTA1YjE1OTI0ZjFiOGFhMWM4MWNjMzdkNjI3N2RmY2MifQ=="/>
  </w:docVar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BC499A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1Char"/>
    <w:autoRedefine/>
    <w:uiPriority w:val="9"/>
    <w:qFormat/>
    <w:rsid w:val="00BC499A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  <w:lang w:val="x-none"/>
    </w:rPr>
  </w:style>
  <w:style w:type="paragraph" w:styleId="Heading2">
    <w:name w:val="heading 2"/>
    <w:basedOn w:val="Normal"/>
    <w:next w:val="Normal"/>
    <w:link w:val="2Char"/>
    <w:uiPriority w:val="9"/>
    <w:qFormat/>
    <w:rsid w:val="00BC499A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autoRedefine/>
    <w:semiHidden/>
    <w:qFormat/>
    <w:rsid w:val="00BC499A"/>
    <w:pPr>
      <w:shd w:val="clear" w:color="auto" w:fill="000080"/>
    </w:pPr>
  </w:style>
  <w:style w:type="paragraph" w:styleId="BalloonText">
    <w:name w:val="Balloon Text"/>
    <w:basedOn w:val="Normal"/>
    <w:link w:val="Char"/>
    <w:autoRedefine/>
    <w:qFormat/>
    <w:rsid w:val="00BC499A"/>
    <w:pPr>
      <w:spacing w:line="240" w:lineRule="auto"/>
    </w:pPr>
    <w:rPr>
      <w:sz w:val="18"/>
      <w:szCs w:val="18"/>
      <w:lang w:val="x-none"/>
    </w:rPr>
  </w:style>
  <w:style w:type="paragraph" w:styleId="Footer">
    <w:name w:val="footer"/>
    <w:basedOn w:val="Normal"/>
    <w:link w:val="Char0"/>
    <w:autoRedefine/>
    <w:uiPriority w:val="99"/>
    <w:qFormat/>
    <w:rsid w:val="00BC499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  <w:lang w:val="x-none"/>
    </w:rPr>
  </w:style>
  <w:style w:type="paragraph" w:styleId="Header">
    <w:name w:val="header"/>
    <w:basedOn w:val="Normal"/>
    <w:autoRedefine/>
    <w:qFormat/>
    <w:rsid w:val="00BC4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C499A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PageNumber">
    <w:name w:val="page number"/>
    <w:autoRedefine/>
    <w:qFormat/>
    <w:rsid w:val="00BC499A"/>
  </w:style>
  <w:style w:type="character" w:customStyle="1" w:styleId="1Char">
    <w:name w:val="标题 1 Char"/>
    <w:link w:val="Heading1"/>
    <w:autoRedefine/>
    <w:uiPriority w:val="9"/>
    <w:qFormat/>
    <w:rsid w:val="00BC499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Heading2"/>
    <w:autoRedefine/>
    <w:uiPriority w:val="9"/>
    <w:qFormat/>
    <w:rsid w:val="00BC499A"/>
    <w:rPr>
      <w:rFonts w:ascii="Cambria" w:hAnsi="Cambria"/>
      <w:b/>
      <w:bCs/>
      <w:sz w:val="32"/>
      <w:szCs w:val="32"/>
    </w:rPr>
  </w:style>
  <w:style w:type="character" w:customStyle="1" w:styleId="Char">
    <w:name w:val="批注框文本 Char"/>
    <w:link w:val="BalloonText"/>
    <w:autoRedefine/>
    <w:qFormat/>
    <w:rsid w:val="00BC499A"/>
    <w:rPr>
      <w:sz w:val="18"/>
      <w:szCs w:val="18"/>
    </w:rPr>
  </w:style>
  <w:style w:type="character" w:customStyle="1" w:styleId="Char0">
    <w:name w:val="页脚 Char"/>
    <w:link w:val="Footer"/>
    <w:autoRedefine/>
    <w:uiPriority w:val="99"/>
    <w:qFormat/>
    <w:rsid w:val="00BC499A"/>
    <w:rPr>
      <w:sz w:val="18"/>
      <w:szCs w:val="18"/>
    </w:rPr>
  </w:style>
  <w:style w:type="paragraph" w:customStyle="1" w:styleId="CharChar">
    <w:name w:val="Char Char"/>
    <w:basedOn w:val="DocumentMap"/>
    <w:autoRedefine/>
    <w:qFormat/>
    <w:rsid w:val="00BC499A"/>
    <w:pPr>
      <w:adjustRightInd/>
      <w:spacing w:line="240" w:lineRule="auto"/>
      <w:jc w:val="both"/>
      <w:textAlignment w:val="auto"/>
    </w:pPr>
  </w:style>
  <w:style w:type="paragraph" w:styleId="ListParagraph">
    <w:name w:val="List Paragraph"/>
    <w:basedOn w:val="Normal"/>
    <w:autoRedefine/>
    <w:uiPriority w:val="34"/>
    <w:qFormat/>
    <w:rsid w:val="00BC499A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229</Words>
  <Characters>1307</Characters>
  <Application>Microsoft Office Word</Application>
  <DocSecurity>0</DocSecurity>
  <Lines>10</Lines>
  <Paragraphs>3</Paragraphs>
  <ScaleCrop>false</ScaleCrop>
  <Company>微软中国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Windows 用户</cp:lastModifiedBy>
  <cp:revision>21</cp:revision>
  <cp:lastPrinted>2022-01-18T17:13:00Z</cp:lastPrinted>
  <dcterms:created xsi:type="dcterms:W3CDTF">2019-01-31T15:44:00Z</dcterms:created>
  <dcterms:modified xsi:type="dcterms:W3CDTF">2025-01-23T02:07:00Z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4B95CAB44E9D495995FD1933C8C9099D_13</vt:lpwstr>
  </property>
  <property fmtid="{D5CDD505-2E9C-101B-9397-08002B2CF9AE}" pid="3" name="KSOProductBuildVer">
    <vt:lpwstr>2052-12.1.0.16388</vt:lpwstr>
  </property>
</Properties>
</file>