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天津市河北区个体劳动者协会</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负责为个体劳动者和民营企业服务。</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天津市河北区个体劳动者协会</w:t>
      </w:r>
      <w:r w:rsidR="00296995">
        <w:rPr>
          <w:rFonts w:ascii="仿宋_GB2312" w:eastAsia="仿宋_GB2312" w:hint="eastAsia"/>
          <w:sz w:val="30"/>
          <w:szCs w:val="30"/>
        </w:rPr>
        <w:t>内设</w:t>
      </w:r>
      <w:r>
        <w:rPr>
          <w:rFonts w:ascii="仿宋_GB2312" w:eastAsia="仿宋_GB2312" w:hint="eastAsia"/>
          <w:sz w:val="30"/>
          <w:szCs w:val="30"/>
        </w:rPr>
        <w:t>0</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天津市河北区个体劳动者协会</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1.天津市河北区个体劳动者协会</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个体劳动者协会所有收入和支出均纳入部门预算管理。收入包括：一般公共预算拨款收入607,940.00元、政府性基金预算拨款收入0.00元、国有资本经营预算拨款收入0.00元、财政专户管理资金收入0.00元、事业收入0.00元、事业单位经营收入0.00元、上级补助收入0.00元、附属单位上缴收入0.00元、其他收入0.00元、上年结转结余0.00元；支出包括：一般公共服务支出496,727.00元、社会保障和就业支出69,107.00元、卫生健康支出42,106.00元。天津市河北区个体劳动者协会2025年收支总预算607,940.00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个体劳动者协会2025年部门预算收入607,940.00元，与2024年预算相比增加4,560.00元，主要原因是人员预算变动。其中：上年结转结余0.00元，占0.00%；一般公共预算607,940.00元，占100.00%；政府性基金预算0.00元，占0.00%；国有资本经营预算0.00元，占0.00%；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个体劳动者协会2025年支出预算607,940.00元，与2024年预算相比增加4,560.00元，主要原因是人员预算变动。其中：基本支出607,940.00元，占100.00%；项目支出0.00元，占0.00%；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个体劳动者协会2025年财政拨款收入预算607,940.00元，与2024年预算相比增加4,560.00元，主要原因是人员预算变动。收入包括：一般公共预算拨款收入607,940.00元、政府性基金预算拨款收入0.00元、国有资本经营预算拨款收入0.00元、上年财政结转结余0.00元。2025年财政拨款支出预算607,940.00元，与2024年预算相比增加4,560.00元，主要原因是人员预算变动。支出包括：一般公共服务支出496,727.00元、社会保障和就业支出69,107.00元、卫生健康支出42,106.00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天津市河北区个体劳动者协会2025年一般公共预算支出607,940.00元，与2024年预算相比增加4,560.00元，主要原因是人员预算变动。</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1.“一般公共服务支出（类）”496,727.00元，与2024年预算相比增加3,393.00元，主要原因是人员预算变动。其中：</w:t>
        <w:br/>
        <w:t>　　“市场监督管理事务（款）”496,727.00元，包括：“事业运行（项）”496,727.00元，主要用于本单位基本运行。</w:t>
        <w:br/>
        <w:t>　　2.“社会保障和就业支出（类）”69,107.00元，与2024年预算相比增加709.00元，主要原因是人员预算变动。其中：</w:t>
        <w:br/>
        <w:t>　　“行政事业单位养老支出（款）”69,107.00元，包括：“事业单位离退休（项）”3,911.00元，主要用于退休人员补贴发放。“机关事业单位基本养老保险缴费支出（项）”43,464.00元，主要用于在职员工养老保险缴费。“机关事业单位职业年金缴费支出（项）”21,732.00元，主要用于在职员工职业年金缴费。</w:t>
        <w:br/>
        <w:t>　　3.“卫生健康支出（类）”42,106.00元，与2024年预算相比增加458.00元，主要原因是人员预算变动。其中：</w:t>
        <w:br/>
        <w:t>　　“行政事业单位医疗（款）”42,106.00元，包括：“事业单位医疗（项）”28,523.00元，主要用于缴纳在职员工医疗保险。“其他行政事业单位医疗支出（项）”13,583.00元，主要用于缴纳在职员工医疗补助。</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天津市河北区个体劳动者协会一般公共预算基本支出607,940.00元，与2024年预算相比增加4,560.00元，主要原因是人员预算变动。其中：</w:t>
        <w:br/>
        <w:t>　　人员经费594,196.00元，主要包括：基本工资、津贴补贴、绩效工资、机关事业单位基本养老保险缴费、职业年金缴费、职工基本医疗保险缴费、其他社会保障缴费、住房公积金、医疗费、退休费。</w:t>
        <w:br/>
        <w:t>　　公用经费13,744.00元，主要包括：工会经费、福利费。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2025年天津市河北区个体劳动者协会预算中没有使用政府性基金预算安排的支出。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2025年天津市河北区个体劳动者协会预算中没有使用国有资本经营预算安排的支出。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本部门2025年未安排机关运行经费预算。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本部门2025年未安排政府采购预算。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本部门2025年实行绩效目标管理的项目0个，涉及预算金额0.00元。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2.“本部门2025年政府性基金预算支出情况表为空表”。</w:t>
        <w:br/>
        <w:t>　　3.“本部门2025年国有资本经营预算支出情况表为空表”。</w:t>
        <w:br/>
        <w:t>　　4.“本部门2025年项目支出表为空表”。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