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仿宋_GB2312" w:hAnsi="仿宋_GB2312" w:eastAsia="仿宋_GB2312" w:cs="仿宋_GB2312"/>
          <w:kern w:val="10"/>
          <w:sz w:val="32"/>
          <w:szCs w:val="32"/>
          <w:lang w:val="en-US" w:eastAsia="zh-CN"/>
        </w:rPr>
      </w:pP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河</w:t>
      </w:r>
      <w:r>
        <w:rPr>
          <w:rFonts w:hint="eastAsia" w:ascii="方正小标宋简体" w:eastAsia="方正小标宋简体"/>
          <w:sz w:val="44"/>
          <w:szCs w:val="44"/>
          <w:lang w:eastAsia="zh-CN"/>
        </w:rPr>
        <w:t>东</w:t>
      </w:r>
      <w:r>
        <w:rPr>
          <w:rFonts w:hint="eastAsia" w:ascii="方正小标宋简体" w:eastAsia="方正小标宋简体"/>
          <w:sz w:val="44"/>
          <w:szCs w:val="44"/>
        </w:rPr>
        <w:t>区贯彻落实《天津市计量发展规划（</w:t>
      </w:r>
      <w:r>
        <w:rPr>
          <w:rFonts w:ascii="方正小标宋简体" w:eastAsia="方正小标宋简体"/>
          <w:sz w:val="44"/>
          <w:szCs w:val="44"/>
        </w:rPr>
        <w:t>202</w:t>
      </w:r>
      <w:r>
        <w:rPr>
          <w:rFonts w:hint="eastAsia" w:ascii="方正小标宋简体" w:eastAsia="方正小标宋简体"/>
          <w:sz w:val="44"/>
          <w:szCs w:val="44"/>
        </w:rPr>
        <w:t>2</w:t>
      </w:r>
      <w:r>
        <w:rPr>
          <w:rFonts w:ascii="方正小标宋简体" w:eastAsia="方正小标宋简体"/>
          <w:sz w:val="44"/>
          <w:szCs w:val="44"/>
        </w:rPr>
        <w:t>—2035</w:t>
      </w:r>
      <w:r>
        <w:rPr>
          <w:rFonts w:hint="eastAsia" w:ascii="方正小标宋简体" w:eastAsia="方正小标宋简体"/>
          <w:sz w:val="44"/>
          <w:szCs w:val="44"/>
        </w:rPr>
        <w:t>年）》工作措施</w:t>
      </w:r>
    </w:p>
    <w:p>
      <w:pPr>
        <w:spacing w:line="560" w:lineRule="exact"/>
        <w:ind w:firstLine="640" w:firstLineChars="200"/>
        <w:rPr>
          <w:rFonts w:hint="eastAsia" w:ascii="仿宋_GB2312" w:hAnsi="宋体" w:eastAsia="仿宋_GB2312"/>
          <w:kern w:val="1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计量工作是科技创新、产业发展、国防建设、民生保障的重要基础，是构建一体化国家战略体系和能力的重要支撑。为进一步夯实计量基础，提升计量能力和水平，更好服务河东区经济社会高质量发展，推进质量强市建设，保证《天津市计量发展规划（2022-2035）》在我区贯彻落实，结合本区实际，制定本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以习近平新时代中国特色社会主义思想为指导，全面贯彻落实党的二十大精神，深入贯彻落实习近平总书记对天津工作“三个着力”重要要求和一系列重要指示批示精神，坚</w:t>
      </w:r>
      <w:bookmarkStart w:id="0" w:name="_GoBack"/>
      <w:bookmarkEnd w:id="0"/>
      <w:r>
        <w:rPr>
          <w:rFonts w:hint="eastAsia" w:ascii="仿宋_GB2312" w:hAnsi="仿宋_GB2312" w:eastAsia="仿宋_GB2312" w:cs="仿宋_GB2312"/>
          <w:kern w:val="10"/>
          <w:sz w:val="32"/>
          <w:szCs w:val="32"/>
          <w:lang w:val="en-US" w:eastAsia="zh-CN"/>
        </w:rPr>
        <w:t>定捍卫“两个确立”，坚决做到“两个维护”，以高质量发展、高水平改革开放、高效能治理、高品质生活为目标导向，持续深化供给侧结构性改革，围绕京津冀协同发展重大国家战略、碳达峰碳中和等重大战略和产业升级、民生保障等重点领域计量需求，全方位加强计量体系和能力建设，加快构建现代先进测量体系，为助力“津韵家园·金创河东”建设提供坚强有力的计量基础支撑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坚持政府统筹、市场驱动。加强政府对计量事业发展的全局性谋划、战略性布局和整体性推进，鼓励各类市场主体合法、规范开展计量、测试等服务。探索新型计量监管模式，推进计量信用监管和智慧监管，加强事中事后监管，提升计量管理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坚持需求牵引、供给提升。以服务制造业立市战略和人民群众美好生活需要作为计量工作的出发点，发展新型计量供给模式，强化计量服务支撑。强化计量科技场景应用，推动计量产学研协同创新和成果转化。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坚持锚定目标、协同发力。依职责理清各政府部门工作任务，充分调动市场主体资源和积极性，形成协同发力的工作推进机制。以促进河东区经济主体高质量发展为目标，稳步推进河东区落实计量发展规划工作措施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10"/>
          <w:sz w:val="32"/>
          <w:szCs w:val="32"/>
          <w:lang w:val="en-US" w:eastAsia="zh-CN"/>
        </w:rPr>
      </w:pPr>
      <w:r>
        <w:rPr>
          <w:rFonts w:hint="eastAsia" w:ascii="黑体" w:hAnsi="黑体" w:eastAsia="黑体" w:cs="黑体"/>
          <w:kern w:val="10"/>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（一）加强计量基础研究，服务创新驱动发展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1.加强计量应用技术研究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按市科技局统筹安排，指导企业用好用足科技政策，积极开展高企认定、研发投入后补助项目等工作。（区科技局负责）鼓励有关单位围绕计量科学、仪器科学以及精密测试技术工程前沿，在人工智能、生物医药、新材料、新能源、先进制造和新一代信息技术等领域合作开展精密测试应用技术研究。区计量技术机构开展强检计量检定测量不确定度评定、测量方法科学性评价或效能评价等研究。（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2.开展计量数字化转型研究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按照上级部署推动开展计量检定数字化转型，建立强检计量检定电子记录系统，推动强检计量检定全过程数字化。区计量技术机构积极参与天津市和国家计量数据中心建设，支持建立区域强检计量云服务平台或强检计量数据中心，构建强检计量大数据资源池。区计量技术机构及相关单位在生命健康、石油化工、交通、海洋等领域积极参与强检计量数据挖掘和应用，参与建设强检计量数据应用基地。不断规范计量数据使用，推动计量数据安全有序流动。制定《河东区网络安全事件应急预案》《河东区党政机关网络安全管理制度》，推动河东区网络安全、数据安全工作全面开展（区市场监管局、区网信办、有关行业主管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3.加快新型量值传递溯源技术和关键共性计量技术研究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鼓励支持新型量值传递溯源技术和关键共性计量技术研究，指导企业用好用足科技政策，积极开展高企认定、研发投入后补助项目等工作。（区科技局、区市场监管局按职责分工负责）争取市工信局大力支持，鼓励开展相关领域研发。（区产促局负责）区计量技术机构积极参与强检计量器具数字化模拟测量、远程和在线测量等关键共性技术研究。（区市场监管局负责）区计量技术机构积极推动计量领域科技成果转化，积极参与计量领域科技成果转化平台建设。深入实施“借脑融智”工程，积极为高校专家和有需求的企业牵线搭桥。瞄准企业真需求和真问题，积极开展“揭榜挂帅”活动，帮助企业突破“卡脖子”技术难题，帮助高校进行技术成果转化。（区科技局、区市场监管局、有关行业主管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4.优化计量科技创新生态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围绕国家战略和全市产业发展需求，按市科技局统筹安排，指导企业用好用足科技政策，积极开展高企认定、研发投入后补助项目等工作。（区科技局、区市场监管局按职责分工负责）依托区计量技术机构建立强检计量科技创新基地和强检计量先进测量试验室，推动相关单位创建先进测量实验室。（区市场监管局负责）深化科技创新和促进科技成果转化政策实施力度，按市科技局统筹安排，指导企业用好用足科技政策，积极开展高企认定、研发投入后补助项目等工作。按照市知识产权局和区委区政府安排部署，配合牵头单位开展计量领域知识产权监督执法检查，保护科技成果权利人合法权益。区计量技术机构加强多学科多领域交流和计量科技合作。（区科技局、区市场监管局（区知识产权局）、区市场监管局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强化计量应用，服务经济社会重点领域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1.支撑先进制造与质量提升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争取上级单位大力支持，鼓励各类市场主体创建制造业急需的计量标准。（区市场监管局、区产促局按职责分工负责）面向战略性新兴产业和现代服务业等领域,按市科技局统筹安排，指导企业用好用足科技政策,加强关键计量测试技术和测量装备研究，区计量技术机构积极参与建立市强检计量联盟。（区市场监管局、区科技局按职责分工负责）组织相关单位积极参与国家工业计量基础数据库建设。（区市场监管局、区产促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2.服务高端仪器仪表和精密制造发展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积极和市工信局对接，提升我区规上工业企业的技术水平，服务高端仪器仪表和精密制造发展。（区产促局负责）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鼓励有关单位研发高精度计量标准，推进计量仪器设备国产化替代，区计量检定所在新增及更换计量设备时，优先考虑国产化设备。（区市场监管局负责）依托区计量技术机构探讨建设我区仪器仪表计量测试和质量评价公共技术服务平台，促进仪器仪表产业发展壮大。（区市场监管局、区产促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3.服务天津智能科技发展和数字天津建设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推动人工智能与智能制造计量测试能力建设，推动计量与智能科技产业发展深度融合，指导企业用好用足科技政策，积极开展高企认定、研发投入后补助项目等工作。（区科技局、区产促局、区市场监管局按职责分工负责） 区计量技术机构在智能制造、智能医疗、智能交通、智能安防等领域积极参与建设强检计量测试平台，探索建立我区人工智能计量测试体系。鼓励有关单位建立相关计量标准，提升计量溯源能力。（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4.服务碳达峰碳中和目标实现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落实碳排放计量审查制度，加强对重点排放单位执行碳排放计量审查及检查。（区市场监管局负责）在我区具备条件的重点用能企业均完成了在线监测系统建设基础上，后期对具备条件的重点用能企业持续推动。组织相关企业按照计划要求完成温室气体排放量浓度的监测。建立我区碳达峰碳中和标准计量体系，探索建设我区能源计量云平台。（区市场监管局、区生态环境局、区发展改革委按职责分工负责）按照上级单位统一安排部署推进能源资源计量服务示范项目建设，引导和培育能源资源和环境计量服务市场工作。（区市场监管局、区发展改革委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5.服务大众健康和安全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建立我区医疗健康领域计量服务体系，督导医疗机构建立健全计量管理制度，完善计量器具台账，依法落实检定；鼓励相关单位在疾病防控、生物医药、诊断试剂、高端医疗器械、康复理疗设备、可穿戴设备及体质测试器材等领域开展关键计量测试技术研究和标准物质研制。（区卫生健康委、区市场监管局按职责分工负责）加强危险化学品、建筑施工、地质勘查等安全生产相关计量器具的研制生产和监督管理。（区市场监管局负责）按照上级单位统一安排部署推进交通监管设备、警用装备、刑事技术产品等计量测试基础设施建设。（公安河东分局、交警河东支队、区市场监管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6.提升航空航天、海洋和交通运输计量保障能力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积极和上级部门对接，服务本区无人机产业发展，提升规上工业企业的技术水平。（区市场监管局、区产促局按职责分工负责）积极参与研究建立新能源汽车电池、汽车零部件、充电设施等计量测试评价规范地方标准，按照上级部署开展充电桩计量监督检查。（区市场监管局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加强计量能力建设，赋能高质量发展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1.构建新型量值传递溯源体系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按照市、区强制检定项目分级保障工作原则，科学规划计量标准建设，着力增强交易结算、医疗卫生、安全防护、生态环境等领域量值传递能力，确保体系完整、运行有效。推进量值溯源体系“放管服”改革，提高依法治理能力，鼓励社会资源参与市场化、竞争性量值溯源技术服务，通过公开计量技术机构溯源能力和信用风险类别，逐步规范量值溯源市场，推动构建更加科学、高效、开放、灵活的量值溯源体系，提升量值溯源效能。（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2.推进计量标准建设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围绕区级强制检定保障清单及我区重点发展领域对计量的需求，加快完善计量标准项目覆盖，有效提升计量服务能力，更好服务经济社会高质量发展。鼓励和支持特定专业领域建立部门行业和企事业单位计量标准，服务产业、企业计量。（区市场监管局、有关行业主管部门按职责分工负责）根据上级部门安排部署，建设计量标准行政审批和管理信息系统，为提升行政审批服务效率及优化营商环境，做好技术支持工作。（区市场监管局、区网信办按职责分工负责）加强产学研用合作，鼓励支持创新主体在市场中发挥作用，按市科技局统筹安排，指导企业用好用足科技政策，积极开展高企认定、研发投入后补助项目等工作。（区科技局、区市场监管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3.加大标准物质研制应用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鼓励企业，科研机构加大对标准物质研究的投入。加大创新主体培育力度，按市科技局统筹安排，指导企业用好用足科技政策，积极开展高企认定、研发投入后补助项目等工作。按照市知识产权局和区委区政府安排部署，加强知识产权行政执法监督检查力度，维护公平正义的市场环境。（区市场监管局、区市场监管局（区知识产权局）、区科技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4.加快计量技术机构建设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深化计量技术机构改革创新发展，优化资源配置，提升计量有效供给能力，推动计量技术机构建设与我区经济社会发展需求相匹配。（区市场监管局负责）持续开展普惠性、兜底性、基础性和公益性计量基础设施建设；尽快健全满足区级工作计量器具强制检定项目保障清单规定的社会公用计量标准，重点加强民生保障、医疗卫生、环境监测等领域计量保障能力，提升区计量技术机构服务市场的能力和水平，构建满足市场需求的计量技术服务体系。（区市场监管局、有关行业主管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5.加强计量人才队伍建设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区计量技术机构培养强检计量学科带头人和强检计量创新团队，鼓励计量从业人员考取注册计量师。加强人才队伍、团队建设，按区委人才办统一部署，实施河东区高层次创新创业人才集聚计划。（区市场监管局、区科技局按职责分工负责）在市人社局高层次和急需紧缺人才平台上发布岗位需求，积极配合区市场监管部门做好注册计量师职称评审工作。（区人社局负责）参加重大科研项目的研究、实验活动，着力培养计量复合型人才，按区委人才办统一部署，实施河东区高层次创新创业人才集聚计划。（区市场监管局、区科技局按职责分工负责）区计量技术机构与高校开展人才联合培养。（区市场监管局负责）积极配合区市场监管部门以及相关企业做好工程技术系列质量计量标准化专业职称评审工作，主动跟进，为我区计量人才各项奖励和资助做好服务工作。（区人社局负责）深入实施《注册计量师职业资格制度规定》，组织法定计量检定机构的计量技术人员参加注册计量师职业资格考试，逐年提高法定计量检定机构中注册计量师的比例，到2035年区计量检定所注册计量师比例达到100%。鼓励其他企事业单位的计量技术人员考取注册计量师职业资格证书。（区市场监管局负责）区计量技术机构设立首席强检计量师，鼓励我区技术机构人员积极进入计量专家库，建立区计量专家库，开展跨区、跨市的多层次计量交流。（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6.完善企业计量体系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强化企业主体地位和质量意识，通过计量服务中小企业活动，引导企业建立完善与其科研、生产、经营相适应的计量管理制度和保障体系，合理配置计量管理人员与器具设备。推动区生产企业和重点耗能企业加强计量基础设施建设，完善能源计量体系，加强能源计量审查。（区市场监管局负责）支持企业自我声明计量能力，鼓励工业企业申报计量标杆示范。（区市场监管局、区产促局、有关行业主管部门按职责分工负责）实施中小企业计量伙伴行动，发挥产业链龙头企业和计量技术服务机构引领带动作用，全面提升相关中小企业计量管理能力。以区计量技术机构为龙头，建立区计量伙伴平台，按照市工信局部署，进一步提高中小企业计量管理能力。（区市场监管局、区产促局按职责分工负责）对于企业新购置符合条件的计量器具，通过精准推送等方式宣传国家有关享受一次性税前扣除政策，辅导企业对税收优惠应享尽享。（区税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7.推动计量交流合作发展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组织区内计量技术机构参加京津冀计量技术规范共建共享和区域性计量比对活动，实现区域内计量资源共享、能力结果互认。围绕国家重点项目和任务需求组织计量技术指导帮扶、计量项目援建，推动区域计量协调发展。（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8.服务质量基础设施一体化发展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开展质量基础设施“一站式”综合服务试点工作，通过融和计量、标准、认证认可、检验检测等要素资源，面向企业提供全方位质量基础设施综合服务，激发企业活力，促进质量提升。（区市场监管局负责）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（四）加强计量监督管理，提升计量监管效能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1.完善计量制度体系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区计量检定所牵头组织对关系经济社会发展和人民群众切身利益的新业态、新领域强检计量标准建设和效果评估问题的研究。积极参与天津配套计量法律、法规、规章制修订。（区市场监管局负责）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2.改革计量监管制度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 xml:space="preserve">  贯彻落实计量监管制度改革，完善计量事中事后监管制度，建立健全以信用为基础、“双随机、一公开”为基本手段、重点监管为补充的新型监管机制。按照上级统一部署，做好计量评价及比对工作。（区市场监管局负责）强化对医疗卫生机构、检验检测机构的计量监管，督促落实市场主体责任，加强计量风险管控;区计量检定所开展对医疗卫生机构、检验检测机构计量风险管控问题的研究。（区市场监管局、区卫生健康委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3.强化民生计量监督管理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实施计量惠民工程，结合自身职责推动供水、供电、供热、燃气、公共交通、物流配送等民生计量基础设施建设，优化改善民生计量服务。（有关部门按职责分工负责）围绕食品安全、贸易结算、医疗卫生、生态环境、公共安全等领域，增强区级民生计量保障能力，按照区级保障清单尽快建立社会公用计量标准。持续开展对集贸市场、加油站、餐饮业、商店和眼镜店等领域专项监督检查，加强对定量包装商品的计量监督。对人民群众面对面开展计量技术服务。建立民生计量长效监管机制，加强民生计量领域的日常监督检查，优化民生计量服务。定期开展进社区、进学校、进养老院开展计量服务。（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4.创新智慧计量监管模式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区计量检定所推进计量信息化和计量证书电子化。统筹谋划推动河东区数字化转型，强化顶层设计和规划引领，完善健全制度机制，推动智慧河东建设配合有关部门推进计量信息化和计量证书电子化等工作。（区市场监管局、区网信办按职责分工负责）按市级相关部门具体部署在重点民生领域推广新型智慧计量监管模式，依托智慧计量监管平台和数据库，为医疗卫生、生态环境等领域行业监管提供准确的计量数据支撑。（区市场监管局、区卫生健康委、区生态环境局按职责分工负责）鼓励支持相关单位开展创建智慧计量系统。（区市场监管局负责）结合我区实际适时进行推动企业开展计量检测设备智能化、数字化升级改造，提升质量控制和智慧管理水平，服务数字化车间和智能工厂建设。（区市场监管局、有关行业主管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5.推进诚信计量分类监管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 xml:space="preserve">   在日常监管工作中，注重强化企业主体责任，发挥市场机制激励作用，进一步推进诚信计量体系建设，增强全社会诚信计量意识，提升商业服务业服务质量，推行并完善“企业自我评价+自我承诺、政府培育推动+后续监管、行业自律+社会监督”的诚信计量管理模式。依托诚信计量自我承诺公示信息平台，在商业、服务业企业普遍实现诚信计量自我承诺基础上，扩大加油站、眼镜店、集贸市场等领域诚信计量分类监管范围，延伸分类监管效果，提高计量监管效能，推动商业服务业诚信计量体系的建立。（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6.强化计量执法体系建设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加强计量执法队伍建设，充实执法力量，向专业化、精细化方向培养计量执法队伍。严厉查处制造、销售和使用带有作弊功能计量器具的违法行为。严厉打击伪造计量数据、出具虚假计量证书和报告等违法行为，维护消费者合法权益。做好行政执法与刑事司法衔接，强化依法移送、依法办案意识，加大对计量违法行为的打击力度。落实国家和本市有关规定对举报计量违法行为的单位和个人予以奖励制度，形成计量社会共治的良好局面。（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 xml:space="preserve"> 7.推动计量服务市场健康发展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按上级部署，充分利用社会资源，通过政府购买服务、专项授权等形式，鼓励各类社会组织参与法制计量工作。大力发展计量校准、计量测试、产业计量等高技术服务新兴业态（区市场监管局负责）强化对第三方检验检测机构在用仪器设备的计量溯源性要求，保障科研成果有效性和测试结果可信度。（区市场监管局、有关行业主管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楷体" w:hAnsi="楷体" w:eastAsia="楷体" w:cs="楷体"/>
          <w:kern w:val="10"/>
          <w:sz w:val="32"/>
          <w:szCs w:val="32"/>
          <w:lang w:val="en-US" w:eastAsia="zh-CN"/>
        </w:rPr>
      </w:pPr>
      <w:r>
        <w:rPr>
          <w:rFonts w:hint="eastAsia" w:ascii="楷体" w:hAnsi="楷体" w:eastAsia="楷体" w:cs="楷体"/>
          <w:kern w:val="10"/>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1.加强组织实施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各有关单位按照职责分工，采取有力措施，确保规划各项任务落实。区市场监管局会同有关部门加强对本方案实施情况的跟踪监测，发现实施中存在的问题并研究解决对策，重要情况及时报告区政府。（区市场监管局、有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2.加强政策支持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按上级要求，加大对公益性计量技术机构及计量监管力量的支持力度，落实本市及本区相应的人才保障支持政策，加强政策宣传，做好相关服务。大力支持企业建设先进测量类实验室，积极培育市级重点实验室。落实市人社局“海河英才”行动计划各项举措，配合区人才办落实好“翔东计划”升级版各项政策，完善我区人才保障支持政策，确保我区计量人才健康发展。制定《河东区信息化项目管理办法》，推动信息化建设。（区发展改革委、区科技局、区网信办、区人社局按职责分工负责）按照过紧日子要求，在厉行节约的基础上，视财力情况，将公益性计量工作所需经费纳入年度预算。（区财政局负责）鼓励金融机构加大对计量发展的支持力度，积极搭建金融机构和计量企业的沟通桥梁，提供金融服务。大力推广“信易贷”平台，鼓励纳税人注册，助力中小微企业便捷融资；与各大商业银行合作，定期组织宣讲，向纳税人推广信易贷产品。（区金融局、区税务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3.加强计量科普和文化建设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积极开展科普宣传，开发计量科普资源，打造计量领域专业科普品牌，适时开展“计量进校园”活动。区相关职能部门之间加强沟通联系，整合计量专业权威科普资源，充分利用科普活动和微信公众号等渠道，广泛推进计量知识的传播。（区科协、区市场监管局按职责分工负责）依托区计量技术机构，建立区计量科普基地，结合“5•20世界计量日”、“质量月”等活动，大力开展诚信计量、法定计量单位、计量科技知识、计量文化等普及教育，增强全社会对计量的认识。（区市场监管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4.加强协调联动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10"/>
          <w:sz w:val="32"/>
          <w:szCs w:val="32"/>
          <w:lang w:val="en-US" w:eastAsia="zh-CN"/>
        </w:rPr>
      </w:pPr>
      <w:r>
        <w:rPr>
          <w:rFonts w:hint="eastAsia" w:ascii="仿宋_GB2312" w:hAnsi="仿宋_GB2312" w:eastAsia="仿宋_GB2312" w:cs="仿宋_GB2312"/>
          <w:kern w:val="10"/>
          <w:sz w:val="32"/>
          <w:szCs w:val="32"/>
          <w:lang w:val="en-US" w:eastAsia="zh-CN"/>
        </w:rPr>
        <w:t>加强部门间的沟通协调，在推进各项工作中形成合力整体推动的工作格局。（区市场监管局、有关部门按职责分工负责）鼓励辖区内各领域专家加入我市计量智库，积极参与天津市强检计量专业技术委员会创建工作。（区市场监管局负责）</w:t>
      </w:r>
    </w:p>
    <w:p>
      <w:pPr>
        <w:widowControl w:val="0"/>
        <w:numPr>
          <w:ilvl w:val="0"/>
          <w:numId w:val="0"/>
        </w:numPr>
        <w:spacing w:line="560" w:lineRule="exact"/>
        <w:ind w:firstLine="640"/>
        <w:jc w:val="both"/>
        <w:rPr>
          <w:rFonts w:hint="default" w:ascii="仿宋_GB2312" w:hAnsi="宋体" w:eastAsia="仿宋_GB2312"/>
          <w:kern w:val="10"/>
          <w:sz w:val="32"/>
          <w:szCs w:val="32"/>
          <w:lang w:val="en-US" w:eastAsia="zh-CN"/>
        </w:rPr>
      </w:pPr>
    </w:p>
    <w:p>
      <w:pPr>
        <w:rPr>
          <w:rFonts w:hint="default" w:eastAsia="宋体"/>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AC162"/>
    <w:multiLevelType w:val="singleLevel"/>
    <w:tmpl w:val="4EDAC1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2A"/>
    <w:rsid w:val="00010FBB"/>
    <w:rsid w:val="00047E3B"/>
    <w:rsid w:val="0005071B"/>
    <w:rsid w:val="000715D2"/>
    <w:rsid w:val="000A0324"/>
    <w:rsid w:val="000D5B4C"/>
    <w:rsid w:val="00120510"/>
    <w:rsid w:val="001C41DB"/>
    <w:rsid w:val="0020213E"/>
    <w:rsid w:val="00211FDD"/>
    <w:rsid w:val="00247AE2"/>
    <w:rsid w:val="00254F82"/>
    <w:rsid w:val="00272F6F"/>
    <w:rsid w:val="002D2842"/>
    <w:rsid w:val="002E6F4E"/>
    <w:rsid w:val="003010DB"/>
    <w:rsid w:val="0035039D"/>
    <w:rsid w:val="0037619A"/>
    <w:rsid w:val="00376731"/>
    <w:rsid w:val="003A5A97"/>
    <w:rsid w:val="003C1D98"/>
    <w:rsid w:val="003E2705"/>
    <w:rsid w:val="003F4455"/>
    <w:rsid w:val="0042571E"/>
    <w:rsid w:val="004521FD"/>
    <w:rsid w:val="00453C78"/>
    <w:rsid w:val="00454694"/>
    <w:rsid w:val="00466BB6"/>
    <w:rsid w:val="004C1E64"/>
    <w:rsid w:val="004E4FB8"/>
    <w:rsid w:val="00500A7F"/>
    <w:rsid w:val="005247CB"/>
    <w:rsid w:val="00544323"/>
    <w:rsid w:val="005470FC"/>
    <w:rsid w:val="00560633"/>
    <w:rsid w:val="005A2B9B"/>
    <w:rsid w:val="005A5887"/>
    <w:rsid w:val="005E749F"/>
    <w:rsid w:val="00644FBE"/>
    <w:rsid w:val="00694A79"/>
    <w:rsid w:val="006B3408"/>
    <w:rsid w:val="0070693F"/>
    <w:rsid w:val="00804129"/>
    <w:rsid w:val="00835311"/>
    <w:rsid w:val="00843897"/>
    <w:rsid w:val="0085157D"/>
    <w:rsid w:val="00874ACA"/>
    <w:rsid w:val="00903C15"/>
    <w:rsid w:val="009256C8"/>
    <w:rsid w:val="0092724B"/>
    <w:rsid w:val="009422AD"/>
    <w:rsid w:val="00965906"/>
    <w:rsid w:val="009C564A"/>
    <w:rsid w:val="009D6419"/>
    <w:rsid w:val="009E7C0C"/>
    <w:rsid w:val="009F0936"/>
    <w:rsid w:val="00A24ECC"/>
    <w:rsid w:val="00A6229B"/>
    <w:rsid w:val="00AB21FD"/>
    <w:rsid w:val="00AD6032"/>
    <w:rsid w:val="00AF2E7D"/>
    <w:rsid w:val="00AF76FE"/>
    <w:rsid w:val="00B144C2"/>
    <w:rsid w:val="00B222B6"/>
    <w:rsid w:val="00B6766A"/>
    <w:rsid w:val="00B74490"/>
    <w:rsid w:val="00B956FA"/>
    <w:rsid w:val="00BA61AD"/>
    <w:rsid w:val="00BB2D0D"/>
    <w:rsid w:val="00BF5B50"/>
    <w:rsid w:val="00C1154D"/>
    <w:rsid w:val="00C45737"/>
    <w:rsid w:val="00C5709A"/>
    <w:rsid w:val="00C57746"/>
    <w:rsid w:val="00C83884"/>
    <w:rsid w:val="00C878E9"/>
    <w:rsid w:val="00CA09C6"/>
    <w:rsid w:val="00D1615D"/>
    <w:rsid w:val="00D433BB"/>
    <w:rsid w:val="00DC04A2"/>
    <w:rsid w:val="00DD622A"/>
    <w:rsid w:val="00DE522C"/>
    <w:rsid w:val="00E67F94"/>
    <w:rsid w:val="00E94F2D"/>
    <w:rsid w:val="00EB226C"/>
    <w:rsid w:val="00EB45A5"/>
    <w:rsid w:val="00ED552E"/>
    <w:rsid w:val="00EE4BAF"/>
    <w:rsid w:val="00F42AC5"/>
    <w:rsid w:val="00F5493A"/>
    <w:rsid w:val="00F778FE"/>
    <w:rsid w:val="00FC4E2D"/>
    <w:rsid w:val="00FE10CA"/>
    <w:rsid w:val="00FF2302"/>
    <w:rsid w:val="01037267"/>
    <w:rsid w:val="0243484A"/>
    <w:rsid w:val="025C333F"/>
    <w:rsid w:val="035C0AD7"/>
    <w:rsid w:val="089F7E6A"/>
    <w:rsid w:val="0F273D33"/>
    <w:rsid w:val="0FC8754D"/>
    <w:rsid w:val="1CB207C0"/>
    <w:rsid w:val="1CEF0397"/>
    <w:rsid w:val="1EFB479E"/>
    <w:rsid w:val="1F335656"/>
    <w:rsid w:val="218F3D87"/>
    <w:rsid w:val="2207621A"/>
    <w:rsid w:val="25891C03"/>
    <w:rsid w:val="25DA5760"/>
    <w:rsid w:val="272B0196"/>
    <w:rsid w:val="2AF93BBF"/>
    <w:rsid w:val="2C3C2CFB"/>
    <w:rsid w:val="2D7500CD"/>
    <w:rsid w:val="32EB05B4"/>
    <w:rsid w:val="338B40CC"/>
    <w:rsid w:val="372C7C64"/>
    <w:rsid w:val="398C771C"/>
    <w:rsid w:val="3DCE5575"/>
    <w:rsid w:val="3FB77569"/>
    <w:rsid w:val="40E63549"/>
    <w:rsid w:val="48ED7991"/>
    <w:rsid w:val="4ACC66D4"/>
    <w:rsid w:val="4AE826CD"/>
    <w:rsid w:val="4C267DD6"/>
    <w:rsid w:val="4DC17AFF"/>
    <w:rsid w:val="539E4016"/>
    <w:rsid w:val="545E203D"/>
    <w:rsid w:val="57B29611"/>
    <w:rsid w:val="587730B1"/>
    <w:rsid w:val="5AC009C8"/>
    <w:rsid w:val="5B4054F8"/>
    <w:rsid w:val="5C383EB0"/>
    <w:rsid w:val="5F7E3424"/>
    <w:rsid w:val="641C2817"/>
    <w:rsid w:val="65B57805"/>
    <w:rsid w:val="66DE5A80"/>
    <w:rsid w:val="682E7AD3"/>
    <w:rsid w:val="6AA247A4"/>
    <w:rsid w:val="6FE8429A"/>
    <w:rsid w:val="6FFB7BA6"/>
    <w:rsid w:val="714368FA"/>
    <w:rsid w:val="73A5BF85"/>
    <w:rsid w:val="77F311B5"/>
    <w:rsid w:val="7881288F"/>
    <w:rsid w:val="7DB73D60"/>
    <w:rsid w:val="7EBA3008"/>
    <w:rsid w:val="7F6493FF"/>
    <w:rsid w:val="B7DE1787"/>
    <w:rsid w:val="B7FF21A1"/>
    <w:rsid w:val="BAFE864D"/>
    <w:rsid w:val="C7FF1BA9"/>
    <w:rsid w:val="DBDE140E"/>
    <w:rsid w:val="E49B785B"/>
    <w:rsid w:val="E73EC1C5"/>
    <w:rsid w:val="E75B3D39"/>
    <w:rsid w:val="E7BF0BF5"/>
    <w:rsid w:val="EEDBC738"/>
    <w:rsid w:val="EF7F9E75"/>
    <w:rsid w:val="F6DE22A0"/>
    <w:rsid w:val="FFAFD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中国惠普</Company>
  <Pages>4</Pages>
  <Words>379</Words>
  <Characters>2164</Characters>
  <Lines>18</Lines>
  <Paragraphs>5</Paragraphs>
  <TotalTime>4</TotalTime>
  <ScaleCrop>false</ScaleCrop>
  <LinksUpToDate>false</LinksUpToDate>
  <CharactersWithSpaces>2538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2019-01-12T16:54:00Z</dcterms:created>
  <dc:creator>惠普</dc:creator>
  <cp:lastModifiedBy>kylin</cp:lastModifiedBy>
  <cp:lastPrinted>2021-07-09T17:53:00Z</cp:lastPrinted>
  <dcterms:modified xsi:type="dcterms:W3CDTF">2023-03-17T16:36:48Z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