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天津市河东区计量检定所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2022年部门预算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2022年部门预算情况说明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2022年部门预算表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6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numPr>
          <w:ilvl w:val="0"/>
          <w:numId w:val="1"/>
        </w:numPr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主要职责</w:t>
      </w:r>
      <w:bookmarkEnd w:id="1"/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2" w:name="_Toc78784556"/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eastAsia="仿宋_GB2312"/>
          <w:sz w:val="30"/>
          <w:szCs w:val="30"/>
        </w:rPr>
        <w:t>部门内设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个职能</w:t>
      </w:r>
      <w:r>
        <w:rPr>
          <w:rFonts w:hint="eastAsia" w:eastAsia="仿宋_GB2312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2022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按照综合预算的原则，</w:t>
      </w: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hint="eastAsia" w:eastAsia="仿宋_GB2312"/>
          <w:sz w:val="30"/>
          <w:szCs w:val="30"/>
        </w:rPr>
        <w:t>部门所有收入和支出均纳入部门预算管理。收入包括：一般公共预算拨款收入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167.164790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0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；支出包括：一般公共服务支出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167.164790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、公共安全支出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hint="eastAsia" w:eastAsia="仿宋_GB2312"/>
          <w:sz w:val="30"/>
          <w:szCs w:val="30"/>
        </w:rPr>
        <w:t>部门2022年收支总预算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167.164790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仿宋_GB2312" w:cs="仿宋_GB2312"/>
          <w:b w:val="0"/>
          <w:sz w:val="30"/>
          <w:szCs w:val="30"/>
          <w:lang w:eastAsia="zh-CN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hint="eastAsia" w:eastAsia="仿宋_GB2312"/>
          <w:sz w:val="30"/>
          <w:szCs w:val="30"/>
        </w:rPr>
        <w:t>部门2022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167.164790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0.91811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退休1人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hint="eastAsia"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%；一般公共预算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167.164790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%；政府性基金预算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%；国有资本经营预算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财政专户管理资金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%；上级补助收入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%；其他收入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hint="eastAsia" w:eastAsia="仿宋_GB2312"/>
          <w:sz w:val="30"/>
          <w:szCs w:val="30"/>
        </w:rPr>
        <w:t>部门2022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167.164790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0.91811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退休1人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167.164790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%；项目支出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%；上缴上级支出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7" w:name="_Toc78784574"/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/>
        <w:rPr>
          <w:rFonts w:hint="default" w:eastAsia="仿宋_GB2312"/>
          <w:sz w:val="30"/>
          <w:szCs w:val="30"/>
          <w:u w:val="none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hint="eastAsia" w:eastAsia="仿宋_GB2312"/>
          <w:sz w:val="30"/>
          <w:szCs w:val="30"/>
        </w:rPr>
        <w:t>部门2022年财政拨款收入预算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167.164790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0.91811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退休1人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</w:rPr>
        <w:t>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167.164790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。2022年财政拨款支出预算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167.164790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 xml:space="preserve">减少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0.91811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退休1人  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</w:rPr>
        <w:t>。支出包括：一般公共服务支出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142.244966 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>社会保障和就业</w:t>
      </w:r>
      <w:r>
        <w:rPr>
          <w:rFonts w:hint="eastAsia"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17.590464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、</w:t>
      </w:r>
      <w:r>
        <w:rPr>
          <w:rFonts w:hint="eastAsia" w:eastAsia="仿宋_GB2312"/>
          <w:sz w:val="30"/>
          <w:szCs w:val="30"/>
          <w:lang w:val="en-US" w:eastAsia="zh-CN"/>
        </w:rPr>
        <w:t xml:space="preserve">卫生健康支出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7.329360 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万元。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8" w:name="_Toc78784575"/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eastAsia="仿宋_GB2312"/>
          <w:sz w:val="30"/>
          <w:szCs w:val="30"/>
        </w:rPr>
        <w:t>部门</w:t>
      </w:r>
      <w:r>
        <w:rPr>
          <w:rFonts w:hint="eastAsia" w:eastAsia="仿宋_GB2312"/>
          <w:sz w:val="30"/>
          <w:szCs w:val="30"/>
        </w:rPr>
        <w:t>2022年一般公共预算支出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167.164790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0.91811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退休1人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具体情况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numPr>
          <w:ilvl w:val="0"/>
          <w:numId w:val="2"/>
        </w:num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“</w:t>
      </w:r>
      <w:r>
        <w:rPr>
          <w:rFonts w:hint="eastAsia" w:eastAsia="仿宋_GB2312"/>
          <w:sz w:val="30"/>
          <w:szCs w:val="30"/>
          <w:lang w:val="en-US" w:eastAsia="zh-CN"/>
        </w:rPr>
        <w:t>一般公共服务支出(类)</w:t>
      </w:r>
      <w:r>
        <w:rPr>
          <w:rFonts w:hint="eastAsia"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142.244966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0.114936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人员经费减少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  <w:lang w:eastAsia="zh-CN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市场监督管理事务（款）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142.244966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val="en-US" w:eastAsia="zh-CN"/>
        </w:rPr>
        <w:t xml:space="preserve">包括：“事业运行（项）”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142.244966      万元，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 xml:space="preserve"> 主要用于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人员工资发放          。</w:t>
      </w:r>
    </w:p>
    <w:p>
      <w:pPr>
        <w:spacing w:line="580" w:lineRule="exact"/>
        <w:ind w:firstLine="600" w:firstLineChars="200"/>
        <w:rPr>
          <w:rFonts w:hint="default" w:eastAsia="仿宋_GB2312"/>
          <w:sz w:val="30"/>
          <w:szCs w:val="30"/>
          <w:u w:val="none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2.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社会保障和就业</w:t>
      </w:r>
      <w:r>
        <w:rPr>
          <w:rFonts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lang w:eastAsia="zh-CN"/>
        </w:rPr>
        <w:t>（</w:t>
      </w:r>
      <w:r>
        <w:rPr>
          <w:rFonts w:hint="eastAsia" w:eastAsia="仿宋_GB2312"/>
          <w:sz w:val="30"/>
          <w:szCs w:val="30"/>
          <w:lang w:val="en-US" w:eastAsia="zh-CN"/>
        </w:rPr>
        <w:t>类</w:t>
      </w:r>
      <w:r>
        <w:rPr>
          <w:rFonts w:hint="eastAsia" w:eastAsia="仿宋_GB2312"/>
          <w:sz w:val="30"/>
          <w:szCs w:val="30"/>
          <w:lang w:eastAsia="zh-CN"/>
        </w:rPr>
        <w:t>）</w:t>
      </w:r>
      <w:r>
        <w:rPr>
          <w:rFonts w:hint="eastAsia"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17.590464    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万元，</w:t>
      </w:r>
      <w:r>
        <w:rPr>
          <w:rFonts w:eastAsia="仿宋_GB2312"/>
          <w:sz w:val="30"/>
          <w:szCs w:val="30"/>
        </w:rPr>
        <w:t>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0.017634   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社保缴费基数降低   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hint="default" w:eastAsia="仿宋_GB2312"/>
          <w:sz w:val="30"/>
          <w:szCs w:val="30"/>
          <w:u w:val="none"/>
          <w:lang w:val="en-US" w:eastAsia="zh-CN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行政事业单位养老支出（款）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17.590464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val="en-US" w:eastAsia="zh-CN"/>
        </w:rPr>
        <w:t>包括：“机关事业单位基本养老保险缴费支出（项）”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11.726976    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万元，</w:t>
      </w:r>
      <w:r>
        <w:rPr>
          <w:rFonts w:eastAsia="仿宋_GB2312"/>
          <w:sz w:val="30"/>
          <w:szCs w:val="30"/>
        </w:rPr>
        <w:t>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养老保险缴费 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  <w:lang w:eastAsia="zh-CN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机关事业单位职业年金缴费支出（项）”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5.863488     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万元，主要用于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职业年金缴费      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3.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卫生健康支出（</w:t>
      </w:r>
      <w:r>
        <w:rPr>
          <w:rFonts w:hint="eastAsia" w:eastAsia="仿宋_GB2312"/>
          <w:sz w:val="30"/>
          <w:szCs w:val="30"/>
          <w:lang w:val="en-US" w:eastAsia="zh-CN"/>
        </w:rPr>
        <w:t>类</w:t>
      </w:r>
      <w:r>
        <w:rPr>
          <w:rFonts w:hint="eastAsia" w:eastAsia="仿宋_GB2312"/>
          <w:sz w:val="30"/>
          <w:szCs w:val="30"/>
          <w:lang w:eastAsia="zh-CN"/>
        </w:rPr>
        <w:t>）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7.329360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0.785540 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社保缴费基数降低  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hint="default" w:eastAsia="仿宋_GB2312"/>
          <w:sz w:val="30"/>
          <w:szCs w:val="30"/>
          <w:u w:val="single"/>
          <w:lang w:val="en-US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行政事业单位医疗（款）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>7.329360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val="en-US" w:eastAsia="zh-CN"/>
        </w:rPr>
        <w:t>包括：</w:t>
      </w:r>
      <w:r>
        <w:rPr>
          <w:rFonts w:hint="eastAsia" w:eastAsia="仿宋_GB2312"/>
          <w:sz w:val="30"/>
          <w:szCs w:val="30"/>
          <w:lang w:eastAsia="zh-CN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事业单位医疗（项）</w:t>
      </w:r>
      <w:r>
        <w:rPr>
          <w:rFonts w:hint="eastAsia" w:eastAsia="仿宋_GB2312"/>
          <w:sz w:val="30"/>
          <w:szCs w:val="30"/>
          <w:lang w:eastAsia="zh-CN"/>
        </w:rPr>
        <w:t>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7.329360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万元，主要用于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医疗保险缴费      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900" w:firstLineChars="3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天津市河东区计量检定所</w:t>
      </w:r>
      <w:r>
        <w:rPr>
          <w:rFonts w:eastAsia="仿宋_GB2312"/>
          <w:sz w:val="30"/>
          <w:szCs w:val="30"/>
        </w:rPr>
        <w:t>部门一般公共预算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142.244966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</w:t>
      </w:r>
      <w:r>
        <w:rPr>
          <w:rFonts w:hint="eastAsia" w:eastAsia="仿宋_GB2312"/>
          <w:sz w:val="30"/>
          <w:szCs w:val="30"/>
          <w:lang w:val="en-US"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0.017634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人员经费减少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</w:rPr>
        <w:t>人员经费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 162.590267   </w:t>
      </w:r>
      <w:r>
        <w:rPr>
          <w:rFonts w:eastAsia="仿宋_GB2312"/>
          <w:sz w:val="30"/>
          <w:szCs w:val="30"/>
          <w:highlight w:val="none"/>
          <w:u w:val="single"/>
        </w:rPr>
        <w:t xml:space="preserve">  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，主要包括：基本工资、</w:t>
      </w:r>
      <w:r>
        <w:rPr>
          <w:rFonts w:hint="eastAsia" w:eastAsia="仿宋_GB2312"/>
          <w:sz w:val="30"/>
          <w:szCs w:val="30"/>
          <w:highlight w:val="none"/>
          <w:u w:val="none"/>
          <w:lang w:val="en-US" w:eastAsia="zh-CN"/>
        </w:rPr>
        <w:t>津贴补贴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 xml:space="preserve"> 、</w:t>
      </w:r>
      <w:r>
        <w:rPr>
          <w:rFonts w:hint="eastAsia" w:eastAsia="仿宋_GB2312"/>
          <w:sz w:val="30"/>
          <w:szCs w:val="30"/>
          <w:highlight w:val="none"/>
          <w:u w:val="none"/>
          <w:lang w:val="en-US" w:eastAsia="zh-CN"/>
        </w:rPr>
        <w:t>绩效工资、机关事业养老保险缴费、职业年金缴费、职工基本医疗保险缴费、其他社会保险缴费、住房公积金、其他工资福利支出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、退休费。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highlight w:val="none"/>
          <w:u w:val="none"/>
          <w:lang w:val="en-US"/>
        </w:rPr>
      </w:pPr>
      <w:r>
        <w:rPr>
          <w:rFonts w:hint="eastAsia" w:eastAsia="仿宋_GB2312"/>
          <w:sz w:val="30"/>
          <w:szCs w:val="30"/>
          <w:highlight w:val="none"/>
        </w:rPr>
        <w:t>公用经费</w:t>
      </w:r>
      <w:r>
        <w:rPr>
          <w:rFonts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4.574523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</w:rPr>
        <w:t>，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主要包括：办公费、工会经费、福利费</w:t>
      </w:r>
      <w:r>
        <w:rPr>
          <w:rFonts w:hint="eastAsia" w:eastAsia="仿宋_GB2312"/>
          <w:sz w:val="30"/>
          <w:szCs w:val="30"/>
          <w:highlight w:val="none"/>
          <w:u w:val="none"/>
          <w:lang w:val="en-US" w:eastAsia="zh-CN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0" w:name="_Toc78784577"/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本部门一般公共预算未安排“三公”经费       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本部门一般公共预算未安排“</w:t>
      </w:r>
      <w:r>
        <w:rPr>
          <w:rFonts w:eastAsia="仿宋_GB2312"/>
          <w:sz w:val="30"/>
          <w:szCs w:val="30"/>
          <w:u w:val="single"/>
        </w:rPr>
        <w:t>因公出国（境）费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”    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本部门一般公共预算未安排“公务用车运行</w:t>
      </w:r>
      <w:r>
        <w:rPr>
          <w:rFonts w:eastAsia="仿宋_GB2312"/>
          <w:sz w:val="30"/>
          <w:szCs w:val="30"/>
          <w:u w:val="single"/>
        </w:rPr>
        <w:t>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”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本部门一般公共预算未安排“公务用车购置</w:t>
      </w:r>
      <w:r>
        <w:rPr>
          <w:rFonts w:eastAsia="仿宋_GB2312"/>
          <w:sz w:val="30"/>
          <w:szCs w:val="30"/>
          <w:u w:val="single"/>
        </w:rPr>
        <w:t>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”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  <w:lang w:val="en-US" w:eastAsia="zh-CN"/>
        </w:rPr>
        <w:t>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本部门一般公共预算未安排“公务接待</w:t>
      </w:r>
      <w:r>
        <w:rPr>
          <w:rFonts w:eastAsia="仿宋_GB2312"/>
          <w:sz w:val="30"/>
          <w:szCs w:val="30"/>
          <w:u w:val="single"/>
        </w:rPr>
        <w:t>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”        </w:t>
      </w:r>
      <w:r>
        <w:rPr>
          <w:rFonts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2022年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天津市河东区计量检定所</w:t>
      </w:r>
      <w:r>
        <w:rPr>
          <w:rFonts w:hint="eastAsia" w:ascii="楷体" w:hAnsi="楷体" w:eastAsia="楷体" w:cs="楷体"/>
          <w:sz w:val="30"/>
          <w:szCs w:val="30"/>
        </w:rPr>
        <w:t>部门预算中没有使用政府性基金预算安排的支出</w:t>
      </w:r>
      <w:bookmarkStart w:id="11" w:name="_Toc78784578"/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/>
          <w:sz w:val="30"/>
          <w:szCs w:val="30"/>
        </w:rPr>
        <w:t>的说明</w:t>
      </w:r>
    </w:p>
    <w:p>
      <w:pPr>
        <w:spacing w:line="600" w:lineRule="exact"/>
        <w:ind w:firstLine="600" w:firstLineChars="200"/>
      </w:pPr>
      <w:r>
        <w:rPr>
          <w:rFonts w:hint="eastAsia" w:ascii="楷体" w:hAnsi="楷体" w:eastAsia="楷体" w:cs="楷体"/>
          <w:sz w:val="30"/>
          <w:szCs w:val="30"/>
        </w:rPr>
        <w:t>2022年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天津市河东区计量检定所</w:t>
      </w:r>
      <w:r>
        <w:rPr>
          <w:rFonts w:hint="eastAsia" w:ascii="楷体" w:hAnsi="楷体" w:eastAsia="楷体" w:cs="楷体"/>
          <w:sz w:val="30"/>
          <w:szCs w:val="30"/>
        </w:rPr>
        <w:t>部门预算中没有使用国有资本经营预算预算安排的支出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eastAsia="楷体_GB2312"/>
          <w:sz w:val="30"/>
          <w:szCs w:val="30"/>
          <w:highlight w:val="none"/>
          <w:lang w:eastAsia="zh-CN"/>
        </w:rPr>
      </w:pPr>
      <w:r>
        <w:rPr>
          <w:rFonts w:eastAsia="仿宋_GB2312"/>
          <w:sz w:val="30"/>
          <w:szCs w:val="30"/>
          <w:highlight w:val="none"/>
        </w:rPr>
        <w:t>本部门20</w:t>
      </w:r>
      <w:r>
        <w:rPr>
          <w:rFonts w:hint="eastAsia" w:eastAsia="仿宋_GB2312"/>
          <w:sz w:val="30"/>
          <w:szCs w:val="30"/>
          <w:highlight w:val="none"/>
        </w:rPr>
        <w:t>2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sz w:val="30"/>
          <w:szCs w:val="30"/>
          <w:highlight w:val="none"/>
        </w:rPr>
        <w:t>年安排机关运行经费预算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</w:rPr>
        <w:t>4.574523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</w:rPr>
        <w:t>，</w:t>
      </w:r>
      <w:r>
        <w:rPr>
          <w:rFonts w:eastAsia="仿宋_GB2312"/>
          <w:sz w:val="30"/>
          <w:szCs w:val="30"/>
          <w:highlight w:val="none"/>
        </w:rPr>
        <w:t>包括办公费</w:t>
      </w:r>
      <w:r>
        <w:rPr>
          <w:rFonts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仿宋_GB2312"/>
          <w:sz w:val="30"/>
          <w:szCs w:val="30"/>
          <w:highlight w:val="none"/>
          <w:u w:val="single"/>
        </w:rPr>
        <w:t>2.590000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、工会经费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</w:rPr>
        <w:t>0.879523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、福利费</w:t>
      </w:r>
      <w:r>
        <w:rPr>
          <w:rFonts w:eastAsia="仿宋_GB2312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/>
          <w:sz w:val="30"/>
          <w:szCs w:val="30"/>
          <w:highlight w:val="none"/>
          <w:u w:val="single"/>
          <w:lang w:val="en-US" w:eastAsia="zh-CN"/>
        </w:rPr>
        <w:t xml:space="preserve">  1.105000  </w:t>
      </w:r>
      <w:r>
        <w:rPr>
          <w:rFonts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eastAsia="仿宋_GB2312"/>
          <w:sz w:val="30"/>
          <w:szCs w:val="30"/>
          <w:highlight w:val="none"/>
        </w:rPr>
        <w:t>万元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default" w:eastAsia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未安排政府采购预算。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bookmarkStart w:id="14" w:name="_GoBack"/>
      <w:bookmarkEnd w:id="14"/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预算绩效情况说明。</w:t>
      </w:r>
    </w:p>
    <w:p>
      <w:pPr>
        <w:spacing w:line="580" w:lineRule="exact"/>
        <w:ind w:left="151" w:leftChars="63" w:firstLine="450" w:firstLineChars="1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本部门20</w:t>
      </w:r>
      <w:r>
        <w:rPr>
          <w:rFonts w:hint="eastAsia" w:eastAsia="仿宋_GB2312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none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  <w:highlight w:val="none"/>
          <w:lang w:eastAsia="zh-CN"/>
        </w:rPr>
      </w:pPr>
      <w:r>
        <w:rPr>
          <w:rFonts w:hint="eastAsia" w:eastAsia="楷体_GB2312"/>
          <w:sz w:val="30"/>
          <w:szCs w:val="30"/>
          <w:highlight w:val="none"/>
        </w:rPr>
        <w:t>3.无其他专业性名词解释</w:t>
      </w:r>
      <w:r>
        <w:rPr>
          <w:rFonts w:hint="eastAsia" w:eastAsia="楷体_GB2312"/>
          <w:sz w:val="30"/>
          <w:szCs w:val="30"/>
          <w:highlight w:val="none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2022年部门预算表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一、《部门收支总体情况表》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二、《部门收入总体情况表》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三、《部门支出总体情况表》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一</w:t>
      </w:r>
      <w:r>
        <w:rPr>
          <w:rFonts w:hint="eastAsia" w:ascii="楷体_GB2312" w:hAnsi="Times New Roman" w:eastAsia="楷体_GB2312"/>
          <w:b/>
          <w:sz w:val="30"/>
          <w:szCs w:val="30"/>
        </w:rPr>
        <w:t>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hint="eastAsia" w:eastAsia="楷体_GB2312"/>
          <w:sz w:val="30"/>
          <w:szCs w:val="30"/>
          <w:lang w:eastAsia="zh-CN"/>
        </w:rPr>
      </w:pPr>
      <w:r>
        <w:rPr>
          <w:rFonts w:hint="eastAsia" w:eastAsia="楷体_GB2312"/>
          <w:sz w:val="30"/>
          <w:szCs w:val="30"/>
          <w:lang w:val="en-US" w:eastAsia="zh-CN"/>
        </w:rPr>
        <w:t>1</w:t>
      </w:r>
      <w:r>
        <w:rPr>
          <w:rFonts w:hint="eastAsia" w:eastAsia="楷体_GB2312"/>
          <w:sz w:val="30"/>
          <w:szCs w:val="30"/>
        </w:rPr>
        <w:t>.本部门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政府性基金预算支出情况表为空表</w:t>
      </w:r>
      <w:r>
        <w:rPr>
          <w:rFonts w:hint="eastAsia" w:eastAsia="楷体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eastAsia="楷体_GB2312"/>
          <w:sz w:val="30"/>
          <w:szCs w:val="30"/>
          <w:lang w:eastAsia="zh-CN"/>
        </w:rPr>
      </w:pPr>
      <w:r>
        <w:rPr>
          <w:rFonts w:hint="eastAsia" w:eastAsia="楷体_GB2312"/>
          <w:sz w:val="30"/>
          <w:szCs w:val="30"/>
          <w:lang w:val="en-US" w:eastAsia="zh-CN"/>
        </w:rPr>
        <w:t>2</w:t>
      </w:r>
      <w:r>
        <w:rPr>
          <w:rFonts w:hint="eastAsia" w:eastAsia="楷体_GB2312"/>
          <w:sz w:val="30"/>
          <w:szCs w:val="30"/>
        </w:rPr>
        <w:t>.本部门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国有资本经营预算支出情况表为空表</w:t>
      </w:r>
      <w:r>
        <w:rPr>
          <w:rFonts w:hint="eastAsia" w:eastAsia="楷体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eastAsia="楷体_GB2312"/>
          <w:sz w:val="30"/>
          <w:szCs w:val="30"/>
          <w:lang w:val="en-US" w:eastAsia="zh-CN"/>
        </w:rPr>
      </w:pPr>
      <w:r>
        <w:rPr>
          <w:rFonts w:hint="eastAsia" w:eastAsia="楷体_GB2312"/>
          <w:sz w:val="30"/>
          <w:szCs w:val="30"/>
          <w:lang w:val="en-US" w:eastAsia="zh-CN"/>
        </w:rPr>
        <w:t>3.</w:t>
      </w:r>
      <w:r>
        <w:rPr>
          <w:rFonts w:hint="eastAsia" w:eastAsia="楷体_GB2312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  <w:lang w:eastAsia="zh-CN"/>
        </w:rPr>
        <w:t>项目支出</w:t>
      </w:r>
      <w:r>
        <w:rPr>
          <w:rFonts w:hint="eastAsia" w:eastAsia="楷体_GB2312"/>
          <w:sz w:val="30"/>
          <w:szCs w:val="30"/>
        </w:rPr>
        <w:t>表为空表</w:t>
      </w:r>
      <w:r>
        <w:rPr>
          <w:rFonts w:hint="eastAsia" w:eastAsia="楷体_GB2312"/>
          <w:sz w:val="30"/>
          <w:szCs w:val="30"/>
          <w:lang w:eastAsia="zh-CN"/>
        </w:rPr>
        <w:t>。</w:t>
      </w:r>
    </w:p>
    <w:p/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250DCC"/>
    <w:multiLevelType w:val="singleLevel"/>
    <w:tmpl w:val="1B250D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3E05"/>
    <w:rsid w:val="00481283"/>
    <w:rsid w:val="00702D19"/>
    <w:rsid w:val="00991ADF"/>
    <w:rsid w:val="00C346AF"/>
    <w:rsid w:val="01085683"/>
    <w:rsid w:val="01A73C20"/>
    <w:rsid w:val="025E74FD"/>
    <w:rsid w:val="02EB4148"/>
    <w:rsid w:val="02F079B0"/>
    <w:rsid w:val="03596B97"/>
    <w:rsid w:val="038A7E04"/>
    <w:rsid w:val="03C52BEB"/>
    <w:rsid w:val="040A4AA1"/>
    <w:rsid w:val="05EF1759"/>
    <w:rsid w:val="06CD6E0F"/>
    <w:rsid w:val="07223BB5"/>
    <w:rsid w:val="082A4B2D"/>
    <w:rsid w:val="08613011"/>
    <w:rsid w:val="087C2D8F"/>
    <w:rsid w:val="0895702F"/>
    <w:rsid w:val="090146C5"/>
    <w:rsid w:val="09037EDC"/>
    <w:rsid w:val="092D370C"/>
    <w:rsid w:val="095F13EB"/>
    <w:rsid w:val="09A03390"/>
    <w:rsid w:val="09B71227"/>
    <w:rsid w:val="09BC05EC"/>
    <w:rsid w:val="0A64315D"/>
    <w:rsid w:val="0AA34D2A"/>
    <w:rsid w:val="0ACC2AB1"/>
    <w:rsid w:val="0B204BAA"/>
    <w:rsid w:val="0BCF2858"/>
    <w:rsid w:val="0C0D3381"/>
    <w:rsid w:val="0C131813"/>
    <w:rsid w:val="0C28640C"/>
    <w:rsid w:val="0C956E62"/>
    <w:rsid w:val="0CDB41A4"/>
    <w:rsid w:val="0CE20369"/>
    <w:rsid w:val="0D040924"/>
    <w:rsid w:val="0D8D133A"/>
    <w:rsid w:val="0D9D39DD"/>
    <w:rsid w:val="0DE73C50"/>
    <w:rsid w:val="0E4F1A2E"/>
    <w:rsid w:val="0E733DAA"/>
    <w:rsid w:val="0E7E1628"/>
    <w:rsid w:val="0ECE5049"/>
    <w:rsid w:val="0F957915"/>
    <w:rsid w:val="0FB56209"/>
    <w:rsid w:val="10C3267E"/>
    <w:rsid w:val="10CE049F"/>
    <w:rsid w:val="11AC7198"/>
    <w:rsid w:val="134578A4"/>
    <w:rsid w:val="13546C62"/>
    <w:rsid w:val="136715C8"/>
    <w:rsid w:val="143C0CA7"/>
    <w:rsid w:val="1481490C"/>
    <w:rsid w:val="14B950C8"/>
    <w:rsid w:val="14C805A7"/>
    <w:rsid w:val="14FB646C"/>
    <w:rsid w:val="1532307B"/>
    <w:rsid w:val="156C138A"/>
    <w:rsid w:val="15D1541F"/>
    <w:rsid w:val="15EC4007"/>
    <w:rsid w:val="16124D14"/>
    <w:rsid w:val="1658160E"/>
    <w:rsid w:val="1684100F"/>
    <w:rsid w:val="16976FEE"/>
    <w:rsid w:val="17403B2F"/>
    <w:rsid w:val="1748257E"/>
    <w:rsid w:val="17B11099"/>
    <w:rsid w:val="17BA4381"/>
    <w:rsid w:val="18576996"/>
    <w:rsid w:val="18910E95"/>
    <w:rsid w:val="18AC17BB"/>
    <w:rsid w:val="18BA03EC"/>
    <w:rsid w:val="19522980"/>
    <w:rsid w:val="19EA5A93"/>
    <w:rsid w:val="1A200662"/>
    <w:rsid w:val="1A3666F2"/>
    <w:rsid w:val="1A7D4672"/>
    <w:rsid w:val="1AA50C28"/>
    <w:rsid w:val="1ADF54CD"/>
    <w:rsid w:val="1AEE0821"/>
    <w:rsid w:val="1B3E3557"/>
    <w:rsid w:val="1B4A29CD"/>
    <w:rsid w:val="1B4E237E"/>
    <w:rsid w:val="1B776BF9"/>
    <w:rsid w:val="1BCD69CF"/>
    <w:rsid w:val="1BF400B9"/>
    <w:rsid w:val="1C6B28A5"/>
    <w:rsid w:val="1CA05B4B"/>
    <w:rsid w:val="1D295B40"/>
    <w:rsid w:val="1D2D3883"/>
    <w:rsid w:val="1D61352C"/>
    <w:rsid w:val="1D7A5F14"/>
    <w:rsid w:val="1DC15D79"/>
    <w:rsid w:val="1EEA12FF"/>
    <w:rsid w:val="1F5B5A4B"/>
    <w:rsid w:val="1F7A08D5"/>
    <w:rsid w:val="1F7D12D5"/>
    <w:rsid w:val="1F9951FF"/>
    <w:rsid w:val="20266765"/>
    <w:rsid w:val="20325732"/>
    <w:rsid w:val="207417C9"/>
    <w:rsid w:val="208A0FEC"/>
    <w:rsid w:val="21515666"/>
    <w:rsid w:val="215D7D72"/>
    <w:rsid w:val="217C2424"/>
    <w:rsid w:val="21E04D24"/>
    <w:rsid w:val="22066450"/>
    <w:rsid w:val="222D106B"/>
    <w:rsid w:val="2236266D"/>
    <w:rsid w:val="22703027"/>
    <w:rsid w:val="229323DA"/>
    <w:rsid w:val="238C63BD"/>
    <w:rsid w:val="23C03D4A"/>
    <w:rsid w:val="23F36CEC"/>
    <w:rsid w:val="244119C2"/>
    <w:rsid w:val="24583396"/>
    <w:rsid w:val="25E62821"/>
    <w:rsid w:val="26202999"/>
    <w:rsid w:val="26A96CEC"/>
    <w:rsid w:val="26AF313E"/>
    <w:rsid w:val="26BE72FA"/>
    <w:rsid w:val="26C8461C"/>
    <w:rsid w:val="27A86D00"/>
    <w:rsid w:val="27B0758A"/>
    <w:rsid w:val="27D17500"/>
    <w:rsid w:val="27E504FD"/>
    <w:rsid w:val="285850D1"/>
    <w:rsid w:val="289F0154"/>
    <w:rsid w:val="28BA1D43"/>
    <w:rsid w:val="28F90ABD"/>
    <w:rsid w:val="2980630F"/>
    <w:rsid w:val="2AB050F8"/>
    <w:rsid w:val="2AB7478C"/>
    <w:rsid w:val="2AF43C32"/>
    <w:rsid w:val="2B6B54A5"/>
    <w:rsid w:val="2BA32F62"/>
    <w:rsid w:val="2BFA0DD4"/>
    <w:rsid w:val="2C025B09"/>
    <w:rsid w:val="2C131E96"/>
    <w:rsid w:val="2C6A0BFA"/>
    <w:rsid w:val="2C713B2E"/>
    <w:rsid w:val="2CA46F92"/>
    <w:rsid w:val="2CC3566A"/>
    <w:rsid w:val="2CEE2CA8"/>
    <w:rsid w:val="2CFD5E59"/>
    <w:rsid w:val="2D606E87"/>
    <w:rsid w:val="2DF81343"/>
    <w:rsid w:val="2E133665"/>
    <w:rsid w:val="2E224612"/>
    <w:rsid w:val="2E7E4EF0"/>
    <w:rsid w:val="2E8828A0"/>
    <w:rsid w:val="2EB07FFF"/>
    <w:rsid w:val="2EEE2746"/>
    <w:rsid w:val="2EFA3932"/>
    <w:rsid w:val="2F34284F"/>
    <w:rsid w:val="2FA21EAE"/>
    <w:rsid w:val="2FD973C1"/>
    <w:rsid w:val="317C672F"/>
    <w:rsid w:val="31E56082"/>
    <w:rsid w:val="32496DC9"/>
    <w:rsid w:val="324F174E"/>
    <w:rsid w:val="33380434"/>
    <w:rsid w:val="347B2CCE"/>
    <w:rsid w:val="34AC10D9"/>
    <w:rsid w:val="35262C3A"/>
    <w:rsid w:val="3538101C"/>
    <w:rsid w:val="3538296D"/>
    <w:rsid w:val="357A2F85"/>
    <w:rsid w:val="364F2AB0"/>
    <w:rsid w:val="369848B8"/>
    <w:rsid w:val="36B204FD"/>
    <w:rsid w:val="36E13D83"/>
    <w:rsid w:val="36EB413B"/>
    <w:rsid w:val="37466B09"/>
    <w:rsid w:val="374B223F"/>
    <w:rsid w:val="37BE184F"/>
    <w:rsid w:val="37EC6D92"/>
    <w:rsid w:val="38DD08FE"/>
    <w:rsid w:val="392007DF"/>
    <w:rsid w:val="39641F82"/>
    <w:rsid w:val="39D30EB6"/>
    <w:rsid w:val="39E44E71"/>
    <w:rsid w:val="3A3D3DB2"/>
    <w:rsid w:val="3AAC1E33"/>
    <w:rsid w:val="3B606655"/>
    <w:rsid w:val="3C177780"/>
    <w:rsid w:val="3C886DE1"/>
    <w:rsid w:val="3D7B5AED"/>
    <w:rsid w:val="3F487C50"/>
    <w:rsid w:val="3F780536"/>
    <w:rsid w:val="3F942E96"/>
    <w:rsid w:val="3FBD063E"/>
    <w:rsid w:val="3FBD0EF8"/>
    <w:rsid w:val="401D732F"/>
    <w:rsid w:val="40994C08"/>
    <w:rsid w:val="40FB566E"/>
    <w:rsid w:val="41164AEC"/>
    <w:rsid w:val="41CE3850"/>
    <w:rsid w:val="41E0224F"/>
    <w:rsid w:val="42063E05"/>
    <w:rsid w:val="42597BC0"/>
    <w:rsid w:val="42EB2B81"/>
    <w:rsid w:val="43BD69CC"/>
    <w:rsid w:val="448160DE"/>
    <w:rsid w:val="45022641"/>
    <w:rsid w:val="45441FDC"/>
    <w:rsid w:val="45943BEF"/>
    <w:rsid w:val="45CA6AFD"/>
    <w:rsid w:val="45DC5A48"/>
    <w:rsid w:val="45F46E1D"/>
    <w:rsid w:val="4667066F"/>
    <w:rsid w:val="466A344C"/>
    <w:rsid w:val="47193F4C"/>
    <w:rsid w:val="4732546E"/>
    <w:rsid w:val="47502C34"/>
    <w:rsid w:val="47A240B1"/>
    <w:rsid w:val="47BB613C"/>
    <w:rsid w:val="47D74267"/>
    <w:rsid w:val="4904108C"/>
    <w:rsid w:val="492434DC"/>
    <w:rsid w:val="49CC07F8"/>
    <w:rsid w:val="4B080DC7"/>
    <w:rsid w:val="4B1B4A28"/>
    <w:rsid w:val="4B814C16"/>
    <w:rsid w:val="4BC24EA7"/>
    <w:rsid w:val="4CAC181F"/>
    <w:rsid w:val="4D5123C6"/>
    <w:rsid w:val="4DBC3CE3"/>
    <w:rsid w:val="4DF92EF8"/>
    <w:rsid w:val="4E4D5283"/>
    <w:rsid w:val="4E911651"/>
    <w:rsid w:val="4EAC1FAA"/>
    <w:rsid w:val="4EF726C1"/>
    <w:rsid w:val="4F477F24"/>
    <w:rsid w:val="4F5F63A7"/>
    <w:rsid w:val="4F92218D"/>
    <w:rsid w:val="4FD23C92"/>
    <w:rsid w:val="4FEB32EB"/>
    <w:rsid w:val="50485D02"/>
    <w:rsid w:val="50FA629D"/>
    <w:rsid w:val="515F3303"/>
    <w:rsid w:val="51A27694"/>
    <w:rsid w:val="51B51175"/>
    <w:rsid w:val="52020F8B"/>
    <w:rsid w:val="526F3A1A"/>
    <w:rsid w:val="529E1C09"/>
    <w:rsid w:val="53FA5565"/>
    <w:rsid w:val="54085ED4"/>
    <w:rsid w:val="5414351A"/>
    <w:rsid w:val="542A6B9C"/>
    <w:rsid w:val="54417995"/>
    <w:rsid w:val="54A83213"/>
    <w:rsid w:val="551750CB"/>
    <w:rsid w:val="558D41B7"/>
    <w:rsid w:val="55F32DDF"/>
    <w:rsid w:val="56242D6E"/>
    <w:rsid w:val="56461469"/>
    <w:rsid w:val="565D3B8A"/>
    <w:rsid w:val="56B85264"/>
    <w:rsid w:val="56C43C09"/>
    <w:rsid w:val="57073816"/>
    <w:rsid w:val="5713508F"/>
    <w:rsid w:val="57F4051E"/>
    <w:rsid w:val="58706117"/>
    <w:rsid w:val="58740946"/>
    <w:rsid w:val="5900361E"/>
    <w:rsid w:val="59093C73"/>
    <w:rsid w:val="593257A1"/>
    <w:rsid w:val="5A1153B7"/>
    <w:rsid w:val="5AA65DF8"/>
    <w:rsid w:val="5AC34E02"/>
    <w:rsid w:val="5C1E2E39"/>
    <w:rsid w:val="5C9563A0"/>
    <w:rsid w:val="5CDA4186"/>
    <w:rsid w:val="5CF53DE8"/>
    <w:rsid w:val="5DAF0C48"/>
    <w:rsid w:val="5DBC642D"/>
    <w:rsid w:val="5E2B4120"/>
    <w:rsid w:val="5E582880"/>
    <w:rsid w:val="5EAC1A1F"/>
    <w:rsid w:val="5F3959A0"/>
    <w:rsid w:val="5F630463"/>
    <w:rsid w:val="605352A6"/>
    <w:rsid w:val="6065645C"/>
    <w:rsid w:val="60F15F42"/>
    <w:rsid w:val="61AD00BB"/>
    <w:rsid w:val="61B56EE1"/>
    <w:rsid w:val="61E64C2D"/>
    <w:rsid w:val="61EC7D15"/>
    <w:rsid w:val="62771BF6"/>
    <w:rsid w:val="62D45EE4"/>
    <w:rsid w:val="62FC79CB"/>
    <w:rsid w:val="6380155D"/>
    <w:rsid w:val="65073528"/>
    <w:rsid w:val="6553242C"/>
    <w:rsid w:val="65626912"/>
    <w:rsid w:val="6569254B"/>
    <w:rsid w:val="659D3CDD"/>
    <w:rsid w:val="65A460EC"/>
    <w:rsid w:val="65BE68A0"/>
    <w:rsid w:val="666A657B"/>
    <w:rsid w:val="66941F15"/>
    <w:rsid w:val="66CF4630"/>
    <w:rsid w:val="66EC51E2"/>
    <w:rsid w:val="672F50CE"/>
    <w:rsid w:val="685A261F"/>
    <w:rsid w:val="68C1444C"/>
    <w:rsid w:val="69BD2E65"/>
    <w:rsid w:val="69E26222"/>
    <w:rsid w:val="6A190706"/>
    <w:rsid w:val="6A7C062B"/>
    <w:rsid w:val="6A92631E"/>
    <w:rsid w:val="6ABE50E7"/>
    <w:rsid w:val="6ACF10A2"/>
    <w:rsid w:val="6B4C26F3"/>
    <w:rsid w:val="6BB661EC"/>
    <w:rsid w:val="6C0028EB"/>
    <w:rsid w:val="6C376EFF"/>
    <w:rsid w:val="6CA81BAB"/>
    <w:rsid w:val="6DE9247B"/>
    <w:rsid w:val="6E12587C"/>
    <w:rsid w:val="6E533D98"/>
    <w:rsid w:val="6E582AD1"/>
    <w:rsid w:val="6E5B2C4D"/>
    <w:rsid w:val="6EA23008"/>
    <w:rsid w:val="6EAA00F3"/>
    <w:rsid w:val="6F433E0D"/>
    <w:rsid w:val="6FB673DF"/>
    <w:rsid w:val="7040459E"/>
    <w:rsid w:val="704F1B63"/>
    <w:rsid w:val="70F537D8"/>
    <w:rsid w:val="70FF2CA2"/>
    <w:rsid w:val="71866597"/>
    <w:rsid w:val="71CD79BE"/>
    <w:rsid w:val="724C3710"/>
    <w:rsid w:val="72F441DB"/>
    <w:rsid w:val="73016A44"/>
    <w:rsid w:val="73291F27"/>
    <w:rsid w:val="740D2C3B"/>
    <w:rsid w:val="741B7106"/>
    <w:rsid w:val="74412A76"/>
    <w:rsid w:val="74786307"/>
    <w:rsid w:val="747E1443"/>
    <w:rsid w:val="74B53E16"/>
    <w:rsid w:val="74DB0643"/>
    <w:rsid w:val="751122B7"/>
    <w:rsid w:val="75A506B2"/>
    <w:rsid w:val="75AB270C"/>
    <w:rsid w:val="76230BD6"/>
    <w:rsid w:val="763149BF"/>
    <w:rsid w:val="76867D51"/>
    <w:rsid w:val="76AF7FDA"/>
    <w:rsid w:val="76BB5D40"/>
    <w:rsid w:val="77C16603"/>
    <w:rsid w:val="77DB4B8E"/>
    <w:rsid w:val="79314BC4"/>
    <w:rsid w:val="79354B2A"/>
    <w:rsid w:val="793A6BA4"/>
    <w:rsid w:val="799859F8"/>
    <w:rsid w:val="7A0C674C"/>
    <w:rsid w:val="7A170861"/>
    <w:rsid w:val="7A1E7A96"/>
    <w:rsid w:val="7B31720F"/>
    <w:rsid w:val="7B347833"/>
    <w:rsid w:val="7BE47080"/>
    <w:rsid w:val="7C18217D"/>
    <w:rsid w:val="7C43544C"/>
    <w:rsid w:val="7D006E99"/>
    <w:rsid w:val="7D3F28BE"/>
    <w:rsid w:val="7DD935F2"/>
    <w:rsid w:val="7DE63A7B"/>
    <w:rsid w:val="7EA854E8"/>
    <w:rsid w:val="7EC16AFC"/>
    <w:rsid w:val="7F2340B5"/>
    <w:rsid w:val="7F6D38A9"/>
    <w:rsid w:val="7FF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2022-02-07T09:38:00Z</dcterms:created>
  <dc:creator>dell</dc:creator>
  <cp:lastModifiedBy>dell</cp:lastModifiedBy>
  <dcterms:modified xsi:type="dcterms:W3CDTF">2022-02-10T09:35:53Z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39D23B7EF15F45509E8DA8C68A4907D4</vt:lpwstr>
  </property>
</Properties>
</file>