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天津市河东区计量检定所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1"/>
          <w:headerReference w:type="default" r:id="rId42"/>
          <w:headerReference w:type="first" r:id="rId43"/>
          <w:footerReference w:type="even" r:id="rId44"/>
          <w:footerReference w:type="default" r:id="rId45"/>
          <w:footerReference w:type="first" r:id="rId4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天津市河东区计量检定所</w:t>
      </w:r>
      <w:r>
        <w:rPr>
          <w:rFonts w:ascii="仿宋_GB2312" w:eastAsia="仿宋_GB2312" w:hint="eastAsia"/>
          <w:sz w:val="30"/>
          <w:szCs w:val="30"/>
        </w:rPr>
        <w:t xml:space="preserve">的主要职责是：</w:t>
      </w:r>
      <w:r>
        <w:rPr>
          <w:rFonts w:ascii="仿宋_GB2312" w:eastAsia="仿宋_GB2312" w:hint="eastAsia"/>
          <w:sz w:val="30"/>
          <w:szCs w:val="30"/>
        </w:rPr>
        <w:t xml:space="preserve">为量值准确提供测试检定保障。 工作计量器具强制检定 计量标准器具检定、测试与校准 工作计量器具检定、测试与校准 计量科学研究及相关服务。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天津市河东区计量检定所内设0个职能处室；下辖0个预算单位。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天津市河东区计量检定所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1、天津市河东区计量检定所</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1,436,899.42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1,366,290.61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180,756.47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62,873.75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1,436,899.42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1,609,920.83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173,021.41</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1,609,920.83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1,609,920.83</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1,436,899.42</w:t>
            </w:r>
          </w:p>
        </w:tc>
        <w:tc>
          <w:tcPr>
            <w:tcW w:w="1240" w:type="dxa"/>
            <w:tcBorders/>
            <w:vAlign w:val="center"/>
          </w:tcPr>
          <w:p>
            <w:pPr>
              <w:snapToGrid w:val="0"/>
              <w:jc w:val="right"/>
            </w:pPr>
            <w:r>
              <w:rPr>
                <w:rFonts w:ascii="宋体" w:eastAsia="宋体" w:hAnsi="宋体" w:cs="宋体"/>
                <w:b w:val="0"/>
                <w:i w:val="0"/>
                <w:color w:val="000000"/>
                <w:sz w:val="14"/>
              </w:rPr>
              <w:t xml:space="preserve">1,436,899.42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snapToGrid w:val="0"/>
              <w:jc w:val="right"/>
            </w:pPr>
            <w:r>
              <w:rPr>
                <w:rFonts w:ascii="宋体" w:eastAsia="宋体" w:hAnsi="宋体" w:cs="宋体"/>
                <w:b w:val="0"/>
                <w:i w:val="0"/>
                <w:color w:val="000000"/>
                <w:sz w:val="14"/>
              </w:rPr>
              <w:t xml:space="preserve">1,193,269.20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180,756.47</w:t>
            </w:r>
          </w:p>
        </w:tc>
        <w:tc>
          <w:tcPr>
            <w:tcW w:w="1240" w:type="dxa"/>
            <w:tcBorders/>
            <w:vAlign w:val="center"/>
          </w:tcPr>
          <w:p>
            <w:pPr>
              <w:snapToGrid w:val="0"/>
              <w:jc w:val="right"/>
            </w:pPr>
            <w:r>
              <w:rPr>
                <w:rFonts w:ascii="宋体" w:eastAsia="宋体" w:hAnsi="宋体" w:cs="宋体"/>
                <w:b w:val="0"/>
                <w:i w:val="0"/>
                <w:color w:val="000000"/>
                <w:sz w:val="14"/>
              </w:rPr>
              <w:t xml:space="preserve">180,756.47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180,756.47</w:t>
            </w:r>
          </w:p>
        </w:tc>
        <w:tc>
          <w:tcPr>
            <w:tcW w:w="1240" w:type="dxa"/>
            <w:tcBorders/>
            <w:vAlign w:val="center"/>
          </w:tcPr>
          <w:p>
            <w:pPr>
              <w:snapToGrid w:val="0"/>
              <w:jc w:val="right"/>
            </w:pPr>
            <w:r>
              <w:rPr>
                <w:rFonts w:ascii="宋体" w:eastAsia="宋体" w:hAnsi="宋体" w:cs="宋体"/>
                <w:b w:val="0"/>
                <w:i w:val="0"/>
                <w:color w:val="000000"/>
                <w:sz w:val="14"/>
              </w:rPr>
              <w:t xml:space="preserve">180,756.47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120,919.33</w:t>
            </w:r>
          </w:p>
        </w:tc>
        <w:tc>
          <w:tcPr>
            <w:tcW w:w="1240" w:type="dxa"/>
            <w:tcBorders/>
            <w:vAlign w:val="center"/>
          </w:tcPr>
          <w:p>
            <w:pPr>
              <w:snapToGrid w:val="0"/>
              <w:jc w:val="right"/>
            </w:pPr>
            <w:r>
              <w:rPr>
                <w:rFonts w:ascii="宋体" w:eastAsia="宋体" w:hAnsi="宋体" w:cs="宋体"/>
                <w:b w:val="0"/>
                <w:i w:val="0"/>
                <w:color w:val="000000"/>
                <w:sz w:val="14"/>
              </w:rPr>
              <w:t xml:space="preserve">120,919.33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59,837.14</w:t>
            </w:r>
          </w:p>
        </w:tc>
        <w:tc>
          <w:tcPr>
            <w:tcW w:w="1240" w:type="dxa"/>
            <w:tcBorders/>
            <w:vAlign w:val="center"/>
          </w:tcPr>
          <w:p>
            <w:pPr>
              <w:snapToGrid w:val="0"/>
              <w:jc w:val="right"/>
            </w:pPr>
            <w:r>
              <w:rPr>
                <w:rFonts w:ascii="宋体" w:eastAsia="宋体" w:hAnsi="宋体" w:cs="宋体"/>
                <w:b w:val="0"/>
                <w:i w:val="0"/>
                <w:color w:val="000000"/>
                <w:sz w:val="14"/>
              </w:rPr>
              <w:t xml:space="preserve">59,837.14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snapToGrid w:val="0"/>
              <w:jc w:val="right"/>
            </w:pPr>
            <w:r>
              <w:rPr>
                <w:rFonts w:ascii="宋体" w:eastAsia="宋体" w:hAnsi="宋体" w:cs="宋体"/>
                <w:b w:val="0"/>
                <w:i w:val="0"/>
                <w:color w:val="000000"/>
                <w:sz w:val="14"/>
              </w:rPr>
              <w:t xml:space="preserve">62,873.75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1,609,920.83</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173,021.41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355201</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天津市河东区计量检定所</w:t>
            </w:r>
          </w:p>
        </w:tc>
        <w:tc>
          <w:tcPr>
            <w:tcW w:w="580" w:type="dxa"/>
            <w:tcBorders/>
            <w:vAlign w:val="center"/>
          </w:tcPr>
          <w:p>
            <w:pPr>
              <w:snapToGrid w:val="0"/>
              <w:jc w:val="right"/>
            </w:pPr>
            <w:r>
              <w:rPr>
                <w:rFonts w:ascii="宋体" w:eastAsia="宋体" w:hAnsi="宋体" w:cs="宋体"/>
                <w:b w:val="0"/>
                <w:i w:val="0"/>
                <w:color w:val="000000"/>
                <w:sz w:val="9"/>
              </w:rPr>
              <w:t xml:space="preserve">1,609,920.83</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snapToGrid w:val="0"/>
              <w:jc w:val="right"/>
            </w:pPr>
            <w:r>
              <w:rPr>
                <w:rFonts w:ascii="宋体" w:eastAsia="宋体" w:hAnsi="宋体" w:cs="宋体"/>
                <w:b w:val="0"/>
                <w:i w:val="0"/>
                <w:color w:val="000000"/>
                <w:sz w:val="9"/>
              </w:rPr>
              <w:t xml:space="preserve">1,436,899.42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173,021.41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173,021.41</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1,609,920.83</w:t>
            </w:r>
          </w:p>
        </w:tc>
        <w:tc>
          <w:tcPr>
            <w:tcW w:w="1320" w:type="dxa"/>
            <w:tcBorders/>
            <w:vAlign w:val="center"/>
          </w:tcPr>
          <w:p>
            <w:pPr>
              <w:snapToGrid w:val="0"/>
              <w:jc w:val="right"/>
            </w:pPr>
            <w:r>
              <w:rPr>
                <w:rFonts w:ascii="宋体" w:eastAsia="宋体" w:hAnsi="宋体" w:cs="宋体"/>
                <w:b w:val="0"/>
                <w:i w:val="0"/>
                <w:color w:val="000000"/>
                <w:sz w:val="15"/>
              </w:rPr>
              <w:t xml:space="preserve">1,609,920.83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snapToGrid w:val="0"/>
              <w:jc w:val="right"/>
            </w:pPr>
            <w:r>
              <w:rPr>
                <w:rFonts w:ascii="宋体" w:eastAsia="宋体" w:hAnsi="宋体" w:cs="宋体"/>
                <w:b w:val="0"/>
                <w:i w:val="0"/>
                <w:color w:val="000000"/>
                <w:sz w:val="15"/>
              </w:rPr>
              <w:t xml:space="preserve">1,366,290.61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180,756.47</w:t>
            </w:r>
          </w:p>
        </w:tc>
        <w:tc>
          <w:tcPr>
            <w:tcW w:w="1320" w:type="dxa"/>
            <w:tcBorders/>
            <w:vAlign w:val="center"/>
          </w:tcPr>
          <w:p>
            <w:pPr>
              <w:snapToGrid w:val="0"/>
              <w:jc w:val="right"/>
            </w:pPr>
            <w:r>
              <w:rPr>
                <w:rFonts w:ascii="宋体" w:eastAsia="宋体" w:hAnsi="宋体" w:cs="宋体"/>
                <w:b w:val="0"/>
                <w:i w:val="0"/>
                <w:color w:val="000000"/>
                <w:sz w:val="15"/>
              </w:rPr>
              <w:t xml:space="preserve">180,756.47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180,756.47</w:t>
            </w:r>
          </w:p>
        </w:tc>
        <w:tc>
          <w:tcPr>
            <w:tcW w:w="1320" w:type="dxa"/>
            <w:tcBorders/>
            <w:vAlign w:val="center"/>
          </w:tcPr>
          <w:p>
            <w:pPr>
              <w:snapToGrid w:val="0"/>
              <w:jc w:val="right"/>
            </w:pPr>
            <w:r>
              <w:rPr>
                <w:rFonts w:ascii="宋体" w:eastAsia="宋体" w:hAnsi="宋体" w:cs="宋体"/>
                <w:b w:val="0"/>
                <w:i w:val="0"/>
                <w:color w:val="000000"/>
                <w:sz w:val="15"/>
              </w:rPr>
              <w:t xml:space="preserve">180,756.47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120,919.33</w:t>
            </w:r>
          </w:p>
        </w:tc>
        <w:tc>
          <w:tcPr>
            <w:tcW w:w="1320" w:type="dxa"/>
            <w:tcBorders/>
            <w:vAlign w:val="center"/>
          </w:tcPr>
          <w:p>
            <w:pPr>
              <w:snapToGrid w:val="0"/>
              <w:jc w:val="right"/>
            </w:pPr>
            <w:r>
              <w:rPr>
                <w:rFonts w:ascii="宋体" w:eastAsia="宋体" w:hAnsi="宋体" w:cs="宋体"/>
                <w:b w:val="0"/>
                <w:i w:val="0"/>
                <w:color w:val="000000"/>
                <w:sz w:val="15"/>
              </w:rPr>
              <w:t xml:space="preserve">120,919.33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59,837.14</w:t>
            </w:r>
          </w:p>
        </w:tc>
        <w:tc>
          <w:tcPr>
            <w:tcW w:w="1320" w:type="dxa"/>
            <w:tcBorders/>
            <w:vAlign w:val="center"/>
          </w:tcPr>
          <w:p>
            <w:pPr>
              <w:snapToGrid w:val="0"/>
              <w:jc w:val="right"/>
            </w:pPr>
            <w:r>
              <w:rPr>
                <w:rFonts w:ascii="宋体" w:eastAsia="宋体" w:hAnsi="宋体" w:cs="宋体"/>
                <w:b w:val="0"/>
                <w:i w:val="0"/>
                <w:color w:val="000000"/>
                <w:sz w:val="15"/>
              </w:rPr>
              <w:t xml:space="preserve">59,837.14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snapToGrid w:val="0"/>
              <w:jc w:val="right"/>
            </w:pPr>
            <w:r>
              <w:rPr>
                <w:rFonts w:ascii="宋体" w:eastAsia="宋体" w:hAnsi="宋体" w:cs="宋体"/>
                <w:b w:val="0"/>
                <w:i w:val="0"/>
                <w:color w:val="000000"/>
                <w:sz w:val="15"/>
              </w:rPr>
              <w:t xml:space="preserve">62,873.75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1,193,269.20</w:t>
            </w:r>
          </w:p>
        </w:tc>
        <w:tc>
          <w:tcPr>
            <w:tcW w:w="1420" w:type="dxa"/>
            <w:tcBorders/>
            <w:vAlign w:val="center"/>
          </w:tcPr>
          <w:p>
            <w:pPr>
              <w:snapToGrid w:val="0"/>
              <w:jc w:val="right"/>
            </w:pPr>
            <w:r>
              <w:rPr>
                <w:rFonts w:ascii="宋体" w:eastAsia="宋体" w:hAnsi="宋体" w:cs="宋体"/>
                <w:b w:val="0"/>
                <w:i w:val="0"/>
                <w:color w:val="000000"/>
                <w:sz w:val="16"/>
              </w:rPr>
              <w:t xml:space="preserve">1,193,269.20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180,756.47</w:t>
            </w:r>
          </w:p>
        </w:tc>
        <w:tc>
          <w:tcPr>
            <w:tcW w:w="1420" w:type="dxa"/>
            <w:tcBorders/>
            <w:vAlign w:val="center"/>
          </w:tcPr>
          <w:p>
            <w:pPr>
              <w:snapToGrid w:val="0"/>
              <w:jc w:val="right"/>
            </w:pPr>
            <w:r>
              <w:rPr>
                <w:rFonts w:ascii="宋体" w:eastAsia="宋体" w:hAnsi="宋体" w:cs="宋体"/>
                <w:b w:val="0"/>
                <w:i w:val="0"/>
                <w:color w:val="000000"/>
                <w:sz w:val="16"/>
              </w:rPr>
              <w:t xml:space="preserve">180,756.47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62,873.75</w:t>
            </w:r>
          </w:p>
        </w:tc>
        <w:tc>
          <w:tcPr>
            <w:tcW w:w="1420" w:type="dxa"/>
            <w:tcBorders/>
            <w:vAlign w:val="center"/>
          </w:tcPr>
          <w:p>
            <w:pPr>
              <w:snapToGrid w:val="0"/>
              <w:jc w:val="right"/>
            </w:pPr>
            <w:r>
              <w:rPr>
                <w:rFonts w:ascii="宋体" w:eastAsia="宋体" w:hAnsi="宋体" w:cs="宋体"/>
                <w:b w:val="0"/>
                <w:i w:val="0"/>
                <w:color w:val="000000"/>
                <w:sz w:val="16"/>
              </w:rPr>
              <w:t xml:space="preserve">62,873.75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1420" w:type="dxa"/>
            <w:tcBorders/>
            <w:vAlign w:val="center"/>
          </w:tcPr>
          <w:p>
            <w:pPr>
              <w:snapToGrid w:val="0"/>
              <w:jc w:val="right"/>
            </w:pPr>
            <w:r>
              <w:rPr>
                <w:rFonts w:ascii="宋体" w:eastAsia="宋体" w:hAnsi="宋体" w:cs="宋体"/>
                <w:b w:val="0"/>
                <w:i w:val="0"/>
                <w:color w:val="000000"/>
                <w:sz w:val="16"/>
              </w:rPr>
              <w:t xml:space="preserve">1,436,899.42</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1,436,899.42</w:t>
            </w:r>
          </w:p>
        </w:tc>
        <w:tc>
          <w:tcPr>
            <w:tcW w:w="1720" w:type="dxa"/>
            <w:tcBorders/>
            <w:vAlign w:val="center"/>
          </w:tcPr>
          <w:p>
            <w:pPr>
              <w:snapToGrid w:val="0"/>
              <w:jc w:val="right"/>
            </w:pPr>
            <w:r>
              <w:rPr>
                <w:rFonts w:ascii="宋体" w:eastAsia="宋体" w:hAnsi="宋体" w:cs="宋体"/>
                <w:b w:val="0"/>
                <w:i w:val="0"/>
                <w:color w:val="000000"/>
                <w:sz w:val="20"/>
              </w:rPr>
              <w:t xml:space="preserve">1,436,899.42</w:t>
            </w:r>
          </w:p>
        </w:tc>
        <w:tc>
          <w:tcPr>
            <w:tcW w:w="1720" w:type="dxa"/>
            <w:tcBorders/>
            <w:vAlign w:val="center"/>
          </w:tcPr>
          <w:p>
            <w:pPr>
              <w:snapToGrid w:val="0"/>
              <w:jc w:val="right"/>
            </w:pPr>
            <w:r>
              <w:rPr>
                <w:rFonts w:ascii="宋体" w:eastAsia="宋体" w:hAnsi="宋体" w:cs="宋体"/>
                <w:b w:val="0"/>
                <w:i w:val="0"/>
                <w:color w:val="000000"/>
                <w:sz w:val="20"/>
              </w:rPr>
              <w:t xml:space="preserve">1,389,422.42</w:t>
            </w:r>
          </w:p>
        </w:tc>
        <w:tc>
          <w:tcPr>
            <w:tcW w:w="1720" w:type="dxa"/>
            <w:tcBorders/>
            <w:vAlign w:val="center"/>
          </w:tcPr>
          <w:p>
            <w:pPr>
              <w:snapToGrid w:val="0"/>
              <w:jc w:val="right"/>
            </w:pPr>
            <w:r>
              <w:rPr>
                <w:rFonts w:ascii="宋体" w:eastAsia="宋体" w:hAnsi="宋体" w:cs="宋体"/>
                <w:b w:val="0"/>
                <w:i w:val="0"/>
                <w:color w:val="000000"/>
                <w:sz w:val="20"/>
              </w:rPr>
              <w:t xml:space="preserve">47,477.00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1,145,792.20</w:t>
            </w:r>
          </w:p>
        </w:tc>
        <w:tc>
          <w:tcPr>
            <w:tcW w:w="1720" w:type="dxa"/>
            <w:tcBorders/>
            <w:vAlign w:val="center"/>
          </w:tcPr>
          <w:p>
            <w:pPr>
              <w:snapToGrid w:val="0"/>
              <w:jc w:val="right"/>
            </w:pPr>
            <w:r>
              <w:rPr>
                <w:rFonts w:ascii="宋体" w:eastAsia="宋体" w:hAnsi="宋体" w:cs="宋体"/>
                <w:b w:val="0"/>
                <w:i w:val="0"/>
                <w:color w:val="000000"/>
                <w:sz w:val="20"/>
              </w:rPr>
              <w:t xml:space="preserve">47,477.00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1,145,792.20</w:t>
            </w:r>
          </w:p>
        </w:tc>
        <w:tc>
          <w:tcPr>
            <w:tcW w:w="1720" w:type="dxa"/>
            <w:tcBorders/>
            <w:vAlign w:val="center"/>
          </w:tcPr>
          <w:p>
            <w:pPr>
              <w:snapToGrid w:val="0"/>
              <w:jc w:val="right"/>
            </w:pPr>
            <w:r>
              <w:rPr>
                <w:rFonts w:ascii="宋体" w:eastAsia="宋体" w:hAnsi="宋体" w:cs="宋体"/>
                <w:b w:val="0"/>
                <w:i w:val="0"/>
                <w:color w:val="000000"/>
                <w:sz w:val="20"/>
              </w:rPr>
              <w:t xml:space="preserve">47,477.00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1,193,269.20</w:t>
            </w:r>
          </w:p>
        </w:tc>
        <w:tc>
          <w:tcPr>
            <w:tcW w:w="1720" w:type="dxa"/>
            <w:tcBorders/>
            <w:vAlign w:val="center"/>
          </w:tcPr>
          <w:p>
            <w:pPr>
              <w:snapToGrid w:val="0"/>
              <w:jc w:val="right"/>
            </w:pPr>
            <w:r>
              <w:rPr>
                <w:rFonts w:ascii="宋体" w:eastAsia="宋体" w:hAnsi="宋体" w:cs="宋体"/>
                <w:b w:val="0"/>
                <w:i w:val="0"/>
                <w:color w:val="000000"/>
                <w:sz w:val="20"/>
              </w:rPr>
              <w:t xml:space="preserve">1,145,792.20</w:t>
            </w:r>
          </w:p>
        </w:tc>
        <w:tc>
          <w:tcPr>
            <w:tcW w:w="1720" w:type="dxa"/>
            <w:tcBorders/>
            <w:vAlign w:val="center"/>
          </w:tcPr>
          <w:p>
            <w:pPr>
              <w:snapToGrid w:val="0"/>
              <w:jc w:val="right"/>
            </w:pPr>
            <w:r>
              <w:rPr>
                <w:rFonts w:ascii="宋体" w:eastAsia="宋体" w:hAnsi="宋体" w:cs="宋体"/>
                <w:b w:val="0"/>
                <w:i w:val="0"/>
                <w:color w:val="000000"/>
                <w:sz w:val="20"/>
              </w:rPr>
              <w:t xml:space="preserve">47,477.00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snapToGrid w:val="0"/>
              <w:jc w:val="right"/>
            </w:pPr>
            <w:r>
              <w:rPr>
                <w:rFonts w:ascii="宋体" w:eastAsia="宋体" w:hAnsi="宋体" w:cs="宋体"/>
                <w:b w:val="0"/>
                <w:i w:val="0"/>
                <w:color w:val="000000"/>
                <w:sz w:val="20"/>
              </w:rPr>
              <w:t xml:space="preserve">180,756.47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120,919.33</w:t>
            </w:r>
          </w:p>
        </w:tc>
        <w:tc>
          <w:tcPr>
            <w:tcW w:w="1720" w:type="dxa"/>
            <w:tcBorders/>
            <w:vAlign w:val="center"/>
          </w:tcPr>
          <w:p>
            <w:pPr>
              <w:snapToGrid w:val="0"/>
              <w:jc w:val="right"/>
            </w:pPr>
            <w:r>
              <w:rPr>
                <w:rFonts w:ascii="宋体" w:eastAsia="宋体" w:hAnsi="宋体" w:cs="宋体"/>
                <w:b w:val="0"/>
                <w:i w:val="0"/>
                <w:color w:val="000000"/>
                <w:sz w:val="20"/>
              </w:rPr>
              <w:t xml:space="preserve">120,919.33</w:t>
            </w:r>
          </w:p>
        </w:tc>
        <w:tc>
          <w:tcPr>
            <w:tcW w:w="1720" w:type="dxa"/>
            <w:tcBorders/>
            <w:vAlign w:val="center"/>
          </w:tcPr>
          <w:p>
            <w:pPr>
              <w:snapToGrid w:val="0"/>
              <w:jc w:val="right"/>
            </w:pPr>
            <w:r>
              <w:rPr>
                <w:rFonts w:ascii="宋体" w:eastAsia="宋体" w:hAnsi="宋体" w:cs="宋体"/>
                <w:b w:val="0"/>
                <w:i w:val="0"/>
                <w:color w:val="000000"/>
                <w:sz w:val="20"/>
              </w:rPr>
              <w:t xml:space="preserve">120,919.33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59,837.14</w:t>
            </w:r>
          </w:p>
        </w:tc>
        <w:tc>
          <w:tcPr>
            <w:tcW w:w="1720" w:type="dxa"/>
            <w:tcBorders/>
            <w:vAlign w:val="center"/>
          </w:tcPr>
          <w:p>
            <w:pPr>
              <w:snapToGrid w:val="0"/>
              <w:jc w:val="right"/>
            </w:pPr>
            <w:r>
              <w:rPr>
                <w:rFonts w:ascii="宋体" w:eastAsia="宋体" w:hAnsi="宋体" w:cs="宋体"/>
                <w:b w:val="0"/>
                <w:i w:val="0"/>
                <w:color w:val="000000"/>
                <w:sz w:val="20"/>
              </w:rPr>
              <w:t xml:space="preserve">59,837.14</w:t>
            </w:r>
          </w:p>
        </w:tc>
        <w:tc>
          <w:tcPr>
            <w:tcW w:w="1720" w:type="dxa"/>
            <w:tcBorders/>
            <w:vAlign w:val="center"/>
          </w:tcPr>
          <w:p>
            <w:pPr>
              <w:snapToGrid w:val="0"/>
              <w:jc w:val="right"/>
            </w:pPr>
            <w:r>
              <w:rPr>
                <w:rFonts w:ascii="宋体" w:eastAsia="宋体" w:hAnsi="宋体" w:cs="宋体"/>
                <w:b w:val="0"/>
                <w:i w:val="0"/>
                <w:color w:val="000000"/>
                <w:sz w:val="20"/>
              </w:rPr>
              <w:t xml:space="preserve">59,837.14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snapToGrid w:val="0"/>
              <w:jc w:val="right"/>
            </w:pPr>
            <w:r>
              <w:rPr>
                <w:rFonts w:ascii="宋体" w:eastAsia="宋体" w:hAnsi="宋体" w:cs="宋体"/>
                <w:b w:val="0"/>
                <w:i w:val="0"/>
                <w:color w:val="000000"/>
                <w:sz w:val="20"/>
              </w:rPr>
              <w:t xml:space="preserve">62,873.75</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1,353,613.42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47,477.00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321,823.58</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4,043.00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155,989.83</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291,239.97</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101,562.02</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50,729.10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62,873.75</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16,871.17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352,524.00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35,809.00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600.00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35,809.00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850.00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7,544.80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14,039.20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20,400.00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1,389,422.42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47,477.00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天津市河东区计量检定所2024年度政府性基金预算财政拨款收入支出决算表为空表。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天津市河东区计量检定所2024年国有资本经营预算财政拨款收入支出决算表为空表。</w:t>
      </w:r>
      <w:bookmarkStart w:id="34" w:name="_Toc1474728957"/>
      <w:bookmarkStart w:id="35" w:name="_Toc174385854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天津市河东区计量检定所2024年财政拨款“三公”经费支出决算表为空表。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单位：天津市河东区计量检定所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天津市河东区计量检定所2024年项目支出决算表为空表。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1512537805"/>
      <w:bookmarkStart w:id="48" w:name="_Toc752851347"/>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天津市河东区计量检定所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1,609,920.83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减少197,089.43元，下降10.907%</w:t>
      </w:r>
      <w:r>
        <w:rPr>
          <w:rFonts w:eastAsia="仿宋_GB2312" w:hint="eastAsia"/>
          <w:sz w:val="30"/>
          <w:szCs w:val="30"/>
        </w:rPr>
        <w:t xml:space="preserve">，主要原因是</w:t>
      </w:r>
      <w:r>
        <w:rPr>
          <w:rFonts w:eastAsia="仿宋_GB2312" w:hint="eastAsia"/>
          <w:sz w:val="30"/>
          <w:szCs w:val="30"/>
        </w:rPr>
        <w:t xml:space="preserve">退休一人，人员经费支出减少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一般公共预算财政拨款收入1,436,899.42元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一般公共服务支出1,366,290.61元、社会保障和就业支出180,756.47元、卫生健康支出62,873.75元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538331348"/>
      <w:bookmarkStart w:id="52" w:name="_Toc1458959096"/>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w:t>
      </w:r>
      <w:r>
        <w:rPr>
          <w:rFonts w:eastAsia="仿宋_GB2312" w:hint="eastAsia"/>
          <w:sz w:val="30"/>
          <w:szCs w:val="30"/>
        </w:rPr>
        <w:t xml:space="preserve">2024年度本年收入合计</w:t>
      </w:r>
      <w:r>
        <w:rPr>
          <w:rFonts w:eastAsia="仿宋_GB2312" w:hint="eastAsia"/>
          <w:sz w:val="30"/>
          <w:szCs w:val="30"/>
        </w:rPr>
        <w:t xml:space="preserve">1,436,899.42</w:t>
      </w:r>
      <w:r>
        <w:rPr>
          <w:rFonts w:eastAsia="仿宋_GB2312" w:hint="eastAsia"/>
          <w:sz w:val="30"/>
          <w:szCs w:val="30"/>
        </w:rPr>
        <w:t xml:space="preserve">元，与2023年度相比</w:t>
      </w:r>
      <w:r>
        <w:rPr>
          <w:rFonts w:eastAsia="仿宋_GB2312" w:hint="eastAsia"/>
          <w:sz w:val="30"/>
          <w:szCs w:val="30"/>
        </w:rPr>
        <w:t xml:space="preserve">减少244,460.97元，</w:t>
      </w:r>
      <w:r>
        <w:rPr>
          <w:rFonts w:eastAsia="仿宋_GB2312" w:hint="eastAsia"/>
          <w:sz w:val="30"/>
          <w:szCs w:val="30"/>
        </w:rPr>
        <w:t xml:space="preserve">主要原因是</w:t>
      </w:r>
      <w:r>
        <w:rPr>
          <w:rFonts w:eastAsia="仿宋_GB2312" w:hint="eastAsia"/>
          <w:sz w:val="30"/>
          <w:szCs w:val="30"/>
        </w:rPr>
        <w:t xml:space="preserve">退休1人，人员经费支出减少</w:t>
      </w:r>
      <w:r>
        <w:rPr>
          <w:rFonts w:eastAsia="仿宋_GB2312" w:hint="eastAsia"/>
          <w:sz w:val="30"/>
          <w:szCs w:val="30"/>
        </w:rPr>
        <w:t xml:space="preserve">。其中：</w:t>
      </w:r>
      <w:r>
        <w:rPr>
          <w:rFonts w:eastAsia="仿宋_GB2312" w:hint="eastAsia"/>
          <w:sz w:val="30"/>
          <w:szCs w:val="30"/>
        </w:rPr>
        <w:t xml:space="preserve">一般公共预算财政拨款收入1,436,899.42元，占100.000%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1,609,920.83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减少197,089.43元，</w:t>
      </w:r>
      <w:r>
        <w:rPr>
          <w:rFonts w:eastAsia="仿宋_GB2312" w:hint="eastAsia"/>
          <w:sz w:val="30"/>
          <w:szCs w:val="30"/>
        </w:rPr>
        <w:t xml:space="preserve">主要原因是</w:t>
      </w:r>
      <w:r>
        <w:rPr>
          <w:rFonts w:eastAsia="仿宋_GB2312" w:hint="eastAsia"/>
          <w:sz w:val="30"/>
          <w:szCs w:val="30"/>
        </w:rPr>
        <w:t xml:space="preserve">退休1人，人员经费支出减少</w:t>
      </w:r>
      <w:r>
        <w:rPr>
          <w:rFonts w:eastAsia="仿宋_GB2312" w:hint="eastAsia"/>
          <w:sz w:val="30"/>
          <w:szCs w:val="30"/>
        </w:rPr>
        <w:t xml:space="preserve">。其中：</w:t>
      </w:r>
      <w:r>
        <w:rPr>
          <w:rFonts w:eastAsia="仿宋_GB2312" w:hint="eastAsia"/>
          <w:sz w:val="30"/>
          <w:szCs w:val="30"/>
        </w:rPr>
        <w:t xml:space="preserve">基本支出1,609,920.83元，占100.000%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1029059860"/>
      <w:bookmarkStart w:id="61" w:name="_Toc2034129458"/>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天津市河东区计量检定所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1,436,899.42</w:t>
      </w:r>
      <w:r>
        <w:rPr>
          <w:rFonts w:eastAsia="仿宋_GB2312" w:hint="eastAsia"/>
          <w:sz w:val="30"/>
          <w:szCs w:val="30"/>
        </w:rPr>
        <w:t xml:space="preserve">元。与2023年度相比，财政拨款收、支总计各</w:t>
      </w:r>
      <w:r>
        <w:rPr>
          <w:rFonts w:eastAsia="仿宋_GB2312" w:hint="eastAsia"/>
          <w:sz w:val="30"/>
          <w:szCs w:val="30"/>
        </w:rPr>
        <w:t xml:space="preserve">减少168,026.64元，下降10.469%，</w:t>
      </w:r>
      <w:r>
        <w:rPr>
          <w:rFonts w:eastAsia="仿宋_GB2312" w:hint="eastAsia"/>
          <w:sz w:val="30"/>
          <w:szCs w:val="30"/>
        </w:rPr>
        <w:t xml:space="preserve">主要原因是</w:t>
      </w:r>
      <w:r>
        <w:rPr>
          <w:rFonts w:eastAsia="仿宋_GB2312" w:hint="eastAsia"/>
          <w:sz w:val="30"/>
          <w:szCs w:val="30"/>
        </w:rPr>
        <w:t xml:space="preserve">退休1人，人员经费支出减少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一般公共预算财政拨款1,436,899.42元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一般公共服务支出1,193,269.20元、社会保障和就业支出180,756.47元、卫生健康支出62,873.75元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332076583"/>
      <w:bookmarkStart w:id="64" w:name="_Toc1821624013"/>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天津市河东区计量检定所2024年度部门决算一般公共预算财政拨款支出合计1,436,899.42元，占本年支出合计的100.000%。与2023年度相比，一般公共预算财政拨款支出</w:t>
      </w:r>
      <w:r>
        <w:rPr>
          <w:rFonts w:eastAsia="仿宋_GB2312" w:hint="eastAsia"/>
          <w:sz w:val="30"/>
          <w:szCs w:val="30"/>
        </w:rPr>
        <w:t xml:space="preserve">减少168,026.64元</w:t>
      </w:r>
      <w:r>
        <w:rPr>
          <w:rFonts w:eastAsia="仿宋_GB2312" w:hint="eastAsia"/>
          <w:sz w:val="30"/>
          <w:szCs w:val="30"/>
          <w:lang w:eastAsia="zh-CN"/>
        </w:rPr>
        <w:t xml:space="preserve">，下降10.469%</w:t>
      </w:r>
      <w:r>
        <w:rPr>
          <w:rFonts w:eastAsia="仿宋_GB2312" w:hint="eastAsia"/>
          <w:sz w:val="30"/>
          <w:szCs w:val="30"/>
        </w:rPr>
        <w:t xml:space="preserve">，主要原因是退休1人，人员经费支出减少。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2024年度一般公共预算财政拨款支出1,436,899.42元，主要用于以下方面：</w:t>
      </w:r>
      <w:r>
        <w:rPr>
          <w:rFonts w:eastAsia="仿宋_GB2312" w:hint="eastAsia"/>
          <w:sz w:val="30"/>
          <w:szCs w:val="30"/>
        </w:rPr>
        <w:t xml:space="preserve">一般公共服务支出（类）支出1,193,269.20元，占83.040%,社会保障和就业支出（类）支出180,756.47元，占12.580%,卫生健康支出（类）支出62,873.75元，占4.380%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2024年度一般公共预算财政拨款支出年初预算为1,670,789.49元，支出决算为1,436,899.42元</w:t>
      </w:r>
      <w:r>
        <w:rPr>
          <w:rFonts w:eastAsia="仿宋_GB2312" w:hint="eastAsia"/>
          <w:sz w:val="30"/>
          <w:szCs w:val="30"/>
        </w:rPr>
        <w:t xml:space="preserve">，完成年初预算的86.000%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市场监督管理事务（款）事业运行（项）年初预算为1,420,564.22元，支出决算为1,193,269.20元，完成年初预算的84.000%，决算数小于预算数的主要原因是：2023年末退休1人，人员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117,752.68元，支出决算为120,919.33元，完成年初预算的102.689%，决算数大于预算数的主要原因是：2024年7月新招录1人，养老保险缴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58,876.84元，支出决算为59,837.14元，完成年初预算的101.631%，决算数大于预算数的主要原因是：2024年7月新招录1人，职业年金缴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73,595.75元，支出决算为62,873.75元，完成年初预算的85.431%，决算数小于预算数的主要原因是：2023年末退休1人，医疗保险缴费支出减少。</w:t>
      </w:r>
    </w:p>
    <w:p>
      <w:pPr>
        <w:pStyle w:val="Heading2"/>
        <w:spacing w:before="0" w:after="0" w:line="600" w:lineRule="exact"/>
        <w:ind w:firstLine="600" w:firstLineChars="200"/>
        <w:rPr>
          <w:rFonts w:ascii="黑体" w:eastAsia="黑体" w:hAnsi="黑体" w:cs="仿宋_GB2312"/>
          <w:sz w:val="30"/>
          <w:szCs w:val="30"/>
        </w:rPr>
      </w:pPr>
      <w:bookmarkStart w:id="66" w:name="_Toc1507914859"/>
      <w:bookmarkStart w:id="67" w:name="_Toc1127616914"/>
      <w:bookmarkStart w:id="68" w:name="_Toc1648307680"/>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1,436,899.42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减少168,026.64元，</w:t>
      </w:r>
      <w:r>
        <w:rPr>
          <w:rFonts w:eastAsia="仿宋_GB2312" w:hint="eastAsia"/>
          <w:sz w:val="30"/>
          <w:szCs w:val="30"/>
        </w:rPr>
        <w:t xml:space="preserve">主要原因是</w:t>
      </w:r>
      <w:r>
        <w:rPr>
          <w:rFonts w:eastAsia="仿宋_GB2312" w:hint="eastAsia"/>
          <w:sz w:val="30"/>
          <w:szCs w:val="30"/>
        </w:rPr>
        <w:t xml:space="preserve">2023年末退休1人，人员经费支出减少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人员经费1,389,422.42元，主要包括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公用经费47,477.00元，主要包括</w:t>
      </w:r>
      <w:r>
        <w:rPr>
          <w:rFonts w:eastAsia="仿宋_GB2312" w:hint="eastAsia"/>
          <w:sz w:val="30"/>
          <w:szCs w:val="30"/>
        </w:rPr>
        <w:t xml:space="preserve">办公费、培训费、委托业务费、工会经费、福利费、其他商品和服务支出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157358551"/>
      <w:bookmarkStart w:id="73" w:name="_Toc314288823"/>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天津市河东区计量检定所2024年度无政府性基金预算财政拨款收入、支出和结转结余。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560652996"/>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0786419"/>
      <w:bookmarkStart w:id="88" w:name="_Toc1895013942"/>
      <w:bookmarkStart w:id="89" w:name="_Toc2102885201"/>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天津市河东区计量检定所2024年度无机关运行经费。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2053194528"/>
      <w:bookmarkStart w:id="91" w:name="_Toc1464993319"/>
      <w:bookmarkStart w:id="92" w:name="_Toc376739118"/>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天津市河东区计量检定所2024年度无政府采购支出。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925871084"/>
      <w:bookmarkStart w:id="95" w:name="_Toc1072564870"/>
      <w:bookmarkStart w:id="96" w:name="_Toc1242699578"/>
      <w:bookmarkStart w:id="97" w:name="_Toc125708453"/>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天津市河东区计量检定所2024年度无国有资产占有使用情况。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天津市河东区计量检定所2024年度没有项目支出，无需开展绩效自评。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063166918"/>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天津市河东区计量检定所不属于乡、镇、街级单位，不涉及公开2024年度教育、医疗卫生、社会保障和就业、住房保障、涉农补贴等民生支出情况。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1582447786"/>
      <w:bookmarkStart w:id="107" w:name="_Toc282832597"/>
      <w:bookmarkStart w:id="108" w:name="_Toc56525689"/>
      <w:bookmarkStart w:id="109" w:name="_Toc368130082"/>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footer" Target="footer3.xml" /><Relationship Id="rId47" Type="http://schemas.openxmlformats.org/officeDocument/2006/relationships/footer" Target="footer4.xml" /><Relationship Id="rId48" Type="http://schemas.openxmlformats.org/officeDocument/2006/relationships/footer" Target="footer5.xml" /><Relationship Id="rId49" Type="http://schemas.openxmlformats.org/officeDocument/2006/relationships/theme" Target="theme/theme1.xml" /><Relationship Id="rId5" Type="http://schemas.openxmlformats.org/officeDocument/2006/relationships/customXml" Target="../customXml/item5.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c447a779-d5f4-4941-a464-54880d6879cc}">
  <ds:schemaRefs/>
</ds:datastoreItem>
</file>

<file path=customXml/itemProps13.xml><?xml version="1.0" encoding="utf-8"?>
<ds:datastoreItem xmlns:ds="http://schemas.openxmlformats.org/officeDocument/2006/customXml" ds:itemID="{8cb6d6f4-9f1b-4b0d-8d68-117c027a6042}">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4a7f27f7-12a8-4a7b-a87d-eb7ba1535daf}">
  <ds:schemaRefs/>
</ds:datastoreItem>
</file>

<file path=customXml/itemProps22.xml><?xml version="1.0" encoding="utf-8"?>
<ds:datastoreItem xmlns:ds="http://schemas.openxmlformats.org/officeDocument/2006/customXml" ds:itemID="{1546835f-6799-4a03-a165-8cef335c8036}">
  <ds:schemaRefs/>
</ds:datastoreItem>
</file>

<file path=customXml/itemProps23.xml><?xml version="1.0" encoding="utf-8"?>
<ds:datastoreItem xmlns:ds="http://schemas.openxmlformats.org/officeDocument/2006/customXml" ds:itemID="{4bad73e6-5b55-4045-92d1-c7ae96d89a0b}">
  <ds:schemaRefs/>
</ds:datastoreItem>
</file>

<file path=customXml/itemProps24.xml><?xml version="1.0" encoding="utf-8"?>
<ds:datastoreItem xmlns:ds="http://schemas.openxmlformats.org/officeDocument/2006/customXml" ds:itemID="{8B3B8D83-7812-4532-AAD4-C9247D36013A}">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7ef6bbb-569c-4264-8181-8d00be1b18bf}">
  <ds:schemaRefs/>
</ds:datastoreItem>
</file>

<file path=customXml/itemProps27.xml><?xml version="1.0" encoding="utf-8"?>
<ds:datastoreItem xmlns:ds="http://schemas.openxmlformats.org/officeDocument/2006/customXml" ds:itemID="{696F2980-23D8-403F-A1D5-FC1C8D10704C}">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C3AB585A-6BA2-4FC7-BE37-D151DAAAB6C4}">
  <ds:schemaRefs/>
</ds:datastoreItem>
</file>

<file path=customXml/itemProps30.xml><?xml version="1.0" encoding="utf-8"?>
<ds:datastoreItem xmlns:ds="http://schemas.openxmlformats.org/officeDocument/2006/customXml" ds:itemID="{0bd56c28-6146-4ad0-95ea-a1cf46b5d92f}">
  <ds:schemaRefs/>
</ds:datastoreItem>
</file>

<file path=customXml/itemProps31.xml><?xml version="1.0" encoding="utf-8"?>
<ds:datastoreItem xmlns:ds="http://schemas.openxmlformats.org/officeDocument/2006/customXml" ds:itemID="{A460A401-5645-4B19-9032-4F3214354AD2}">
  <ds:schemaRefs/>
</ds:datastoreItem>
</file>

<file path=customXml/itemProps32.xml><?xml version="1.0" encoding="utf-8"?>
<ds:datastoreItem xmlns:ds="http://schemas.openxmlformats.org/officeDocument/2006/customXml" ds:itemID="{8445723E-1C18-4162-BEE5-0642E591AE1D}">
  <ds:schemaRefs/>
</ds:datastoreItem>
</file>

<file path=customXml/itemProps33.xml><?xml version="1.0" encoding="utf-8"?>
<ds:datastoreItem xmlns:ds="http://schemas.openxmlformats.org/officeDocument/2006/customXml" ds:itemID="{4fef8546-f89c-4e58-a735-047dc1104a75}">
  <ds:schemaRefs/>
</ds:datastoreItem>
</file>

<file path=customXml/itemProps34.xml><?xml version="1.0" encoding="utf-8"?>
<ds:datastoreItem xmlns:ds="http://schemas.openxmlformats.org/officeDocument/2006/customXml" ds:itemID="{2ce1824b-6d2b-4739-b544-300edb28c5dd}">
  <ds:schemaRefs/>
</ds:datastoreItem>
</file>

<file path=customXml/itemProps35.xml><?xml version="1.0" encoding="utf-8"?>
<ds:datastoreItem xmlns:ds="http://schemas.openxmlformats.org/officeDocument/2006/customXml" ds:itemID="{3ff9ae3b-1b31-429a-b6e1-bcfcbdd7b44f}">
  <ds:schemaRefs/>
</ds:datastoreItem>
</file>

<file path=customXml/itemProps36.xml><?xml version="1.0" encoding="utf-8"?>
<ds:datastoreItem xmlns:ds="http://schemas.openxmlformats.org/officeDocument/2006/customXml" ds:itemID="{6ed81b1d-aba1-4c64-90a7-ed44f21a5373}">
  <ds:schemaRefs/>
</ds:datastoreItem>
</file>

<file path=customXml/itemProps37.xml><?xml version="1.0" encoding="utf-8"?>
<ds:datastoreItem xmlns:ds="http://schemas.openxmlformats.org/officeDocument/2006/customXml" ds:itemID="{E3799C1F-725D-428D-8919-8F8656367B63}">
  <ds:schemaRefs/>
</ds:datastoreItem>
</file>

<file path=customXml/itemProps38.xml><?xml version="1.0" encoding="utf-8"?>
<ds:datastoreItem xmlns:ds="http://schemas.openxmlformats.org/officeDocument/2006/customXml" ds:itemID="{c0bc8a20-1c00-45d9-b65d-5c0b2c99a12a}">
  <ds:schemaRefs/>
</ds:datastoreItem>
</file>

<file path=customXml/itemProps39.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093F2D8C-60D1-42DB-8DB8-50630DD737DE}">
  <ds:schemaRefs/>
</ds:datastoreItem>
</file>

<file path=customXml/itemProps40.xml><?xml version="1.0" encoding="utf-8"?>
<ds:datastoreItem xmlns:ds="http://schemas.openxmlformats.org/officeDocument/2006/customXml" ds:itemID="{c8b188cd-979f-4874-83e6-b3681f8e177b}">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217734FF-E389-4970-B253-703D7FC180DD}">
  <ds:schemaRefs/>
</ds:datastoreItem>
</file>

<file path=customXml/itemProps7.xml><?xml version="1.0" encoding="utf-8"?>
<ds:datastoreItem xmlns:ds="http://schemas.openxmlformats.org/officeDocument/2006/customXml" ds:itemID="{f8497d09-f8d1-49c8-9a86-426e1f635fff}">
  <ds:schemaRefs/>
</ds:datastoreItem>
</file>

<file path=customXml/itemProps8.xml><?xml version="1.0" encoding="utf-8"?>
<ds:datastoreItem xmlns:ds="http://schemas.openxmlformats.org/officeDocument/2006/customXml" ds:itemID="{4ed23dc8-767f-490f-a0b9-df4f4f281aa6}">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2025-07-09T03:27:00Z</cp:lastPrinted>
  <dcterms:created xsi:type="dcterms:W3CDTF">2019-08-11T18:37:00Z</dcterms:created>
  <dcterms:modified xsi:type="dcterms:W3CDTF">2025-09-11T10:33:00Z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