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40" w:lineRule="exact"/>
        <w:jc w:val="left"/>
        <w:outlineLvl w:val="0"/>
        <w:rPr>
          <w:rFonts w:ascii="黑体" w:hAnsi="黑体" w:eastAsia="黑体" w:cs="仿宋_GB2312"/>
          <w:sz w:val="28"/>
          <w:szCs w:val="28"/>
        </w:rPr>
      </w:pPr>
      <w:bookmarkStart w:id="0" w:name="_Toc456965826"/>
      <w:r>
        <w:rPr>
          <w:rFonts w:hint="eastAsia" w:ascii="黑体" w:hAnsi="黑体" w:eastAsia="黑体" w:cs="仿宋_GB2312"/>
          <w:sz w:val="28"/>
          <w:szCs w:val="28"/>
        </w:rPr>
        <w:t>附件</w:t>
      </w:r>
      <w:r>
        <w:rPr>
          <w:rFonts w:ascii="黑体" w:hAnsi="黑体" w:eastAsia="黑体" w:cs="仿宋_GB2312"/>
          <w:sz w:val="28"/>
          <w:szCs w:val="28"/>
        </w:rPr>
        <w:t>4</w:t>
      </w:r>
    </w:p>
    <w:p>
      <w:pPr>
        <w:spacing w:after="0" w:line="540" w:lineRule="exact"/>
        <w:ind w:firstLine="640"/>
        <w:jc w:val="center"/>
        <w:outlineLvl w:val="0"/>
        <w:rPr>
          <w:rFonts w:ascii="宋体" w:hAnsi="宋体" w:cs="仿宋_GB2312"/>
          <w:b/>
          <w:bCs/>
          <w:sz w:val="44"/>
          <w:szCs w:val="44"/>
        </w:rPr>
      </w:pPr>
    </w:p>
    <w:p>
      <w:pPr>
        <w:spacing w:after="0" w:line="540" w:lineRule="exact"/>
        <w:ind w:firstLine="640"/>
        <w:jc w:val="center"/>
        <w:outlineLvl w:val="0"/>
        <w:rPr>
          <w:rFonts w:ascii="宋体" w:hAnsi="宋体" w:cs="仿宋_GB2312"/>
          <w:b/>
          <w:bCs/>
          <w:sz w:val="44"/>
          <w:szCs w:val="44"/>
        </w:rPr>
      </w:pPr>
      <w:r>
        <w:rPr>
          <w:rFonts w:hint="eastAsia" w:ascii="宋体" w:hAnsi="宋体" w:cs="仿宋_GB2312"/>
          <w:b/>
          <w:bCs/>
          <w:sz w:val="44"/>
          <w:szCs w:val="44"/>
        </w:rPr>
        <w:t>和平区市场监督管理局202</w:t>
      </w:r>
      <w:r>
        <w:rPr>
          <w:rFonts w:ascii="宋体" w:hAnsi="宋体" w:cs="仿宋_GB2312"/>
          <w:b/>
          <w:bCs/>
          <w:sz w:val="44"/>
          <w:szCs w:val="44"/>
        </w:rPr>
        <w:t>1</w:t>
      </w:r>
      <w:r>
        <w:rPr>
          <w:rFonts w:hint="eastAsia" w:ascii="宋体" w:hAnsi="宋体" w:cs="仿宋_GB2312"/>
          <w:b/>
          <w:bCs/>
          <w:sz w:val="44"/>
          <w:szCs w:val="44"/>
        </w:rPr>
        <w:t>年整体支出</w:t>
      </w:r>
    </w:p>
    <w:p>
      <w:pPr>
        <w:spacing w:after="0" w:line="540" w:lineRule="exact"/>
        <w:ind w:firstLine="640"/>
        <w:jc w:val="center"/>
        <w:outlineLvl w:val="0"/>
        <w:rPr>
          <w:rFonts w:ascii="宋体" w:hAnsi="宋体" w:cs="仿宋_GB2312"/>
          <w:b/>
          <w:bCs/>
          <w:sz w:val="44"/>
          <w:szCs w:val="44"/>
        </w:rPr>
      </w:pPr>
      <w:r>
        <w:rPr>
          <w:rFonts w:hint="eastAsia" w:ascii="宋体" w:hAnsi="宋体" w:cs="仿宋_GB2312"/>
          <w:b/>
          <w:bCs/>
          <w:sz w:val="44"/>
          <w:szCs w:val="44"/>
        </w:rPr>
        <w:t>绩效自评报告</w:t>
      </w:r>
    </w:p>
    <w:p>
      <w:pPr>
        <w:spacing w:after="0" w:line="540" w:lineRule="exact"/>
        <w:ind w:firstLine="640"/>
        <w:outlineLvl w:val="0"/>
        <w:rPr>
          <w:rFonts w:ascii="楷体_GB2312" w:hAnsi="楷体_GB2312" w:eastAsia="楷体_GB2312" w:cs="楷体_GB2312"/>
          <w:b/>
          <w:bCs/>
          <w:sz w:val="32"/>
          <w:szCs w:val="32"/>
        </w:rPr>
      </w:pPr>
    </w:p>
    <w:p>
      <w:pPr>
        <w:spacing w:after="0" w:line="540" w:lineRule="exact"/>
        <w:ind w:firstLine="640"/>
        <w:outlineLvl w:val="0"/>
        <w:rPr>
          <w:rFonts w:ascii="黑体" w:hAnsi="黑体" w:eastAsia="黑体" w:cs="仿宋_GB2312"/>
          <w:b/>
          <w:bCs/>
          <w:sz w:val="32"/>
          <w:szCs w:val="32"/>
        </w:rPr>
      </w:pPr>
      <w:r>
        <w:rPr>
          <w:rFonts w:hint="eastAsia" w:ascii="黑体" w:hAnsi="黑体" w:eastAsia="黑体" w:cs="仿宋_GB2312"/>
          <w:b/>
          <w:bCs/>
          <w:sz w:val="32"/>
          <w:szCs w:val="32"/>
        </w:rPr>
        <w:t>一、部门概述</w:t>
      </w:r>
      <w:bookmarkEnd w:id="0"/>
    </w:p>
    <w:p>
      <w:pPr>
        <w:spacing w:after="0" w:line="540" w:lineRule="exact"/>
        <w:ind w:firstLine="643" w:firstLineChars="200"/>
        <w:outlineLvl w:val="1"/>
        <w:rPr>
          <w:rFonts w:ascii="楷体_GB2312" w:hAnsi="仿宋" w:eastAsia="楷体_GB2312" w:cs="仿宋_GB2312"/>
          <w:b/>
          <w:sz w:val="32"/>
          <w:szCs w:val="32"/>
        </w:rPr>
      </w:pPr>
      <w:bookmarkStart w:id="1" w:name="_Toc456965827"/>
      <w:r>
        <w:rPr>
          <w:rFonts w:hint="eastAsia" w:ascii="楷体_GB2312" w:hAnsi="仿宋" w:eastAsia="楷体_GB2312" w:cs="仿宋_GB2312"/>
          <w:b/>
          <w:sz w:val="32"/>
          <w:szCs w:val="32"/>
        </w:rPr>
        <w:t>（一）部门职能</w:t>
      </w:r>
      <w:bookmarkEnd w:id="1"/>
    </w:p>
    <w:p>
      <w:pPr>
        <w:spacing w:after="0" w:line="540" w:lineRule="exact"/>
        <w:ind w:firstLine="640"/>
        <w:rPr>
          <w:rFonts w:ascii="仿宋_GB2312" w:hAnsi="仿宋_GB2312" w:eastAsia="仿宋_GB2312" w:cs="仿宋_GB2312"/>
          <w:sz w:val="32"/>
          <w:szCs w:val="32"/>
        </w:rPr>
      </w:pPr>
      <w:bookmarkStart w:id="2" w:name="_Toc456965828"/>
      <w:r>
        <w:rPr>
          <w:rFonts w:hint="eastAsia" w:ascii="仿宋_GB2312" w:hAnsi="仿宋_GB2312" w:eastAsia="仿宋_GB2312" w:cs="仿宋_GB2312"/>
          <w:sz w:val="32"/>
          <w:szCs w:val="32"/>
        </w:rPr>
        <w:t>和平区市场监管局在履职过程中坚持和加强党对市场监督管理工作的集中统一领导。主要职责是：</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1、贯彻执行国家和市有关市场监督管理工作的法律、法规、规章和方针、政策，拟订市场监管工作发展规划、年度计划，并组织实施。</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2、负责市场主体的登记注册和监督管理工作。建立市场主体信息公示和共享机制。加强信用监管，推动市场主体信用体系建设。</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3、监督管理市场交易和网络商品交易行为。查处不正当竞争、商业贿赂等经济违法行为。依法打击传销、规范直销工作。</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4、负责质量管理工作。组织开展商品和相关服务领域消费维权工作。负责查处侵害消费者权益、制售假冒伪劣产品等违法行为。</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5、负责产品质量安全监督工作。查处产品、商品质量违法行为。负责工业产品生产许可管理并实施监督，做好缺陷和问题产品的召回。</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6、负责标准化管理工作。组织实施国家标准、行业标准和地方标准。推进企业采用国际标准和国外先进标准。组织协调和管理商品条码工作。</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7、负责计量监督管理工作。推行法定计量单位和国家计量制度。监督管理法定计量检定机构、社会公正计量机构、计量器具和商品量。组织计量仲裁检定、调解计量纠纷，查处计量违法行为。</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8、负责认证认可监督管理工作。负责检验、检测等机构的监督和违法违规行为的查处。</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9、负责特种设备的安全监察工作。督促特种设备使用单位落实安全节能责任制度，查处违法违规行为，参与对特种设备一般安全事故的调查工作。</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负责食品药品监督管理综合协调。查处食品、保健食品类违法违规行为。负责药品零售、医疗器械经营的许可、检查和处罚，以及化妆品经营和药品、医疗器械使用环节质量的检查和处罚。承担区食品安全委员会日常工作。</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11、负责市场安全应急体系建设。组织编制应急预案并开展应急培训和演练，协调本行政区域内职责范围内的安全事件应急处置和调查处理工作。</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12、负责食用农产品、粮食（含食用油）、食盐进入批发、零售市场或生产加工企业后的质量安全监督管理。</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13、负责知识产权保护工作。推动知识产权工作体系建设。组织知识产权的宣传教育和培训工作。负责区专利管理工作。</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14、负责检验检测体系、电子监管追溯体系和信息化建设。</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15、承担本系统安全生产监督管理职责，负责对有关安全生产工作实施专项监督管理。</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16、推动本系统招商引资工作。</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17、负责本系统人才队伍建设。</w:t>
      </w:r>
    </w:p>
    <w:p>
      <w:pPr>
        <w:spacing w:after="0" w:line="54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18、承办区委、区政府交办的其他事项。</w:t>
      </w:r>
    </w:p>
    <w:p>
      <w:pPr>
        <w:spacing w:after="0" w:line="540" w:lineRule="exact"/>
        <w:ind w:firstLine="643" w:firstLineChars="200"/>
        <w:outlineLvl w:val="1"/>
        <w:rPr>
          <w:rFonts w:ascii="楷体_GB2312" w:hAnsi="仿宋" w:eastAsia="楷体_GB2312" w:cs="仿宋_GB2312"/>
          <w:b/>
          <w:sz w:val="32"/>
          <w:szCs w:val="32"/>
        </w:rPr>
      </w:pPr>
      <w:r>
        <w:rPr>
          <w:rFonts w:hint="eastAsia" w:ascii="楷体_GB2312" w:hAnsi="仿宋" w:eastAsia="楷体_GB2312" w:cs="仿宋_GB2312"/>
          <w:b/>
          <w:sz w:val="32"/>
          <w:szCs w:val="32"/>
        </w:rPr>
        <w:t>（二）机构</w:t>
      </w:r>
      <w:bookmarkEnd w:id="2"/>
      <w:r>
        <w:rPr>
          <w:rFonts w:hint="eastAsia" w:ascii="楷体_GB2312" w:hAnsi="仿宋" w:eastAsia="楷体_GB2312" w:cs="仿宋_GB2312"/>
          <w:b/>
          <w:sz w:val="32"/>
          <w:szCs w:val="32"/>
        </w:rPr>
        <w:t>及人员情况</w:t>
      </w:r>
    </w:p>
    <w:p>
      <w:pPr>
        <w:spacing w:after="0" w:line="540" w:lineRule="exact"/>
        <w:ind w:firstLine="640"/>
        <w:rPr>
          <w:rFonts w:ascii="仿宋_GB2312" w:hAnsi="仿宋_GB2312" w:eastAsia="仿宋_GB2312" w:cs="仿宋_GB2312"/>
          <w:sz w:val="32"/>
          <w:szCs w:val="32"/>
        </w:rPr>
      </w:pPr>
      <w:bookmarkStart w:id="3" w:name="_Toc456965831"/>
      <w:r>
        <w:rPr>
          <w:rFonts w:hint="eastAsia" w:ascii="仿宋_GB2312" w:hAnsi="仿宋_GB2312" w:eastAsia="仿宋_GB2312" w:cs="仿宋_GB2312"/>
          <w:sz w:val="32"/>
          <w:szCs w:val="32"/>
        </w:rPr>
        <w:t>天津市和平区市场监督管理局下设二级单位两个，分别是天津市和平区市场监督管理局（本级）和天津市和平区计量检定所。</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天津市和平区市场监督管理局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内设22</w:t>
      </w:r>
      <w:bookmarkStart w:id="14" w:name="_GoBack"/>
      <w:bookmarkEnd w:id="14"/>
      <w:r>
        <w:rPr>
          <w:rFonts w:hint="eastAsia" w:ascii="仿宋_GB2312" w:hAnsi="仿宋_GB2312" w:eastAsia="仿宋_GB2312" w:cs="仿宋_GB2312"/>
          <w:sz w:val="32"/>
          <w:szCs w:val="32"/>
        </w:rPr>
        <w:t>个职能科室、8个派出机构和1个执法机构；截至2021年底，行政编制（含参公）在职人数267人，事业编在职人数20人。</w:t>
      </w:r>
    </w:p>
    <w:p>
      <w:pPr>
        <w:spacing w:after="0"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天津市和平区计量检定所下设所长室、检测室等，截至2021年底，事业编在职人数3人。</w:t>
      </w:r>
    </w:p>
    <w:p>
      <w:pPr>
        <w:spacing w:after="0" w:line="540" w:lineRule="exact"/>
        <w:ind w:firstLine="640"/>
        <w:rPr>
          <w:rFonts w:ascii="黑体" w:hAnsi="黑体" w:eastAsia="黑体"/>
          <w:sz w:val="32"/>
          <w:szCs w:val="32"/>
        </w:rPr>
      </w:pPr>
      <w:r>
        <w:rPr>
          <w:rFonts w:hint="eastAsia" w:ascii="黑体" w:hAnsi="黑体" w:eastAsia="黑体"/>
          <w:sz w:val="32"/>
          <w:szCs w:val="32"/>
        </w:rPr>
        <w:t>二、部门预算、预算执行及管理情况</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（一）</w:t>
      </w:r>
      <w:r>
        <w:rPr>
          <w:rFonts w:hint="eastAsia" w:ascii="楷体_GB2312" w:hAnsi="仿宋" w:eastAsia="楷体_GB2312" w:cs="仿宋_GB2312"/>
          <w:b/>
          <w:sz w:val="32"/>
          <w:szCs w:val="32"/>
        </w:rPr>
        <w:t>年度预决算情况</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2021年年初预算财政拨款7723.3万元，其中：基本支出7075.8万元，项目支出647.5万元。上年财政拨款结转结余20.9万元，其中：项目支出20.9万元；</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2021年决算财政拨款支出8681.3万元，其中基本支出7770.8万元，项目支出651.4万元。年末结转结余141.4元，其中基本支出125.9万元，项目支出15.5万元。</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（二）年度主要任务完成情况</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任务1：保障机关正常运行。年初预算金额8000万元，全年预算金额7970.8万元，执行数7970.8万元，执行率100%。每月按时发放工资，按时缴纳公积金社保按时缴纳，全年各月均保障人员经费及时足额发放到位。及时审核支付水电费、物业费、职工餐费、房租、维修费等保障机关正常运行所需各项费用。其中下半年由于财政拨款未能及时到位，部分未结费用留待下年度支付。</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任务2：保障食品、药品抽检及宣传等工作顺利开展。年初预算金额630万元，全年预算金额615.2万元，执行数615.2万元，执行率100%。顺利开展食品、药品抽检及宣传等工作，提升了监管水平和业务能力。</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任务3：保障知识产权专利、“双打”等业务工作顺利开展。年初预算金额100万元，全年预算金额95.3万元，执行数95.3万元，执行率100%。顺利开展知识产权专利、“双打”等业务工作，切实保障了我局知识产权、“双打”等各监管领域的监管水平。</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总计：年初预算金额7844.3万元，全年预算金额8681.3万元（含其他资金259.1万元），执行数8681.3万元，执行率100%。</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（三）部门财务管理情况</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1.部门制度建设情况</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我局现行制度为2020年7月印发的和平区市场监督管理局财务制度（暂行），其中包括预算管理、决算管理、银行账户管理暂行办法、差旅费管理暂行办法、外环出行费用管理暂行办法、接待费管理暂行办法、资金支出审批管理暂行办法等相关制度。</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2.部门资产管理情况</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货币资金由财务部门报请区财政局审批银行账户，统一管理，及时对账；固定资产由后勤服务科统一管理，并登记固定资产账，保证账实相符；定期同财务部门资产财务账核对，做到账账相符，有差异及时调整；认真核查各项往来款项，对于近期往来款项及时处理，对历史遗留长期挂账往来款重新梳理，反复推敲，力争尽早解决。</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3.部门日常管理情况</w:t>
      </w:r>
    </w:p>
    <w:p>
      <w:pPr>
        <w:spacing w:after="0" w:line="540" w:lineRule="exact"/>
        <w:ind w:firstLine="640"/>
        <w:rPr>
          <w:rFonts w:ascii="仿宋_GB2312" w:hAnsi="黑体" w:eastAsia="仿宋_GB2312" w:cs="Times New Roman"/>
          <w:b/>
          <w:sz w:val="32"/>
          <w:szCs w:val="32"/>
        </w:rPr>
      </w:pPr>
      <w:r>
        <w:rPr>
          <w:rFonts w:hint="eastAsia" w:ascii="仿宋_GB2312" w:hAnsi="仿宋" w:eastAsia="仿宋_GB2312"/>
          <w:sz w:val="32"/>
          <w:szCs w:val="32"/>
        </w:rPr>
        <w:t>本部门资金使用和财务管理严格按照我局相关财务管理制度执行，包括《天津市和平区市场监督管理局资金支出审批管理暂行办法》、《天津市和平区市场监督管理局部门预算管理暂行办法》等。各项经费支出实行年度预算控制，严格按照标准开支，按权限报批。</w:t>
      </w:r>
    </w:p>
    <w:bookmarkEnd w:id="3"/>
    <w:p>
      <w:pPr>
        <w:pStyle w:val="5"/>
        <w:spacing w:before="0" w:beforeAutospacing="0" w:after="0" w:afterAutospacing="0" w:line="540" w:lineRule="exact"/>
        <w:ind w:firstLine="643" w:firstLineChars="200"/>
        <w:jc w:val="both"/>
        <w:rPr>
          <w:rFonts w:ascii="黑体" w:hAnsi="黑体" w:eastAsia="黑体" w:cs="Times New Roman"/>
          <w:b/>
          <w:color w:val="auto"/>
          <w:kern w:val="2"/>
          <w:sz w:val="32"/>
          <w:szCs w:val="32"/>
        </w:rPr>
      </w:pPr>
      <w:bookmarkStart w:id="4" w:name="_Toc268005759"/>
      <w:bookmarkStart w:id="5" w:name="_Toc263686375"/>
      <w:bookmarkStart w:id="6" w:name="_Toc456965846"/>
      <w:r>
        <w:rPr>
          <w:rFonts w:hint="eastAsia" w:ascii="黑体" w:hAnsi="黑体" w:eastAsia="黑体" w:cs="Times New Roman"/>
          <w:b/>
          <w:color w:val="auto"/>
          <w:kern w:val="2"/>
          <w:sz w:val="32"/>
          <w:szCs w:val="32"/>
        </w:rPr>
        <w:t>三、</w:t>
      </w:r>
      <w:bookmarkEnd w:id="4"/>
      <w:r>
        <w:rPr>
          <w:rFonts w:hint="eastAsia" w:ascii="黑体" w:hAnsi="黑体" w:eastAsia="黑体" w:cs="Times New Roman"/>
          <w:b/>
          <w:color w:val="auto"/>
          <w:kern w:val="2"/>
          <w:sz w:val="32"/>
          <w:szCs w:val="32"/>
        </w:rPr>
        <w:t>整体支出绩效自评情况</w:t>
      </w:r>
    </w:p>
    <w:p>
      <w:pPr>
        <w:spacing w:after="0" w:line="540" w:lineRule="exact"/>
        <w:ind w:firstLine="643" w:firstLineChars="200"/>
        <w:outlineLvl w:val="1"/>
        <w:rPr>
          <w:rFonts w:ascii="楷体_GB2312" w:hAnsi="仿宋" w:eastAsia="楷体_GB2312" w:cs="仿宋_GB2312"/>
          <w:b/>
          <w:sz w:val="32"/>
          <w:szCs w:val="32"/>
        </w:rPr>
      </w:pPr>
      <w:bookmarkStart w:id="7" w:name="_Toc268005760"/>
      <w:r>
        <w:rPr>
          <w:rFonts w:hint="eastAsia" w:ascii="楷体_GB2312" w:hAnsi="仿宋" w:eastAsia="楷体_GB2312" w:cs="仿宋_GB2312"/>
          <w:b/>
          <w:sz w:val="32"/>
          <w:szCs w:val="32"/>
        </w:rPr>
        <w:t>（一）</w:t>
      </w:r>
      <w:bookmarkEnd w:id="7"/>
      <w:r>
        <w:rPr>
          <w:rFonts w:hint="eastAsia" w:ascii="楷体_GB2312" w:hAnsi="仿宋" w:eastAsia="楷体_GB2312" w:cs="仿宋_GB2312"/>
          <w:b/>
          <w:sz w:val="32"/>
          <w:szCs w:val="32"/>
        </w:rPr>
        <w:t>年度整体支出绩效目标完成情况自评</w:t>
      </w:r>
    </w:p>
    <w:p>
      <w:pPr>
        <w:spacing w:after="0" w:line="540" w:lineRule="exact"/>
        <w:ind w:firstLine="640" w:firstLineChars="200"/>
        <w:rPr>
          <w:rFonts w:ascii="仿宋_GB2312" w:hAnsi="仿宋" w:eastAsia="仿宋_GB2312"/>
          <w:sz w:val="32"/>
          <w:szCs w:val="32"/>
        </w:rPr>
      </w:pPr>
      <w:bookmarkStart w:id="8" w:name="_Toc268005761"/>
      <w:r>
        <w:rPr>
          <w:rFonts w:hint="eastAsia" w:ascii="仿宋_GB2312" w:hAnsi="仿宋" w:eastAsia="仿宋_GB2312"/>
          <w:sz w:val="32"/>
          <w:szCs w:val="32"/>
        </w:rPr>
        <w:t xml:space="preserve">年度整体支出绩效完成情况好。每月按时发放工资，公积金社保按时缴纳，基本保障机关正常运行。全部完成食品、药品、化妆品等安全监管和抽检任务；按时发放知识产权专利资金；疫情期间充分做好指挥部安排市场监管各项工作；作为成员单位积极参与推动全区创文创卫创城工作等等。 </w:t>
      </w:r>
    </w:p>
    <w:p>
      <w:pPr>
        <w:spacing w:after="0" w:line="540" w:lineRule="exact"/>
        <w:ind w:firstLine="643" w:firstLineChars="200"/>
        <w:outlineLvl w:val="1"/>
        <w:rPr>
          <w:rFonts w:ascii="楷体_GB2312" w:hAnsi="仿宋" w:eastAsia="楷体_GB2312" w:cs="仿宋_GB2312"/>
          <w:b/>
          <w:sz w:val="32"/>
          <w:szCs w:val="32"/>
        </w:rPr>
      </w:pPr>
      <w:r>
        <w:rPr>
          <w:rFonts w:hint="eastAsia" w:ascii="楷体_GB2312" w:hAnsi="仿宋" w:eastAsia="楷体_GB2312" w:cs="仿宋_GB2312"/>
          <w:b/>
          <w:sz w:val="32"/>
          <w:szCs w:val="32"/>
        </w:rPr>
        <w:t>（二）</w:t>
      </w:r>
      <w:bookmarkEnd w:id="8"/>
      <w:r>
        <w:rPr>
          <w:rFonts w:hint="eastAsia" w:ascii="楷体_GB2312" w:hAnsi="仿宋" w:eastAsia="楷体_GB2312" w:cs="仿宋_GB2312"/>
          <w:b/>
          <w:sz w:val="32"/>
          <w:szCs w:val="32"/>
        </w:rPr>
        <w:t>绩效目标完成情况</w:t>
      </w:r>
    </w:p>
    <w:p>
      <w:pPr>
        <w:spacing w:after="0"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目标1：</w:t>
      </w:r>
      <w:r>
        <w:rPr>
          <w:rFonts w:hint="eastAsia" w:ascii="仿宋_GB2312" w:hAnsi="仿宋" w:eastAsia="仿宋_GB2312"/>
          <w:sz w:val="32"/>
          <w:szCs w:val="32"/>
        </w:rPr>
        <w:t>及时支付人员、公用各项费用等，保障机关正常运行。</w:t>
      </w:r>
      <w:r>
        <w:rPr>
          <w:rFonts w:hint="eastAsia" w:ascii="仿宋_GB2312" w:hAnsi="仿宋_GB2312" w:eastAsia="仿宋_GB2312" w:cs="仿宋_GB2312"/>
          <w:sz w:val="32"/>
          <w:szCs w:val="32"/>
        </w:rPr>
        <w:t>实际完成情况良好，全年各月均保障人员经费、公用经费等及时支付。</w:t>
      </w:r>
    </w:p>
    <w:p>
      <w:pPr>
        <w:spacing w:after="0"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目标2：</w:t>
      </w:r>
      <w:r>
        <w:rPr>
          <w:rFonts w:hint="eastAsia" w:ascii="仿宋_GB2312" w:hAnsi="仿宋" w:eastAsia="仿宋_GB2312"/>
          <w:sz w:val="32"/>
          <w:szCs w:val="32"/>
        </w:rPr>
        <w:t>通过做好各项抽检及监管工作，提升食品、药品监管等业务水平。</w:t>
      </w:r>
      <w:r>
        <w:rPr>
          <w:rFonts w:hint="eastAsia" w:ascii="仿宋_GB2312" w:hAnsi="仿宋_GB2312" w:eastAsia="仿宋_GB2312" w:cs="仿宋_GB2312"/>
          <w:sz w:val="32"/>
          <w:szCs w:val="32"/>
        </w:rPr>
        <w:t>实际完成情况良好，及时审核票据并在财政拨款范围内按时支付了</w:t>
      </w:r>
      <w:r>
        <w:rPr>
          <w:rFonts w:hint="eastAsia" w:ascii="仿宋_GB2312" w:hAnsi="仿宋" w:eastAsia="仿宋_GB2312"/>
          <w:sz w:val="32"/>
          <w:szCs w:val="32"/>
        </w:rPr>
        <w:t>保障食品、药品抽检及宣传等工作顺利开展</w:t>
      </w:r>
      <w:r>
        <w:rPr>
          <w:rFonts w:hint="eastAsia" w:ascii="仿宋_GB2312" w:hAnsi="仿宋_GB2312" w:eastAsia="仿宋_GB2312" w:cs="仿宋_GB2312"/>
          <w:sz w:val="32"/>
          <w:szCs w:val="32"/>
        </w:rPr>
        <w:t>所需各项费用，切实提升了我局</w:t>
      </w:r>
      <w:r>
        <w:rPr>
          <w:rFonts w:hint="eastAsia" w:ascii="仿宋_GB2312" w:hAnsi="仿宋" w:eastAsia="仿宋_GB2312"/>
          <w:sz w:val="32"/>
          <w:szCs w:val="32"/>
        </w:rPr>
        <w:t>食品、药品监管</w:t>
      </w:r>
      <w:r>
        <w:rPr>
          <w:rFonts w:hint="eastAsia" w:ascii="仿宋_GB2312" w:hAnsi="仿宋_GB2312" w:eastAsia="仿宋_GB2312" w:cs="仿宋_GB2312"/>
          <w:sz w:val="32"/>
          <w:szCs w:val="32"/>
        </w:rPr>
        <w:t>等各项市场监管业务的能力水平。</w:t>
      </w:r>
    </w:p>
    <w:p>
      <w:pPr>
        <w:spacing w:after="0"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目标3：</w:t>
      </w:r>
      <w:r>
        <w:rPr>
          <w:rFonts w:hint="eastAsia" w:ascii="仿宋_GB2312" w:hAnsi="仿宋" w:eastAsia="仿宋_GB2312"/>
          <w:sz w:val="32"/>
          <w:szCs w:val="32"/>
        </w:rPr>
        <w:t>通过加大知识产权保护、打击假冒伪劣等工作，提升知识产权专利、“双打”等业务水平</w:t>
      </w:r>
      <w:r>
        <w:rPr>
          <w:rFonts w:hint="eastAsia" w:ascii="仿宋_GB2312" w:hAnsi="仿宋_GB2312" w:eastAsia="仿宋_GB2312" w:cs="仿宋_GB2312"/>
          <w:sz w:val="32"/>
          <w:szCs w:val="32"/>
        </w:rPr>
        <w:t>。实际完成情况良好，及时审核票据并在财政拨款范围内按时支付了保障各专项业务顺利开展所需各项费用，切实提升了我局知识产权、</w:t>
      </w:r>
      <w:r>
        <w:rPr>
          <w:rFonts w:hint="eastAsia" w:ascii="仿宋_GB2312" w:hAnsi="仿宋" w:eastAsia="仿宋_GB2312"/>
          <w:sz w:val="32"/>
          <w:szCs w:val="32"/>
        </w:rPr>
        <w:t>“双打”</w:t>
      </w:r>
      <w:r>
        <w:rPr>
          <w:rFonts w:hint="eastAsia" w:ascii="仿宋_GB2312" w:hAnsi="仿宋_GB2312" w:eastAsia="仿宋_GB2312" w:cs="仿宋_GB2312"/>
          <w:sz w:val="32"/>
          <w:szCs w:val="32"/>
        </w:rPr>
        <w:t>等各项市场监管业务的能力水平。</w:t>
      </w:r>
    </w:p>
    <w:p>
      <w:pPr>
        <w:spacing w:after="0" w:line="540" w:lineRule="exact"/>
        <w:ind w:firstLine="640"/>
        <w:rPr>
          <w:rFonts w:ascii="仿宋" w:hAnsi="仿宋" w:eastAsia="仿宋"/>
          <w:sz w:val="32"/>
          <w:szCs w:val="32"/>
        </w:rPr>
      </w:pPr>
      <w:r>
        <w:rPr>
          <w:rFonts w:hint="eastAsia" w:ascii="楷体" w:hAnsi="楷体" w:eastAsia="楷体"/>
          <w:b/>
          <w:sz w:val="32"/>
          <w:szCs w:val="32"/>
        </w:rPr>
        <w:t>（三）自评得分</w:t>
      </w:r>
      <w:bookmarkEnd w:id="5"/>
      <w:bookmarkEnd w:id="6"/>
    </w:p>
    <w:p>
      <w:pPr>
        <w:widowControl/>
        <w:spacing w:after="0" w:line="540" w:lineRule="exact"/>
        <w:jc w:val="center"/>
        <w:rPr>
          <w:rFonts w:ascii="楷体" w:hAnsi="楷体" w:eastAsia="楷体"/>
          <w:sz w:val="28"/>
          <w:szCs w:val="28"/>
        </w:rPr>
      </w:pPr>
      <w:r>
        <w:rPr>
          <w:rFonts w:hint="eastAsia" w:ascii="楷体" w:hAnsi="楷体" w:eastAsia="楷体"/>
          <w:sz w:val="28"/>
          <w:szCs w:val="28"/>
        </w:rPr>
        <w:t>表1：部门整体支出绩效评分表</w:t>
      </w:r>
    </w:p>
    <w:tbl>
      <w:tblPr>
        <w:tblStyle w:val="6"/>
        <w:tblW w:w="8439" w:type="dxa"/>
        <w:tblInd w:w="97" w:type="dxa"/>
        <w:tblLayout w:type="autofit"/>
        <w:tblCellMar>
          <w:top w:w="0" w:type="dxa"/>
          <w:left w:w="108" w:type="dxa"/>
          <w:bottom w:w="0" w:type="dxa"/>
          <w:right w:w="108" w:type="dxa"/>
        </w:tblCellMar>
      </w:tblPr>
      <w:tblGrid>
        <w:gridCol w:w="862"/>
        <w:gridCol w:w="2122"/>
        <w:gridCol w:w="2556"/>
        <w:gridCol w:w="850"/>
        <w:gridCol w:w="1307"/>
        <w:gridCol w:w="742"/>
      </w:tblGrid>
      <w:tr>
        <w:tblPrEx>
          <w:tblCellMar>
            <w:top w:w="0" w:type="dxa"/>
            <w:left w:w="108" w:type="dxa"/>
            <w:bottom w:w="0" w:type="dxa"/>
            <w:right w:w="108" w:type="dxa"/>
          </w:tblCellMar>
        </w:tblPrEx>
        <w:trPr>
          <w:trHeight w:val="582" w:hRule="atLeast"/>
        </w:trPr>
        <w:tc>
          <w:tcPr>
            <w:tcW w:w="639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评价指标</w:t>
            </w:r>
          </w:p>
        </w:tc>
        <w:tc>
          <w:tcPr>
            <w:tcW w:w="1307" w:type="dxa"/>
            <w:vMerge w:val="restart"/>
            <w:tcBorders>
              <w:top w:val="single" w:color="auto" w:sz="4" w:space="0"/>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指标值</w:t>
            </w:r>
          </w:p>
        </w:tc>
        <w:tc>
          <w:tcPr>
            <w:tcW w:w="742" w:type="dxa"/>
            <w:vMerge w:val="restart"/>
            <w:tcBorders>
              <w:top w:val="single" w:color="auto" w:sz="4" w:space="0"/>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自评得分</w:t>
            </w:r>
          </w:p>
        </w:tc>
      </w:tr>
      <w:tr>
        <w:tblPrEx>
          <w:tblCellMar>
            <w:top w:w="0" w:type="dxa"/>
            <w:left w:w="108" w:type="dxa"/>
            <w:bottom w:w="0" w:type="dxa"/>
            <w:right w:w="108" w:type="dxa"/>
          </w:tblCellMar>
        </w:tblPrEx>
        <w:trPr>
          <w:trHeight w:val="695"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一级指标</w:t>
            </w:r>
          </w:p>
        </w:tc>
        <w:tc>
          <w:tcPr>
            <w:tcW w:w="2122" w:type="dxa"/>
            <w:tcBorders>
              <w:top w:val="single" w:color="auto" w:sz="4" w:space="0"/>
              <w:left w:val="nil"/>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二级指标</w:t>
            </w:r>
          </w:p>
        </w:tc>
        <w:tc>
          <w:tcPr>
            <w:tcW w:w="340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三级指标</w:t>
            </w:r>
          </w:p>
        </w:tc>
        <w:tc>
          <w:tcPr>
            <w:tcW w:w="1307" w:type="dxa"/>
            <w:vMerge w:val="continue"/>
            <w:tcBorders>
              <w:left w:val="single" w:color="auto" w:sz="4" w:space="0"/>
              <w:right w:val="single" w:color="auto" w:sz="4" w:space="0"/>
            </w:tcBorders>
            <w:vAlign w:val="center"/>
          </w:tcPr>
          <w:p>
            <w:pPr>
              <w:widowControl/>
              <w:spacing w:after="0" w:line="540" w:lineRule="exact"/>
              <w:jc w:val="center"/>
              <w:rPr>
                <w:rFonts w:ascii="宋体" w:hAnsi="宋体" w:cs="宋体"/>
                <w:kern w:val="0"/>
                <w:sz w:val="24"/>
              </w:rPr>
            </w:pPr>
          </w:p>
        </w:tc>
        <w:tc>
          <w:tcPr>
            <w:tcW w:w="74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r>
      <w:tr>
        <w:tblPrEx>
          <w:tblCellMar>
            <w:top w:w="0" w:type="dxa"/>
            <w:left w:w="108" w:type="dxa"/>
            <w:bottom w:w="0" w:type="dxa"/>
            <w:right w:w="108" w:type="dxa"/>
          </w:tblCellMar>
        </w:tblPrEx>
        <w:trPr>
          <w:trHeight w:val="575"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名称</w:t>
            </w:r>
          </w:p>
        </w:tc>
        <w:tc>
          <w:tcPr>
            <w:tcW w:w="2122" w:type="dxa"/>
            <w:tcBorders>
              <w:top w:val="nil"/>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名称</w:t>
            </w:r>
          </w:p>
        </w:tc>
        <w:tc>
          <w:tcPr>
            <w:tcW w:w="2556" w:type="dxa"/>
            <w:tcBorders>
              <w:top w:val="nil"/>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名称</w:t>
            </w:r>
          </w:p>
        </w:tc>
        <w:tc>
          <w:tcPr>
            <w:tcW w:w="850" w:type="dxa"/>
            <w:tcBorders>
              <w:top w:val="nil"/>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分值</w:t>
            </w:r>
          </w:p>
        </w:tc>
        <w:tc>
          <w:tcPr>
            <w:tcW w:w="1307" w:type="dxa"/>
            <w:vMerge w:val="continue"/>
            <w:tcBorders>
              <w:left w:val="single" w:color="auto" w:sz="4" w:space="0"/>
              <w:bottom w:val="nil"/>
              <w:right w:val="single" w:color="auto" w:sz="4" w:space="0"/>
            </w:tcBorders>
            <w:vAlign w:val="center"/>
          </w:tcPr>
          <w:p>
            <w:pPr>
              <w:widowControl/>
              <w:spacing w:after="0" w:line="540" w:lineRule="exact"/>
              <w:jc w:val="center"/>
              <w:rPr>
                <w:rFonts w:ascii="宋体" w:hAnsi="宋体" w:cs="宋体"/>
                <w:kern w:val="0"/>
                <w:sz w:val="24"/>
              </w:rPr>
            </w:pPr>
          </w:p>
        </w:tc>
        <w:tc>
          <w:tcPr>
            <w:tcW w:w="742" w:type="dxa"/>
            <w:vMerge w:val="continue"/>
            <w:tcBorders>
              <w:left w:val="single" w:color="auto" w:sz="4" w:space="0"/>
              <w:bottom w:val="nil"/>
              <w:right w:val="single" w:color="000000" w:sz="4" w:space="0"/>
            </w:tcBorders>
            <w:vAlign w:val="center"/>
          </w:tcPr>
          <w:p>
            <w:pPr>
              <w:widowControl/>
              <w:spacing w:after="0" w:line="540" w:lineRule="exact"/>
              <w:jc w:val="center"/>
              <w:rPr>
                <w:rFonts w:ascii="宋体" w:hAnsi="宋体" w:cs="宋体"/>
                <w:kern w:val="0"/>
                <w:sz w:val="24"/>
              </w:rPr>
            </w:pPr>
          </w:p>
        </w:tc>
      </w:tr>
      <w:tr>
        <w:tblPrEx>
          <w:tblCellMar>
            <w:top w:w="0" w:type="dxa"/>
            <w:left w:w="108" w:type="dxa"/>
            <w:bottom w:w="0" w:type="dxa"/>
            <w:right w:w="108" w:type="dxa"/>
          </w:tblCellMar>
        </w:tblPrEx>
        <w:trPr>
          <w:trHeight w:val="560" w:hRule="atLeast"/>
        </w:trPr>
        <w:tc>
          <w:tcPr>
            <w:tcW w:w="862"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投入（15分）</w:t>
            </w:r>
          </w:p>
        </w:tc>
        <w:tc>
          <w:tcPr>
            <w:tcW w:w="212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目标设定（5分）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绩效目标合理性</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合理</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554"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绩效指标明确性</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2</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比较明确</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1.5</w:t>
            </w:r>
          </w:p>
        </w:tc>
      </w:tr>
      <w:tr>
        <w:tblPrEx>
          <w:tblCellMar>
            <w:top w:w="0" w:type="dxa"/>
            <w:left w:w="108" w:type="dxa"/>
            <w:bottom w:w="0" w:type="dxa"/>
            <w:right w:w="108" w:type="dxa"/>
          </w:tblCellMar>
        </w:tblPrEx>
        <w:trPr>
          <w:trHeight w:val="550"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restart"/>
            <w:tcBorders>
              <w:top w:val="single" w:color="auto" w:sz="4" w:space="0"/>
              <w:left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预算配置（10分）</w:t>
            </w: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在职人员控制率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85.93%</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50" w:hRule="atLeast"/>
        </w:trPr>
        <w:tc>
          <w:tcPr>
            <w:tcW w:w="862" w:type="dxa"/>
            <w:vMerge w:val="continue"/>
            <w:tcBorders>
              <w:left w:val="single" w:color="auto" w:sz="4" w:space="0"/>
              <w:bottom w:val="single" w:color="000000" w:sz="4" w:space="0"/>
              <w:right w:val="single" w:color="000000" w:sz="4" w:space="0"/>
            </w:tcBorders>
            <w:vAlign w:val="center"/>
          </w:tcPr>
          <w:p>
            <w:pPr>
              <w:spacing w:line="540" w:lineRule="exact"/>
              <w:jc w:val="center"/>
              <w:rPr>
                <w:rFonts w:ascii="宋体" w:hAnsi="宋体" w:cs="宋体"/>
                <w:sz w:val="22"/>
                <w:szCs w:val="22"/>
              </w:rPr>
            </w:pPr>
          </w:p>
        </w:tc>
        <w:tc>
          <w:tcPr>
            <w:tcW w:w="2122" w:type="dxa"/>
            <w:vMerge w:val="continue"/>
            <w:tcBorders>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“三公经费”变动率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-30%</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56" w:hRule="atLeast"/>
        </w:trPr>
        <w:tc>
          <w:tcPr>
            <w:tcW w:w="86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过程（45分）</w:t>
            </w:r>
          </w:p>
        </w:tc>
        <w:tc>
          <w:tcPr>
            <w:tcW w:w="212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预算执行（16分）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预算执行率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100%</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r>
      <w:tr>
        <w:tblPrEx>
          <w:tblCellMar>
            <w:top w:w="0" w:type="dxa"/>
            <w:left w:w="108" w:type="dxa"/>
            <w:bottom w:w="0" w:type="dxa"/>
            <w:right w:w="108" w:type="dxa"/>
          </w:tblCellMar>
        </w:tblPrEx>
        <w:trPr>
          <w:trHeight w:val="565"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结转结余率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1.4%</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70"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结转结余变动率</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307"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-16.9%</w:t>
            </w:r>
          </w:p>
        </w:tc>
        <w:tc>
          <w:tcPr>
            <w:tcW w:w="742"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54"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预算管理（18分）</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资金管理制度健全性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健全</w:t>
            </w:r>
          </w:p>
        </w:tc>
        <w:tc>
          <w:tcPr>
            <w:tcW w:w="742"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48"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资金使用合规性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合规</w:t>
            </w:r>
          </w:p>
        </w:tc>
        <w:tc>
          <w:tcPr>
            <w:tcW w:w="742"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70"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预决算信息公开性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Cs w:val="21"/>
              </w:rPr>
              <w:t>按要求公开</w:t>
            </w:r>
          </w:p>
        </w:tc>
        <w:tc>
          <w:tcPr>
            <w:tcW w:w="742"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r>
      <w:tr>
        <w:tblPrEx>
          <w:tblCellMar>
            <w:top w:w="0" w:type="dxa"/>
            <w:left w:w="108" w:type="dxa"/>
            <w:bottom w:w="0" w:type="dxa"/>
            <w:right w:w="108" w:type="dxa"/>
          </w:tblCellMar>
        </w:tblPrEx>
        <w:trPr>
          <w:trHeight w:val="564"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基础信息完善性</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307"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完善</w:t>
            </w:r>
          </w:p>
        </w:tc>
        <w:tc>
          <w:tcPr>
            <w:tcW w:w="742"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66"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资产管理（11分）</w:t>
            </w: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资产管理完整性</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比较完整</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46"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固定资产利用率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96.1%</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696"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办公设备购置标准    合规率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100%</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420" w:hRule="atLeast"/>
        </w:trPr>
        <w:tc>
          <w:tcPr>
            <w:tcW w:w="862"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产出（20分）</w:t>
            </w:r>
          </w:p>
        </w:tc>
        <w:tc>
          <w:tcPr>
            <w:tcW w:w="2122"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责任履行（20分）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年度任务完成率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100%</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r>
      <w:tr>
        <w:tblPrEx>
          <w:tblCellMar>
            <w:top w:w="0" w:type="dxa"/>
            <w:left w:w="108" w:type="dxa"/>
            <w:bottom w:w="0" w:type="dxa"/>
            <w:right w:w="108" w:type="dxa"/>
          </w:tblCellMar>
        </w:tblPrEx>
        <w:trPr>
          <w:trHeight w:val="561"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年度绩效目标完成率</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c>
          <w:tcPr>
            <w:tcW w:w="1307"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100%</w:t>
            </w:r>
          </w:p>
        </w:tc>
        <w:tc>
          <w:tcPr>
            <w:tcW w:w="742"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r>
      <w:tr>
        <w:tblPrEx>
          <w:tblCellMar>
            <w:top w:w="0" w:type="dxa"/>
            <w:left w:w="108" w:type="dxa"/>
            <w:bottom w:w="0" w:type="dxa"/>
            <w:right w:w="108" w:type="dxa"/>
          </w:tblCellMar>
        </w:tblPrEx>
        <w:trPr>
          <w:trHeight w:val="608"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是否开展项目绩效自评</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2</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是</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2</w:t>
            </w:r>
          </w:p>
        </w:tc>
      </w:tr>
      <w:tr>
        <w:tblPrEx>
          <w:tblCellMar>
            <w:top w:w="0" w:type="dxa"/>
            <w:left w:w="108" w:type="dxa"/>
            <w:bottom w:w="0" w:type="dxa"/>
            <w:right w:w="108" w:type="dxa"/>
          </w:tblCellMar>
        </w:tblPrEx>
        <w:trPr>
          <w:trHeight w:val="1069"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效果（10分）</w:t>
            </w:r>
          </w:p>
        </w:tc>
        <w:tc>
          <w:tcPr>
            <w:tcW w:w="2122" w:type="dxa"/>
            <w:tcBorders>
              <w:top w:val="single" w:color="auto" w:sz="4" w:space="0"/>
              <w:left w:val="nil"/>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履职效益（10分）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部门整体效益</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w:t>
            </w:r>
          </w:p>
        </w:tc>
        <w:tc>
          <w:tcPr>
            <w:tcW w:w="1307"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社会效益指标、经济效益指标</w:t>
            </w:r>
          </w:p>
        </w:tc>
        <w:tc>
          <w:tcPr>
            <w:tcW w:w="742"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9.8</w:t>
            </w:r>
          </w:p>
        </w:tc>
      </w:tr>
      <w:tr>
        <w:tblPrEx>
          <w:tblCellMar>
            <w:top w:w="0" w:type="dxa"/>
            <w:left w:w="108" w:type="dxa"/>
            <w:bottom w:w="0" w:type="dxa"/>
            <w:right w:w="108" w:type="dxa"/>
          </w:tblCellMar>
        </w:tblPrEx>
        <w:trPr>
          <w:trHeight w:val="1188"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满意度（10分）</w:t>
            </w:r>
          </w:p>
        </w:tc>
        <w:tc>
          <w:tcPr>
            <w:tcW w:w="2122" w:type="dxa"/>
            <w:tcBorders>
              <w:top w:val="single" w:color="auto" w:sz="4" w:space="0"/>
              <w:left w:val="nil"/>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社会公众或服务对象满意度（10分）</w:t>
            </w:r>
          </w:p>
        </w:tc>
        <w:tc>
          <w:tcPr>
            <w:tcW w:w="2556" w:type="dxa"/>
            <w:tcBorders>
              <w:top w:val="single" w:color="auto" w:sz="4" w:space="0"/>
              <w:left w:val="nil"/>
              <w:bottom w:val="single" w:color="auto" w:sz="4" w:space="0"/>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社会公众或服务对象  满意度</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w:t>
            </w:r>
          </w:p>
        </w:tc>
        <w:tc>
          <w:tcPr>
            <w:tcW w:w="1307"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90％以上</w:t>
            </w:r>
          </w:p>
        </w:tc>
        <w:tc>
          <w:tcPr>
            <w:tcW w:w="742"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w:t>
            </w:r>
          </w:p>
        </w:tc>
      </w:tr>
      <w:tr>
        <w:tblPrEx>
          <w:tblCellMar>
            <w:top w:w="0" w:type="dxa"/>
            <w:left w:w="108" w:type="dxa"/>
            <w:bottom w:w="0" w:type="dxa"/>
            <w:right w:w="108" w:type="dxa"/>
          </w:tblCellMar>
        </w:tblPrEx>
        <w:trPr>
          <w:trHeight w:val="690" w:hRule="atLeast"/>
        </w:trPr>
        <w:tc>
          <w:tcPr>
            <w:tcW w:w="769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绩效自评综合得分</w:t>
            </w:r>
          </w:p>
        </w:tc>
        <w:tc>
          <w:tcPr>
            <w:tcW w:w="742"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99.3</w:t>
            </w:r>
          </w:p>
        </w:tc>
      </w:tr>
      <w:tr>
        <w:tblPrEx>
          <w:tblCellMar>
            <w:top w:w="0" w:type="dxa"/>
            <w:left w:w="108" w:type="dxa"/>
            <w:bottom w:w="0" w:type="dxa"/>
            <w:right w:w="108" w:type="dxa"/>
          </w:tblCellMar>
        </w:tblPrEx>
        <w:trPr>
          <w:trHeight w:val="700" w:hRule="atLeast"/>
        </w:trPr>
        <w:tc>
          <w:tcPr>
            <w:tcW w:w="769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自评等次</w:t>
            </w:r>
          </w:p>
        </w:tc>
        <w:tc>
          <w:tcPr>
            <w:tcW w:w="742"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优</w:t>
            </w:r>
          </w:p>
        </w:tc>
      </w:tr>
    </w:tbl>
    <w:p>
      <w:pPr>
        <w:spacing w:after="0" w:line="540" w:lineRule="exact"/>
        <w:ind w:firstLine="640"/>
        <w:rPr>
          <w:rFonts w:ascii="黑体" w:hAnsi="黑体" w:eastAsia="黑体" w:cs="Times New Roman"/>
          <w:b/>
          <w:sz w:val="32"/>
          <w:szCs w:val="32"/>
        </w:rPr>
      </w:pPr>
      <w:bookmarkStart w:id="9" w:name="_Toc171764863"/>
      <w:bookmarkStart w:id="10" w:name="_Toc263686390"/>
      <w:bookmarkStart w:id="11" w:name="_Toc268005765"/>
      <w:bookmarkStart w:id="12" w:name="_Toc171772698"/>
      <w:bookmarkStart w:id="13" w:name="_Toc171765188"/>
      <w:r>
        <w:rPr>
          <w:rFonts w:hint="eastAsia" w:ascii="黑体" w:hAnsi="黑体" w:eastAsia="黑体" w:cs="Times New Roman"/>
          <w:b/>
          <w:sz w:val="32"/>
          <w:szCs w:val="32"/>
        </w:rPr>
        <w:t>四、存在问题和改进措施</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（一）存在问题</w:t>
      </w:r>
    </w:p>
    <w:p>
      <w:pPr>
        <w:spacing w:after="0" w:line="540" w:lineRule="exact"/>
        <w:ind w:firstLine="640"/>
        <w:rPr>
          <w:rFonts w:ascii="楷体_GB2312" w:hAnsi="仿宋" w:eastAsia="楷体_GB2312"/>
          <w:b/>
          <w:sz w:val="32"/>
          <w:szCs w:val="32"/>
        </w:rPr>
      </w:pPr>
      <w:r>
        <w:rPr>
          <w:rFonts w:hint="eastAsia" w:ascii="仿宋_GB2312" w:hAnsi="仿宋_GB2312" w:eastAsia="仿宋_GB2312" w:cs="仿宋_GB2312"/>
          <w:sz w:val="32"/>
          <w:szCs w:val="32"/>
        </w:rPr>
        <w:t>存在因财政拨款不足导致部分公用及项目经费保障不足问题。</w:t>
      </w:r>
    </w:p>
    <w:p>
      <w:pPr>
        <w:numPr>
          <w:ilvl w:val="0"/>
          <w:numId w:val="1"/>
        </w:num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改进措施</w:t>
      </w:r>
    </w:p>
    <w:p>
      <w:pPr>
        <w:spacing w:after="0"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1.增加干部绩效管理培训次数，建立绩效管理长效机制，以提高部门整体对绩效管理的规范性和业务水平。</w:t>
      </w:r>
    </w:p>
    <w:p>
      <w:pPr>
        <w:spacing w:after="0"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2.在绩效工作前期、中期、事后自评阶段多请示财政业务科室，获得专业指导，有利于规范绩效管理水平。</w:t>
      </w:r>
    </w:p>
    <w:p>
      <w:pPr>
        <w:spacing w:after="0" w:line="540" w:lineRule="exact"/>
        <w:ind w:firstLine="640" w:firstLineChars="200"/>
        <w:rPr>
          <w:rFonts w:ascii="楷体_GB2312" w:hAnsi="仿宋" w:eastAsia="楷体_GB2312"/>
          <w:b/>
          <w:sz w:val="32"/>
          <w:szCs w:val="32"/>
        </w:rPr>
      </w:pPr>
      <w:r>
        <w:rPr>
          <w:rFonts w:hint="eastAsia" w:ascii="仿宋_GB2312" w:hAnsi="仿宋_GB2312" w:eastAsia="仿宋_GB2312" w:cs="仿宋_GB2312"/>
          <w:sz w:val="32"/>
          <w:szCs w:val="32"/>
        </w:rPr>
        <w:t>3.希望财政部门根据本部门实际工作情况，在公用及项目经费保障方面给予更大支持。</w:t>
      </w:r>
    </w:p>
    <w:bookmarkEnd w:id="9"/>
    <w:bookmarkEnd w:id="10"/>
    <w:bookmarkEnd w:id="11"/>
    <w:bookmarkEnd w:id="12"/>
    <w:bookmarkEnd w:id="13"/>
    <w:p>
      <w:pPr>
        <w:pStyle w:val="5"/>
        <w:spacing w:before="0" w:beforeAutospacing="0" w:after="0" w:afterAutospacing="0" w:line="540" w:lineRule="exact"/>
        <w:ind w:firstLine="643" w:firstLineChars="200"/>
        <w:jc w:val="both"/>
        <w:rPr>
          <w:rFonts w:ascii="仿宋" w:hAnsi="仿宋" w:eastAsia="黑体"/>
          <w:sz w:val="32"/>
          <w:szCs w:val="32"/>
        </w:rPr>
      </w:pPr>
      <w:r>
        <w:rPr>
          <w:rFonts w:hint="eastAsia" w:ascii="黑体" w:hAnsi="黑体" w:eastAsia="黑体" w:cs="Times New Roman"/>
          <w:b/>
          <w:color w:val="auto"/>
          <w:kern w:val="2"/>
          <w:sz w:val="32"/>
          <w:szCs w:val="32"/>
        </w:rPr>
        <w:t>五、其他需要说明的情况</w:t>
      </w:r>
    </w:p>
    <w:p>
      <w:pPr>
        <w:spacing w:after="0" w:line="540" w:lineRule="exact"/>
        <w:ind w:firstLine="640" w:firstLineChars="200"/>
        <w:rPr>
          <w:rFonts w:ascii="仿宋_GB2312" w:hAnsi="仿宋" w:eastAsia="仿宋_GB2312"/>
          <w:sz w:val="32"/>
          <w:szCs w:val="32"/>
        </w:rPr>
      </w:pPr>
      <w:r>
        <w:rPr>
          <w:rFonts w:hint="eastAsia" w:ascii="仿宋_GB2312" w:hAnsi="仿宋" w:eastAsia="仿宋_GB2312"/>
          <w:sz w:val="32"/>
          <w:szCs w:val="32"/>
        </w:rPr>
        <w:t>无。</w:t>
      </w:r>
    </w:p>
    <w:p>
      <w:pPr>
        <w:spacing w:after="0" w:line="540" w:lineRule="exact"/>
        <w:ind w:firstLine="640" w:firstLineChars="200"/>
        <w:rPr>
          <w:rFonts w:ascii="仿宋" w:hAnsi="仿宋" w:eastAsia="仿宋"/>
          <w:sz w:val="32"/>
          <w:szCs w:val="32"/>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joinstyle="miter"/>
          <v:imagedata o:title=""/>
          <o:lock v:ext="edit"/>
          <v:textbox inset="0mm,0mm,0mm,0mm" style="mso-fit-shape-to-text:t;">
            <w:txbxContent>
              <w:p>
                <w:pPr>
                  <w:pStyle w:val="3"/>
                  <w:rPr>
                    <w:rStyle w:val="8"/>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96CF3D"/>
    <w:multiLevelType w:val="singleLevel"/>
    <w:tmpl w:val="4F96CF3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1MGY5YzQ0OWFjZDNjNzUyZWNhMzY0ZTMxOWY2MTEifQ=="/>
  </w:docVars>
  <w:rsids>
    <w:rsidRoot w:val="000B725D"/>
    <w:rsid w:val="000366C0"/>
    <w:rsid w:val="00096ED1"/>
    <w:rsid w:val="000B725D"/>
    <w:rsid w:val="000C0446"/>
    <w:rsid w:val="000D28FF"/>
    <w:rsid w:val="000F506F"/>
    <w:rsid w:val="0012248D"/>
    <w:rsid w:val="001E0BA7"/>
    <w:rsid w:val="001E31FE"/>
    <w:rsid w:val="002219E7"/>
    <w:rsid w:val="00246E9E"/>
    <w:rsid w:val="00277B60"/>
    <w:rsid w:val="002825AA"/>
    <w:rsid w:val="002B256A"/>
    <w:rsid w:val="002D6645"/>
    <w:rsid w:val="00325CDC"/>
    <w:rsid w:val="0047727D"/>
    <w:rsid w:val="00492B98"/>
    <w:rsid w:val="004B3AEF"/>
    <w:rsid w:val="004E750E"/>
    <w:rsid w:val="00532CEC"/>
    <w:rsid w:val="005529C7"/>
    <w:rsid w:val="00576418"/>
    <w:rsid w:val="005877E2"/>
    <w:rsid w:val="005A75D7"/>
    <w:rsid w:val="005B3D5A"/>
    <w:rsid w:val="005B5DAF"/>
    <w:rsid w:val="005D1600"/>
    <w:rsid w:val="00715F70"/>
    <w:rsid w:val="00726F06"/>
    <w:rsid w:val="007D0D57"/>
    <w:rsid w:val="0080545B"/>
    <w:rsid w:val="00865A10"/>
    <w:rsid w:val="00890613"/>
    <w:rsid w:val="008D26AB"/>
    <w:rsid w:val="00932C43"/>
    <w:rsid w:val="009612DE"/>
    <w:rsid w:val="009B4E28"/>
    <w:rsid w:val="009C2346"/>
    <w:rsid w:val="00A63451"/>
    <w:rsid w:val="00A8690F"/>
    <w:rsid w:val="00AD0A06"/>
    <w:rsid w:val="00AE3BB3"/>
    <w:rsid w:val="00B72591"/>
    <w:rsid w:val="00BA19A1"/>
    <w:rsid w:val="00BC38D4"/>
    <w:rsid w:val="00BF6A82"/>
    <w:rsid w:val="00C0089D"/>
    <w:rsid w:val="00C115AA"/>
    <w:rsid w:val="00C55079"/>
    <w:rsid w:val="00C747B2"/>
    <w:rsid w:val="00C96B6A"/>
    <w:rsid w:val="00CD5E41"/>
    <w:rsid w:val="00D04AD3"/>
    <w:rsid w:val="00D06262"/>
    <w:rsid w:val="00D32EED"/>
    <w:rsid w:val="00D519C5"/>
    <w:rsid w:val="00D616BA"/>
    <w:rsid w:val="00DA0267"/>
    <w:rsid w:val="00DC6D16"/>
    <w:rsid w:val="00DD57DA"/>
    <w:rsid w:val="00E027E0"/>
    <w:rsid w:val="00E26FF1"/>
    <w:rsid w:val="00E27E43"/>
    <w:rsid w:val="00E57148"/>
    <w:rsid w:val="00ED7332"/>
    <w:rsid w:val="00EF4F53"/>
    <w:rsid w:val="00F11CD0"/>
    <w:rsid w:val="00F30190"/>
    <w:rsid w:val="00F324E1"/>
    <w:rsid w:val="00F77D55"/>
    <w:rsid w:val="00FB216A"/>
    <w:rsid w:val="01341276"/>
    <w:rsid w:val="02F74F86"/>
    <w:rsid w:val="036A2B46"/>
    <w:rsid w:val="03AC468C"/>
    <w:rsid w:val="043E06DE"/>
    <w:rsid w:val="04F2770F"/>
    <w:rsid w:val="090507D3"/>
    <w:rsid w:val="0A8E7BE6"/>
    <w:rsid w:val="0B1E3585"/>
    <w:rsid w:val="0D2131AD"/>
    <w:rsid w:val="0DA651AB"/>
    <w:rsid w:val="0ECB61A8"/>
    <w:rsid w:val="11916C6D"/>
    <w:rsid w:val="179C5900"/>
    <w:rsid w:val="18F3257B"/>
    <w:rsid w:val="1B471AE5"/>
    <w:rsid w:val="1B5D75E4"/>
    <w:rsid w:val="21B631A5"/>
    <w:rsid w:val="21C06A17"/>
    <w:rsid w:val="23AA66A7"/>
    <w:rsid w:val="23F8426F"/>
    <w:rsid w:val="24D27B28"/>
    <w:rsid w:val="268B30A3"/>
    <w:rsid w:val="2EF91626"/>
    <w:rsid w:val="30375BD2"/>
    <w:rsid w:val="30A92E3B"/>
    <w:rsid w:val="3134745B"/>
    <w:rsid w:val="356F523C"/>
    <w:rsid w:val="359B244B"/>
    <w:rsid w:val="35C00B7E"/>
    <w:rsid w:val="35C070A7"/>
    <w:rsid w:val="3876316A"/>
    <w:rsid w:val="39504729"/>
    <w:rsid w:val="39941E74"/>
    <w:rsid w:val="3A054AC9"/>
    <w:rsid w:val="3A5B2759"/>
    <w:rsid w:val="3ACA0E09"/>
    <w:rsid w:val="3B302EEF"/>
    <w:rsid w:val="3E0D45AD"/>
    <w:rsid w:val="3F936BB3"/>
    <w:rsid w:val="41C50368"/>
    <w:rsid w:val="431A4DD3"/>
    <w:rsid w:val="45EE109C"/>
    <w:rsid w:val="4719327C"/>
    <w:rsid w:val="498A1F75"/>
    <w:rsid w:val="49AB449D"/>
    <w:rsid w:val="4A2D0673"/>
    <w:rsid w:val="4A783AB7"/>
    <w:rsid w:val="4DCF2866"/>
    <w:rsid w:val="52BD598A"/>
    <w:rsid w:val="5531704B"/>
    <w:rsid w:val="56075D18"/>
    <w:rsid w:val="569D3E0F"/>
    <w:rsid w:val="56B91573"/>
    <w:rsid w:val="5C3468B5"/>
    <w:rsid w:val="5FE46715"/>
    <w:rsid w:val="642A326D"/>
    <w:rsid w:val="681E750B"/>
    <w:rsid w:val="68564B9A"/>
    <w:rsid w:val="68817EE4"/>
    <w:rsid w:val="6CC37F33"/>
    <w:rsid w:val="70874519"/>
    <w:rsid w:val="73325D4D"/>
    <w:rsid w:val="740752C3"/>
    <w:rsid w:val="7658178E"/>
    <w:rsid w:val="77F51365"/>
    <w:rsid w:val="7BD570A7"/>
    <w:rsid w:val="7E377C09"/>
    <w:rsid w:val="7ED530BD"/>
    <w:rsid w:val="7F6C4F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eastAsia="宋体" w:asciiTheme="minorHAnsi" w:hAnsiTheme="minorHAnsi"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ind w:left="284" w:firstLine="200" w:firstLineChars="200"/>
    </w:pPr>
    <w:rPr>
      <w:rFonts w:ascii="楷体_GB2312" w:hAnsi="Times New Roman" w:eastAsia="楷体_GB2312" w:cs="Times New Roman"/>
      <w:sz w:val="84"/>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styleId="8">
    <w:name w:val="page number"/>
    <w:basedOn w:val="7"/>
    <w:unhideWhenUsed/>
    <w:qFormat/>
    <w:uiPriority w:val="99"/>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正文文本缩进 Char"/>
    <w:basedOn w:val="7"/>
    <w:link w:val="2"/>
    <w:qFormat/>
    <w:uiPriority w:val="99"/>
    <w:rPr>
      <w:rFonts w:ascii="楷体_GB2312" w:hAnsi="Times New Roman" w:eastAsia="楷体_GB2312" w:cs="Times New Roman"/>
      <w:sz w:val="8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3203</Words>
  <Characters>424</Characters>
  <Lines>3</Lines>
  <Paragraphs>7</Paragraphs>
  <TotalTime>3</TotalTime>
  <ScaleCrop>false</ScaleCrop>
  <LinksUpToDate>false</LinksUpToDate>
  <CharactersWithSpaces>3620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2018-07-23T08:42:00Z</dcterms:created>
  <dc:creator>Suda</dc:creator>
  <cp:lastModifiedBy>a</cp:lastModifiedBy>
  <dcterms:modified xsi:type="dcterms:W3CDTF">2024-08-30T06:45:44Z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C5D588D098104A41BD9C38B0BD693D03</vt:lpwstr>
  </property>
</Properties>
</file>