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AF26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CF1F0E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B7BC54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E07814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CAEB56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F7A19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D80E7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49C309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69F20B1">
      <w:pPr>
        <w:adjustRightInd w:val="0"/>
        <w:spacing w:line="240" w:lineRule="auto"/>
        <w:jc w:val="center"/>
        <w:textAlignment w:val="baseline"/>
        <w:rPr>
          <w:rFonts w:hint="eastAsia" w:ascii="方正小标宋简体" w:hAnsi="方正小标宋简体" w:eastAsia="方正小标宋简体" w:cs="方正小标宋简体"/>
          <w:kern w:val="0"/>
          <w:sz w:val="48"/>
          <w:szCs w:val="48"/>
          <w:lang w:val="zh-CN"/>
          <w14:ligatures w14:val="none"/>
        </w:rPr>
      </w:pPr>
      <w:r>
        <w:rPr>
          <w:rFonts w:hint="eastAsia" w:ascii="方正小标宋简体" w:hAnsi="方正小标宋简体" w:eastAsia="方正小标宋简体" w:cs="方正小标宋简体"/>
          <w:kern w:val="0"/>
          <w:sz w:val="48"/>
          <w:szCs w:val="48"/>
          <w:lang w:val="zh-CN"/>
          <w14:ligatures w14:val="none"/>
        </w:rPr>
        <w:t>天津市河西区消费者协会2023年度部门决算</w:t>
      </w:r>
    </w:p>
    <w:p w14:paraId="2EC3B1DB">
      <w:pPr>
        <w:autoSpaceDE w:val="0"/>
        <w:autoSpaceDN w:val="0"/>
        <w:adjustRightInd w:val="0"/>
        <w:spacing w:line="580" w:lineRule="exact"/>
        <w:jc w:val="center"/>
        <w:rPr>
          <w:rFonts w:ascii="Times New Roman" w:hAnsi="Times New Roman" w:eastAsia="黑体" w:cs="黑体"/>
          <w:sz w:val="30"/>
          <w:szCs w:val="30"/>
          <w:highlight w:val="none"/>
        </w:rPr>
      </w:pPr>
    </w:p>
    <w:p w14:paraId="231C99CD">
      <w:pPr>
        <w:autoSpaceDE w:val="0"/>
        <w:autoSpaceDN w:val="0"/>
        <w:adjustRightInd w:val="0"/>
        <w:spacing w:line="580" w:lineRule="exact"/>
        <w:jc w:val="center"/>
        <w:rPr>
          <w:rFonts w:ascii="Times New Roman" w:hAnsi="Times New Roman" w:eastAsia="黑体" w:cs="黑体"/>
          <w:sz w:val="30"/>
          <w:szCs w:val="30"/>
          <w:highlight w:val="none"/>
        </w:rPr>
      </w:pPr>
    </w:p>
    <w:p w14:paraId="39AD2EFC">
      <w:pPr>
        <w:autoSpaceDE w:val="0"/>
        <w:autoSpaceDN w:val="0"/>
        <w:adjustRightInd w:val="0"/>
        <w:spacing w:line="580" w:lineRule="exact"/>
        <w:jc w:val="center"/>
        <w:rPr>
          <w:rFonts w:ascii="Times New Roman" w:hAnsi="Times New Roman" w:eastAsia="黑体" w:cs="黑体"/>
          <w:sz w:val="30"/>
          <w:szCs w:val="30"/>
          <w:highlight w:val="none"/>
        </w:rPr>
      </w:pPr>
    </w:p>
    <w:p w14:paraId="0669558F">
      <w:pPr>
        <w:autoSpaceDE w:val="0"/>
        <w:autoSpaceDN w:val="0"/>
        <w:adjustRightInd w:val="0"/>
        <w:spacing w:line="580" w:lineRule="exact"/>
        <w:jc w:val="center"/>
        <w:rPr>
          <w:rFonts w:ascii="Times New Roman" w:hAnsi="Times New Roman" w:eastAsia="黑体" w:cs="黑体"/>
          <w:sz w:val="30"/>
          <w:szCs w:val="30"/>
          <w:highlight w:val="none"/>
        </w:rPr>
      </w:pPr>
    </w:p>
    <w:p w14:paraId="4761E81A">
      <w:pPr>
        <w:autoSpaceDE w:val="0"/>
        <w:autoSpaceDN w:val="0"/>
        <w:adjustRightInd w:val="0"/>
        <w:spacing w:line="580" w:lineRule="exact"/>
        <w:jc w:val="center"/>
        <w:rPr>
          <w:rFonts w:ascii="Times New Roman" w:hAnsi="Times New Roman" w:eastAsia="黑体" w:cs="黑体"/>
          <w:sz w:val="30"/>
          <w:szCs w:val="30"/>
          <w:highlight w:val="none"/>
        </w:rPr>
      </w:pPr>
    </w:p>
    <w:p w14:paraId="4AB3136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A4E1B8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C47BB11">
      <w:pPr>
        <w:autoSpaceDE w:val="0"/>
        <w:autoSpaceDN w:val="0"/>
        <w:adjustRightInd w:val="0"/>
        <w:spacing w:line="600" w:lineRule="exact"/>
        <w:jc w:val="left"/>
        <w:rPr>
          <w:rFonts w:ascii="Times New Roman" w:hAnsi="Times New Roman" w:eastAsia="黑体" w:cs="黑体"/>
          <w:kern w:val="0"/>
          <w:sz w:val="30"/>
          <w:szCs w:val="30"/>
          <w:highlight w:val="none"/>
        </w:rPr>
      </w:pPr>
    </w:p>
    <w:p w14:paraId="7D6E572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4E1B2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706AB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4207961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07C66E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43CA8C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53AC79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D3EDE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41C0D3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0BB1E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3E5B7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E24150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3BCE10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EE47C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5C282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94B82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70BBC1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518E6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408C7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C0CA8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3DDE29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FBE65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F4507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54E5F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94C7D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BBCEB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C8DEB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E5FEB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F02E8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7CB89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932CB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4C38A5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4B4C39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A7A8073">
      <w:pPr>
        <w:keepNext/>
        <w:keepLines/>
        <w:autoSpaceDE w:val="0"/>
        <w:autoSpaceDN w:val="0"/>
        <w:adjustRightInd w:val="0"/>
        <w:spacing w:line="600" w:lineRule="exact"/>
        <w:jc w:val="center"/>
        <w:outlineLvl w:val="0"/>
        <w:rPr>
          <w:rFonts w:hint="eastAsia" w:ascii="方正小标宋简体" w:hAnsi="方正小标宋简体" w:eastAsia="方正小标宋简体" w:cs="方正小标宋简体"/>
          <w:b w:val="0"/>
          <w:bCs w:val="0"/>
          <w:kern w:val="44"/>
          <w:sz w:val="44"/>
          <w:szCs w:val="44"/>
          <w:lang w:val="en-US" w:eastAsia="zh-CN" w:bidi="ar-SA"/>
          <w14:ligatures w14:val="none"/>
        </w:rPr>
      </w:pPr>
    </w:p>
    <w:p w14:paraId="2F237145">
      <w:pPr>
        <w:keepNext/>
        <w:keepLines/>
        <w:numPr>
          <w:ilvl w:val="0"/>
          <w:numId w:val="1"/>
        </w:numPr>
        <w:autoSpaceDE w:val="0"/>
        <w:autoSpaceDN w:val="0"/>
        <w:adjustRightInd w:val="0"/>
        <w:spacing w:line="600" w:lineRule="exact"/>
        <w:jc w:val="center"/>
        <w:outlineLvl w:val="0"/>
        <w:rPr>
          <w:rFonts w:hint="eastAsia" w:ascii="方正小标宋简体" w:hAnsi="方正小标宋简体" w:eastAsia="方正小标宋简体" w:cs="方正小标宋简体"/>
          <w:b w:val="0"/>
          <w:bCs w:val="0"/>
          <w:kern w:val="44"/>
          <w:sz w:val="44"/>
          <w:szCs w:val="44"/>
          <w:lang w:val="en-US" w:eastAsia="zh-CN" w:bidi="ar-SA"/>
          <w14:ligatures w14:val="none"/>
        </w:rPr>
      </w:pPr>
      <w:r>
        <w:rPr>
          <w:rFonts w:hint="eastAsia" w:ascii="方正小标宋简体" w:hAnsi="方正小标宋简体" w:eastAsia="方正小标宋简体" w:cs="方正小标宋简体"/>
          <w:b w:val="0"/>
          <w:bCs w:val="0"/>
          <w:kern w:val="44"/>
          <w:sz w:val="44"/>
          <w:szCs w:val="44"/>
          <w:lang w:val="en-US" w:eastAsia="zh-CN" w:bidi="ar-SA"/>
          <w14:ligatures w14:val="none"/>
        </w:rPr>
        <w:t xml:space="preserve"> 概 况</w:t>
      </w:r>
    </w:p>
    <w:p w14:paraId="0415C1A0">
      <w:pPr>
        <w:keepNext/>
        <w:keepLines/>
        <w:numPr>
          <w:ilvl w:val="0"/>
          <w:numId w:val="0"/>
        </w:numPr>
        <w:autoSpaceDE w:val="0"/>
        <w:autoSpaceDN w:val="0"/>
        <w:adjustRightInd w:val="0"/>
        <w:spacing w:line="600" w:lineRule="exact"/>
        <w:jc w:val="both"/>
        <w:outlineLvl w:val="0"/>
        <w:rPr>
          <w:rFonts w:hint="eastAsia" w:ascii="方正小标宋简体" w:hAnsi="方正小标宋简体" w:eastAsia="方正小标宋简体" w:cs="方正小标宋简体"/>
          <w:b w:val="0"/>
          <w:bCs w:val="0"/>
          <w:kern w:val="44"/>
          <w:sz w:val="44"/>
          <w:szCs w:val="44"/>
          <w:lang w:val="en-US" w:eastAsia="zh-CN" w:bidi="ar-SA"/>
          <w14:ligatures w14:val="none"/>
        </w:rPr>
      </w:pPr>
    </w:p>
    <w:p w14:paraId="6A197769">
      <w:pPr>
        <w:keepNext/>
        <w:keepLines/>
        <w:numPr>
          <w:ilvl w:val="0"/>
          <w:numId w:val="2"/>
        </w:numPr>
        <w:autoSpaceDE w:val="0"/>
        <w:autoSpaceDN w:val="0"/>
        <w:adjustRightInd w:val="0"/>
        <w:spacing w:line="600" w:lineRule="exact"/>
        <w:ind w:firstLine="600" w:firstLineChars="200"/>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黑体" w:cs="黑体"/>
          <w:kern w:val="0"/>
          <w:sz w:val="30"/>
          <w:szCs w:val="30"/>
          <w:highlight w:val="none"/>
        </w:rPr>
        <w:t>主要职责</w:t>
      </w:r>
    </w:p>
    <w:p w14:paraId="777934B3">
      <w:pPr>
        <w:keepNext/>
        <w:keepLines/>
        <w:numPr>
          <w:ilvl w:val="0"/>
          <w:numId w:val="0"/>
        </w:numPr>
        <w:autoSpaceDE w:val="0"/>
        <w:autoSpaceDN w:val="0"/>
        <w:adjustRightInd w:val="0"/>
        <w:spacing w:line="600" w:lineRule="exact"/>
        <w:ind w:firstLine="600" w:firstLineChars="200"/>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（一）向消费者提供消费信息和咨询服务，提高消费者维护自身合法权益的能力，引导文明、健康、节约资源和保护环境的消费方式；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（二）参与制定有关消费者权益的法律、法规、规章和强制性标准；</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（三）参与有关行政部门对商品和服务的监督、检查；</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（四）就有关消费者合法权益的问题，向有关部门反映、查询，提出建议；</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（五）受理消费者的投诉，并对投诉事项进行调查、调解；</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（六）投诉事项涉及商品和服务质量问题的，可以委托具备资格的鉴定人鉴定，鉴定人应当告知鉴定意见；</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（七）就损害消费者合法权益的行为，支持受损害的消费者提起诉讼或者依照本法提起诉讼；</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（八）对损害消费者合法权益的行为，通过大众传播媒介予以揭露、批评。</w:t>
      </w:r>
    </w:p>
    <w:p w14:paraId="16E8476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324CA6A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天津市河西区消费者协会内设1个职能科室；下辖0个预算单位。纳入天津市河西区消费者协会2023年度部门决算编制范围的单位包括：</w:t>
      </w:r>
    </w:p>
    <w:p w14:paraId="3057923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1、天津市河西区消费者协会</w:t>
      </w:r>
    </w:p>
    <w:p w14:paraId="40EEEC4E">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AA06EE9">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082B2B1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2FA3AA8">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3E50D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2DC166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681A959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25C2F03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D6E92A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A68D8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74F1E5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5B7C323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576C2E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6D03D5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3C8FA83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72A15DDC">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D582DA3">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1F08CCF7">
      <w:pPr>
        <w:adjustRightInd w:val="0"/>
        <w:spacing w:line="640" w:lineRule="exact"/>
        <w:ind w:firstLine="450" w:firstLineChars="150"/>
        <w:jc w:val="left"/>
        <w:textAlignment w:val="baseline"/>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1.天津市河西区消费者协会2023年度政府性基金预算财政拨款收入</w:t>
      </w:r>
      <w:r>
        <w:rPr>
          <w:rFonts w:hint="eastAsia" w:ascii="Times New Roman" w:hAnsi="Times New Roman" w:eastAsia="楷体" w:cs="Times New Roman"/>
          <w:kern w:val="0"/>
          <w:sz w:val="30"/>
          <w:szCs w:val="30"/>
          <w:lang w:eastAsia="zh-CN"/>
          <w14:ligatures w14:val="none"/>
        </w:rPr>
        <w:t>支出</w:t>
      </w:r>
      <w:r>
        <w:rPr>
          <w:rFonts w:hint="eastAsia" w:ascii="楷体" w:hAnsi="楷体" w:eastAsia="楷体" w:cs="楷体"/>
          <w:sz w:val="30"/>
          <w:szCs w:val="30"/>
          <w:highlight w:val="none"/>
          <w:lang w:eastAsia="zh-CN"/>
        </w:rPr>
        <w:t>决算表为空表。</w:t>
      </w:r>
      <w:r>
        <w:rPr>
          <w:rFonts w:hint="eastAsia" w:ascii="楷体" w:hAnsi="楷体" w:eastAsia="楷体" w:cs="楷体"/>
          <w:sz w:val="30"/>
          <w:szCs w:val="30"/>
          <w:highlight w:val="none"/>
          <w:lang w:eastAsia="zh-CN"/>
        </w:rPr>
        <w:br w:type="textWrapping"/>
      </w:r>
      <w:r>
        <w:rPr>
          <w:rFonts w:hint="default" w:ascii="楷体" w:hAnsi="楷体" w:eastAsia="楷体" w:cs="楷体"/>
          <w:sz w:val="30"/>
          <w:szCs w:val="30"/>
          <w:highlight w:val="none"/>
          <w:lang w:val="en" w:eastAsia="zh-CN"/>
        </w:rPr>
        <w:t xml:space="preserve">   </w:t>
      </w:r>
      <w:r>
        <w:rPr>
          <w:rFonts w:hint="eastAsia" w:ascii="楷体" w:hAnsi="楷体" w:eastAsia="楷体" w:cs="楷体"/>
          <w:sz w:val="30"/>
          <w:szCs w:val="30"/>
          <w:highlight w:val="none"/>
          <w:lang w:eastAsia="zh-CN"/>
        </w:rPr>
        <w:t>2.天津市河西区消费者协会2023年度国有资本经营预算财政拨款收入支出决算表为空表。</w:t>
      </w:r>
      <w:r>
        <w:rPr>
          <w:rFonts w:hint="eastAsia" w:ascii="楷体" w:hAnsi="楷体" w:eastAsia="楷体" w:cs="楷体"/>
          <w:sz w:val="30"/>
          <w:szCs w:val="30"/>
          <w:highlight w:val="none"/>
          <w:lang w:eastAsia="zh-CN"/>
        </w:rPr>
        <w:br w:type="textWrapping"/>
      </w:r>
      <w:r>
        <w:rPr>
          <w:rFonts w:hint="default" w:ascii="楷体" w:hAnsi="楷体" w:eastAsia="楷体" w:cs="楷体"/>
          <w:sz w:val="30"/>
          <w:szCs w:val="30"/>
          <w:highlight w:val="none"/>
          <w:lang w:val="en" w:eastAsia="zh-CN"/>
        </w:rPr>
        <w:t xml:space="preserve">   </w:t>
      </w:r>
      <w:r>
        <w:rPr>
          <w:rFonts w:hint="eastAsia" w:ascii="楷体" w:hAnsi="楷体" w:eastAsia="楷体" w:cs="楷体"/>
          <w:sz w:val="30"/>
          <w:szCs w:val="30"/>
          <w:highlight w:val="none"/>
          <w:lang w:eastAsia="zh-CN"/>
        </w:rPr>
        <w:t>3.天津市河西区消费者协会2023年度财政拨款“三公”经费支出决算表为空表。</w:t>
      </w:r>
      <w:r>
        <w:rPr>
          <w:rFonts w:hint="eastAsia" w:ascii="楷体" w:hAnsi="楷体" w:eastAsia="楷体" w:cs="楷体"/>
          <w:sz w:val="30"/>
          <w:szCs w:val="30"/>
          <w:highlight w:val="none"/>
          <w:lang w:eastAsia="zh-CN"/>
        </w:rPr>
        <w:br w:type="textWrapping"/>
      </w:r>
      <w:r>
        <w:rPr>
          <w:rFonts w:hint="default" w:ascii="楷体" w:hAnsi="楷体" w:eastAsia="楷体" w:cs="楷体"/>
          <w:sz w:val="30"/>
          <w:szCs w:val="30"/>
          <w:highlight w:val="none"/>
          <w:lang w:val="en" w:eastAsia="zh-CN"/>
        </w:rPr>
        <w:t xml:space="preserve">   </w:t>
      </w:r>
      <w:r>
        <w:rPr>
          <w:rFonts w:hint="eastAsia" w:ascii="楷体" w:hAnsi="楷体" w:eastAsia="楷体" w:cs="楷体"/>
          <w:sz w:val="30"/>
          <w:szCs w:val="30"/>
          <w:highlight w:val="none"/>
          <w:lang w:eastAsia="zh-CN"/>
        </w:rPr>
        <w:t>4.天津市河西区消费者协会2023年度项目支出决算表为空表。</w:t>
      </w:r>
    </w:p>
    <w:p w14:paraId="5625FA6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97A7B9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BE8FD7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600789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6116A1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F1F732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D7A685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936745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3603E4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23420E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D34AE2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488736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818294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D21C02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76B609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DF46696">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一、收入支出决算总体情况说明</w:t>
      </w:r>
    </w:p>
    <w:p w14:paraId="2CB61496">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 w:eastAsia="zh-CN"/>
        </w:rPr>
      </w:pPr>
      <w:r>
        <w:rPr>
          <w:rFonts w:hint="eastAsia" w:ascii="Times New Roman" w:hAnsi="Times New Roman" w:eastAsia="仿宋_GB2312" w:cs="仿宋_GB2312"/>
          <w:sz w:val="30"/>
          <w:szCs w:val="30"/>
          <w:highlight w:val="none"/>
          <w:lang w:val="zh-CN" w:eastAsia="zh-CN"/>
        </w:rPr>
        <w:t>天津市河西区消费者协会2023年度收入、支出决算总计</w:t>
      </w:r>
      <w:r>
        <w:rPr>
          <w:rFonts w:hint="eastAsia" w:ascii="Times New Roman" w:hAnsi="Times New Roman" w:eastAsia="仿宋_GB2312" w:cs="仿宋_GB2312"/>
          <w:sz w:val="30"/>
          <w:szCs w:val="30"/>
          <w:highlight w:val="none"/>
          <w:lang w:eastAsia="zh-CN"/>
        </w:rPr>
        <w:t>709,265.71元，与2022年度相比，收、支总计各增加31,977.30元，增长4.72%，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：财政拨款增加。</w:t>
      </w:r>
    </w:p>
    <w:p w14:paraId="6476FFA9">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二、</w:t>
      </w:r>
      <w:r>
        <w:rPr>
          <w:rFonts w:hint="eastAsia" w:ascii="Times New Roman" w:hAnsi="Times New Roman" w:eastAsia="黑体" w:cs="黑体"/>
          <w:b w:val="0"/>
          <w:bCs w:val="0"/>
          <w:kern w:val="0"/>
          <w:sz w:val="30"/>
          <w:szCs w:val="30"/>
          <w:highlight w:val="none"/>
        </w:rPr>
        <w:t>收入决算情况</w:t>
      </w:r>
      <w:r>
        <w:rPr>
          <w:rFonts w:hint="eastAsia" w:ascii="Times New Roman" w:hAnsi="Times New Roman" w:eastAsia="黑体" w:cs="黑体"/>
          <w:b w:val="0"/>
          <w:bCs w:val="0"/>
          <w:kern w:val="0"/>
          <w:sz w:val="30"/>
          <w:szCs w:val="30"/>
          <w:highlight w:val="none"/>
          <w:lang w:val="zh-CN"/>
        </w:rPr>
        <w:t>说明</w:t>
      </w:r>
    </w:p>
    <w:p w14:paraId="48CCCF1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天津市河西区消费者协会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705,675.71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增加36,811.27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财政拨款增加。</w:t>
      </w:r>
    </w:p>
    <w:p w14:paraId="1CE53BB8">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705,575.71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p>
    <w:p w14:paraId="0EFCFAAD">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D5CA28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07327A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EAB9D6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07A243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0F7F03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7594A2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B777DF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14:paraId="301FE56F">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三、支出</w:t>
      </w:r>
      <w:r>
        <w:rPr>
          <w:rFonts w:hint="eastAsia" w:ascii="Times New Roman" w:hAnsi="Times New Roman" w:eastAsia="黑体" w:cs="黑体"/>
          <w:b w:val="0"/>
          <w:bCs w:val="0"/>
          <w:kern w:val="0"/>
          <w:sz w:val="30"/>
          <w:szCs w:val="30"/>
          <w:highlight w:val="none"/>
        </w:rPr>
        <w:t>决算情况说明</w:t>
      </w:r>
    </w:p>
    <w:p w14:paraId="71D95595">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天津市河西区消费者协会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709,265.71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31,977.30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财政拨款增加，人员支出增加。</w:t>
      </w:r>
    </w:p>
    <w:p w14:paraId="20F49EA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709,265.71元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677430F8">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9FF6FD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31ACBE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D62E9CA">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C54399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四、财政拨款收支决算总体情况说明</w:t>
      </w:r>
    </w:p>
    <w:p w14:paraId="13E74B04">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天津市河西区消费者协会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705,575.71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37,092.49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财政拨款增加。</w:t>
      </w:r>
    </w:p>
    <w:p w14:paraId="36ACDDD8">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五、一般公共预算财政拨款支出决算情况说明</w:t>
      </w:r>
    </w:p>
    <w:p w14:paraId="302E7EE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E64F775">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天津市河西区消费者协会2023年度部门决算一般公共预算财政拨款支出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计705,575.71元，占本年支出合计的99.48%，与2022年度相比，一般公共预算财政拨款支出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37,092.49元，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5.55%，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：财政拨款增加，人员支出增加。</w:t>
      </w:r>
    </w:p>
    <w:p w14:paraId="735E3168">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6B69E3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705,575.71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一般公共服务支出（类）支出610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552.49元，占86.53%，社会保障和就业支出（类）支出64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638.40元，占9.16%，卫生健康支出（类）支出30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384.82元，占4.31%。</w:t>
      </w:r>
    </w:p>
    <w:p w14:paraId="3474A06F">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AFF448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632,187.10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705,575.71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111.61%</w:t>
      </w:r>
      <w:r>
        <w:rPr>
          <w:rFonts w:hint="eastAsia" w:ascii="Times New Roman" w:hAnsi="Times New Roman" w:eastAsia="仿宋_GB2312" w:cs="仿宋_GB2312"/>
          <w:kern w:val="0"/>
          <w:sz w:val="30"/>
          <w:szCs w:val="30"/>
          <w:highlight w:val="none"/>
        </w:rPr>
        <w:t>。其中：</w:t>
      </w:r>
    </w:p>
    <w:p w14:paraId="3A208511">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 xml:space="preserve"> 1. 一般公共服务支出（类）市场监督管理事务（款）事业运行（项）年初预算为526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826.38元，支出决算为610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552.49元，完成年初预算的115.89%，决算数大于年初预算数的主要原因是人员经费增加。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社会保障和就业支出（类）行政事业单位养老支出（款）机关事业单位基本养老保险缴费支出（项）年初预算为42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677.76元，支出决算为43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089.60元，完成年初预算的100.96%，决算数大于年初预算数的主要原因是人员经费增加。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 社会保障和就业支出（类）行政事业单位养老支出（款）机关事业单位职业年金缴费支出（项）年初预算为21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338.88元，支出决算为21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548.80元，完成年初预算的100.98%，决算数大于年初预算数的主要原因是人员经费增加。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 卫生健康支出（类）行政事业单位医疗（款）事业单位医疗（项）年初预算为41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344.08元，支出决算为30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384.82元，完成年初预算的73.49%，决算数小于年初预算数的主要原因是厉行节约。</w:t>
      </w:r>
    </w:p>
    <w:p w14:paraId="4181B105">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六、一般公共预算财政拨款基本支出决算情况说明</w:t>
      </w:r>
    </w:p>
    <w:p w14:paraId="7C59BCE6">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天津市河西区消费者协会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705,575.71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37,092.49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财政拨款增加。</w:t>
      </w:r>
      <w:r>
        <w:rPr>
          <w:rFonts w:hint="eastAsia" w:ascii="Times New Roman" w:hAnsi="Times New Roman" w:eastAsia="仿宋_GB2312" w:cs="仿宋_GB2312"/>
          <w:kern w:val="0"/>
          <w:sz w:val="30"/>
          <w:szCs w:val="30"/>
          <w:highlight w:val="none"/>
        </w:rPr>
        <w:t>其中：</w:t>
      </w:r>
    </w:p>
    <w:p w14:paraId="1B252B66">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688,658.12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基本工资、津贴补贴、奖金、绩效工资、机关事业单位基本养老保险缴费、职业年金缴费、职工基本医疗保险缴费、其他社会保障缴费、住房公积金、其他工资福利支出、退休费、抚恤金、医疗费补助、奖励金。</w:t>
      </w:r>
    </w:p>
    <w:p w14:paraId="13B98EE3">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16,917.59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办公费、手续费、工会经费、福利费、税金及附加费用。</w:t>
      </w:r>
      <w:bookmarkStart w:id="0" w:name="_GoBack"/>
      <w:bookmarkEnd w:id="0"/>
    </w:p>
    <w:p w14:paraId="1648B020">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七、政府性基金预算财政拨款收支决算情况</w:t>
      </w:r>
    </w:p>
    <w:p w14:paraId="05B0C0E3">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天津市河西区消费者协会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385715B1">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天津市河西区消费者协会2023年度无政府性基金预算财政拨款收入、支出和结转结余。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50FC24C">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八、国有资本经营预算财政拨款收支决算情况说明</w:t>
      </w:r>
    </w:p>
    <w:p w14:paraId="34A7FE9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天津市河西区消费者协会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797430D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天津市河西区消费者协会2023年度无国有资本经营预算财政拨款收入、支出和结转结余。</w:t>
      </w:r>
    </w:p>
    <w:p w14:paraId="0148EB86">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九、财政拨款</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三公</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经费</w:t>
      </w:r>
      <w:r>
        <w:rPr>
          <w:rFonts w:hint="eastAsia" w:ascii="Times New Roman" w:hAnsi="Times New Roman" w:eastAsia="黑体" w:cs="黑体"/>
          <w:b w:val="0"/>
          <w:bCs w:val="0"/>
          <w:kern w:val="0"/>
          <w:sz w:val="30"/>
          <w:szCs w:val="30"/>
          <w:highlight w:val="none"/>
          <w:lang w:val="zh-CN"/>
        </w:rPr>
        <w:t>支出决算</w:t>
      </w:r>
      <w:r>
        <w:rPr>
          <w:rFonts w:hint="eastAsia" w:ascii="Times New Roman" w:hAnsi="Times New Roman" w:eastAsia="黑体" w:cs="黑体"/>
          <w:b w:val="0"/>
          <w:bCs w:val="0"/>
          <w:kern w:val="0"/>
          <w:sz w:val="30"/>
          <w:szCs w:val="30"/>
          <w:highlight w:val="none"/>
        </w:rPr>
        <w:t>情况</w:t>
      </w:r>
    </w:p>
    <w:p w14:paraId="7257442D">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7A2E13E9">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lang w:val="en-US"/>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513E6370">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3B2547A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75AFC90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A8F710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4E0B8CE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56B2313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A100BE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A8E17D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8FCE39E">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61193F81">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21A785B">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十、机关运行经费支出情况说明</w:t>
      </w:r>
    </w:p>
    <w:p w14:paraId="0BE2CAEB">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天津市河西区消费者协会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p>
    <w:p w14:paraId="45994FF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天津市河西区消费者协会2023年度无机关运行经费。</w:t>
      </w:r>
    </w:p>
    <w:p w14:paraId="55920DC3">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十一、政府采购支出情况说明</w:t>
      </w:r>
    </w:p>
    <w:p w14:paraId="4E11CBC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天津市河西区消费者协会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2C9322D6">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天津市河西区消费者协会2023年度无政府采购支出。</w:t>
      </w:r>
    </w:p>
    <w:p w14:paraId="2EE7EB87">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十二、</w:t>
      </w:r>
      <w:r>
        <w:rPr>
          <w:rFonts w:hint="eastAsia" w:ascii="Times New Roman" w:hAnsi="Times New Roman" w:eastAsia="黑体" w:cs="黑体"/>
          <w:b w:val="0"/>
          <w:bCs w:val="0"/>
          <w:kern w:val="0"/>
          <w:sz w:val="30"/>
          <w:szCs w:val="30"/>
          <w:highlight w:val="none"/>
        </w:rPr>
        <w:t>国有资产占有使用情况说明</w:t>
      </w:r>
    </w:p>
    <w:p w14:paraId="6D5500E6">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天津市河西区消费者协会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0183C9A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天津市河西区消费者协会2023年度无国有资产占有使用情况。</w:t>
      </w:r>
    </w:p>
    <w:p w14:paraId="3402B7BE">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十三、</w:t>
      </w:r>
      <w:r>
        <w:rPr>
          <w:rFonts w:hint="eastAsia" w:ascii="Times New Roman" w:hAnsi="Times New Roman" w:eastAsia="黑体" w:cs="黑体"/>
          <w:b w:val="0"/>
          <w:bCs w:val="0"/>
          <w:kern w:val="0"/>
          <w:sz w:val="30"/>
          <w:szCs w:val="30"/>
          <w:highlight w:val="none"/>
        </w:rPr>
        <w:t>预算绩效情况说明</w:t>
      </w:r>
    </w:p>
    <w:p w14:paraId="2F8EA46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本部门2023年度没有项目支出，无需开展绩效自评。</w:t>
      </w:r>
    </w:p>
    <w:p w14:paraId="1B2A83F7">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val="0"/>
          <w:bCs w:val="0"/>
          <w:kern w:val="0"/>
          <w:sz w:val="30"/>
          <w:szCs w:val="30"/>
          <w:highlight w:val="none"/>
          <w:lang w:val="zh-CN"/>
        </w:rPr>
        <w:t>十四、</w:t>
      </w:r>
      <w:r>
        <w:rPr>
          <w:rFonts w:hint="eastAsia" w:ascii="Times New Roman" w:hAnsi="Times New Roman" w:eastAsia="黑体" w:cs="黑体"/>
          <w:b w:val="0"/>
          <w:bCs w:val="0"/>
          <w:kern w:val="0"/>
          <w:sz w:val="30"/>
          <w:szCs w:val="30"/>
          <w:highlight w:val="none"/>
        </w:rPr>
        <w:t>教育、医疗卫生、社会保障和就业、住房保障、涉农补贴等民生支出情况说明</w:t>
      </w:r>
    </w:p>
    <w:p w14:paraId="6948BFB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天津市河西区消费者协会不属于乡、镇、街级单位，不涉及公开2023年度教育、医疗卫生、社会保障和就业、住房保障、涉农补贴等民生支出情况。</w:t>
      </w:r>
    </w:p>
    <w:p w14:paraId="7865A15E">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C58E44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1B22A3D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7EF072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4671C0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053678E">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FF1EF"/>
    <w:multiLevelType w:val="singleLevel"/>
    <w:tmpl w:val="B7FFF1EF"/>
    <w:lvl w:ilvl="0" w:tentative="0">
      <w:start w:val="1"/>
      <w:numFmt w:val="chineseCounting"/>
      <w:suff w:val="space"/>
      <w:lvlText w:val="第%1部分"/>
      <w:lvlJc w:val="left"/>
      <w:rPr>
        <w:rFonts w:hint="eastAsia"/>
      </w:rPr>
    </w:lvl>
  </w:abstractNum>
  <w:abstractNum w:abstractNumId="1">
    <w:nsid w:val="DFB22B06"/>
    <w:multiLevelType w:val="singleLevel"/>
    <w:tmpl w:val="DFB22B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0ZmFhYmVhYjk1ODI3MDNhN2JlMTA5NDVkYzIzMG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A8051F"/>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BFDFC788"/>
    <w:rsid w:val="FF9D1CDB"/>
    <w:rsid w:val="FFB8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4832</Words>
  <Characters>5573</Characters>
  <Lines>82</Lines>
  <Paragraphs>23</Paragraphs>
  <TotalTime>24</TotalTime>
  <ScaleCrop>false</ScaleCrop>
  <LinksUpToDate>false</LinksUpToDate>
  <CharactersWithSpaces>5656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2023-08-12T08:11:00Z</dcterms:created>
  <dc:creator>office</dc:creator>
  <cp:lastModifiedBy>小李</cp:lastModifiedBy>
  <dcterms:modified xsi:type="dcterms:W3CDTF">2024-08-28T02:34:36Z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