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年全国“质量月”活动统计表</w:t>
      </w:r>
    </w:p>
    <w:p>
      <w:pPr>
        <w:jc w:val="center"/>
        <w:rPr>
          <w:rFonts w:hint="default" w:ascii="Times New Roman" w:hAnsi="Times New Roman" w:eastAsia="华文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质量工作相关部门是否联合部署开展活动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开展质量主题活动（个）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经营主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体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参与数量（家次）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一线员工参与数量（人次）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群众参与数量（人次）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19" w:type="dxa"/>
            <w:vMerge w:val="restart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“质量月”启动仪式</w:t>
            </w:r>
          </w:p>
        </w:tc>
        <w:tc>
          <w:tcPr>
            <w:tcW w:w="4252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是否组织启动仪式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119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领导出席情况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119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参与部门（个）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开展《质量强国建设纲要》宣贯活动（次）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深入校园、社区、乡镇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开展质量宣传科普活动（次）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开展质量奖获奖者先进经验交流推广活动（次）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推广质量变革创新典型案例（个）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培训企业质量管理人员（人次）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深入开展质量技术等帮扶活动（家数）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企业开展质量改进、质量创新、劳动技能竞赛、质量提升小组等群众性质量活动（次）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开展质量品牌提升、宣传、推介等活动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开展计量服务中小企业行活动（家次）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开展电子计价秤市场秩序综合整治情况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开展小微企业质量管理体系认证提升行动（家次）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开展电动自行车质量提升活动情况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开展电梯安全宣传周活动情况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71" w:type="dxa"/>
            <w:gridSpan w:val="2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严厉打击侵权假冒活动情况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bookmarkEnd w:id="0"/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9C"/>
    <w:rsid w:val="000F6280"/>
    <w:rsid w:val="003F4D9C"/>
    <w:rsid w:val="006B5C00"/>
    <w:rsid w:val="00A9069C"/>
    <w:rsid w:val="00B156AB"/>
    <w:rsid w:val="00BB269A"/>
    <w:rsid w:val="1BBE32D2"/>
    <w:rsid w:val="1FDEA073"/>
    <w:rsid w:val="3F763EF6"/>
    <w:rsid w:val="4F29B3C6"/>
    <w:rsid w:val="577DC96C"/>
    <w:rsid w:val="6FF9C878"/>
    <w:rsid w:val="7BF3B5CE"/>
    <w:rsid w:val="7F9F4980"/>
    <w:rsid w:val="FC3A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374</Characters>
  <Lines>2</Lines>
  <Paragraphs>1</Paragraphs>
  <TotalTime>5</TotalTime>
  <ScaleCrop>false</ScaleCrop>
  <LinksUpToDate>false</LinksUpToDate>
  <CharactersWithSpaces>404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2023-10-18T09:51:00Z</dcterms:created>
  <dc:creator>jly</dc:creator>
  <cp:lastModifiedBy>窦莉薇(行政收文)</cp:lastModifiedBy>
  <dcterms:modified xsi:type="dcterms:W3CDTF">2024-08-27T14:55:52Z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