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distribute"/>
        <w:rPr>
          <w:rFonts w:hint="default" w:ascii="Times New Roman" w:hAnsi="Times New Roman" w:eastAsia="仿宋_GB2312" w:cs="Times New Roman"/>
          <w:color w:val="FF0000"/>
          <w:w w:val="8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b/>
          <w:color w:val="FF0000"/>
          <w:w w:val="80"/>
          <w:sz w:val="72"/>
          <w:szCs w:val="72"/>
        </w:rPr>
        <w:t>天津市市场监督管理委员会文件</w:t>
      </w:r>
    </w:p>
    <w:p>
      <w:pPr>
        <w:snapToGrid w:val="0"/>
        <w:spacing w:line="560" w:lineRule="exact"/>
        <w:ind w:left="210" w:leftChars="100" w:right="210" w:rightChars="10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560" w:lineRule="exact"/>
        <w:ind w:left="210" w:leftChars="100" w:right="210" w:rightChars="10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津市场监管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spacing w:before="312" w:beforeLines="100"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615940" cy="0"/>
                <wp:effectExtent l="0" t="12700" r="3810" b="15875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11.35pt;height:0pt;width:442.2pt;z-index:251658240;mso-width-relative:page;mso-height-relative:page;" filled="f" stroked="t" coordsize="21600,21600" o:gfxdata="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ilgDp1AAA&#10;AAYBAAAPAAAAAAAAAAEAIAAAADgAAABkcnMvZG93bnJldi54bWxQSwECFAAUAAAACACHTuJAYe0m&#10;+dMBAACSAwAADgAAAAAAAAABACAAAAA5AQAAZHJzL2Uyb0RvYy54bWxQSwUGAAAAAAYABgBZAQAA&#10;f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市市场监管委关于印发2023年天津市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地方标准立项指南的通知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各委办局，各区市场监管局，各标准化技术委员会，各有关单位：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为贯彻落实《国家标准化发展纲要》，根据《中华人民共和国标准化法》《中共中央国务院关于开展质量提升行动的指导意见》的要求以及《天津市地方标准管理办法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》的有关规定，我委制定了《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天津市地方标准立项指南》（见附件），现印发给你们，请结合实际，组织做好地方标准申报工作。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联系人：张永来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苏文博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：27182133、27182054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de-DE" w:eastAsia="zh-CN"/>
        </w:rPr>
        <w:t>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3年天津市地方标准立项指南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left="943" w:leftChars="152" w:hanging="624" w:hangingChars="19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00700" cy="0"/>
                <wp:effectExtent l="0" t="0" r="0" b="0"/>
                <wp:wrapNone/>
                <wp:docPr id="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3.6pt;height:0pt;width:441pt;z-index:251660288;mso-width-relative:page;mso-height-relative:page;" filled="f" stroked="t" coordsize="21600,21600" o:gfxdata="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oGW+E0wAAAAQB&#10;AAAPAAAAAAAAAAEAIAAAADgAAABkcnMvZG93bnJldi54bWxQSwECFAAUAAAACACHTuJA1Jou1NEB&#10;AACSAwAADgAAAAAAAAABACAAAAA4AQAAZHJzL2Uyb0RvYy54bWxQSwUGAAAAAAYABgBZAQAAewUA&#10;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56007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32.5pt;height:0pt;width:441pt;z-index:251659264;mso-width-relative:page;mso-height-relative:page;" filled="f" stroked="t" coordsize="21600,21600" o:gfxdata="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NUfIwrVAAAA&#10;BgEAAA8AAAAAAAAAAQAgAAAAOAAAAGRycy9kb3ducmV2LnhtbFBLAQIUABQAAAAIAIdO4kD65QTe&#10;0QEAAJIDAAAOAAAAAAAAAAEAIAAAADoBAABkcnMvZTJvRG9jLnhtbFBLBQYAAAAABgAGAFkBAAB9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天津市市场监督管理委员会办公室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2023年天津市地方标准立项指南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落实《国家标准化发展纲要》和《天津市人民政府关于贯彻落实&lt;国家标准化发展纲要&gt;的意见》，优化天津市地方标准体系结构，加快构建我市高质量发展的标准体系，做好2023年天津市地方标准制修订工作，根据《天津市标准化条例》和《天津市地方标准管理办法(试行)》的有关规定，特制定《2023年天津市地方标准立项指南》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一、立项原则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</w:t>
      </w:r>
      <w:r>
        <w:rPr>
          <w:rFonts w:hint="eastAsia" w:eastAsia="仿宋_GB2312"/>
          <w:color w:val="000000"/>
          <w:sz w:val="32"/>
          <w:szCs w:val="32"/>
        </w:rPr>
        <w:t>围绕中心、服务大局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贯彻落实党的二十大精神、</w:t>
      </w:r>
      <w:r>
        <w:rPr>
          <w:rFonts w:eastAsia="仿宋_GB2312"/>
          <w:color w:val="000000"/>
          <w:sz w:val="32"/>
          <w:szCs w:val="32"/>
        </w:rPr>
        <w:t>紧密围绕</w:t>
      </w:r>
      <w:r>
        <w:rPr>
          <w:rFonts w:hint="eastAsia" w:eastAsia="仿宋_GB2312"/>
          <w:color w:val="000000"/>
          <w:sz w:val="32"/>
          <w:szCs w:val="32"/>
        </w:rPr>
        <w:t>党中央国务院及市委市政府提出的实施“十项行动”、全面建设社会主义现代化大都市的部署要求，结合2023年天津市《政府工作报告》中提出的具体任务，聚焦于</w:t>
      </w:r>
      <w:r>
        <w:rPr>
          <w:rFonts w:eastAsia="仿宋_GB2312"/>
          <w:color w:val="000000"/>
          <w:sz w:val="32"/>
          <w:szCs w:val="32"/>
        </w:rPr>
        <w:t>我市产业发展、科技创新和社会事业发展重大需求，</w:t>
      </w:r>
      <w:r>
        <w:rPr>
          <w:rFonts w:hint="eastAsia" w:eastAsia="仿宋_GB2312"/>
          <w:color w:val="000000"/>
          <w:sz w:val="32"/>
          <w:szCs w:val="32"/>
        </w:rPr>
        <w:t>满足社会管理和公共服务需要。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</w:rPr>
        <w:t>经济合理，技术先进。标准项目所包含的技术、方法先进适用，属于我市的自然条件、风俗习惯等特殊技术要求以及对我市经济、社会、生态建设具有支撑作用的通用技术要求，主要包括方法类、过程类、服务类和安全类标准（不含工程建设、食品安全、药品、工业产品以及工业产品检测方法标准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hint="eastAsia" w:eastAsia="仿宋_GB2312"/>
          <w:color w:val="000000"/>
          <w:sz w:val="32"/>
          <w:szCs w:val="32"/>
        </w:rPr>
        <w:t>统筹兼顾，协调一致。</w:t>
      </w:r>
      <w:r>
        <w:rPr>
          <w:rFonts w:eastAsia="仿宋_GB2312"/>
          <w:color w:val="000000"/>
          <w:sz w:val="32"/>
          <w:szCs w:val="32"/>
        </w:rPr>
        <w:t>加强与地方标准体系和国家标准体系的衔接，</w:t>
      </w:r>
      <w:r>
        <w:rPr>
          <w:rFonts w:hint="eastAsia" w:eastAsia="仿宋_GB2312"/>
          <w:color w:val="000000"/>
          <w:sz w:val="32"/>
          <w:szCs w:val="32"/>
        </w:rPr>
        <w:t>标准项目应与现行有效的国家标准、行业标准和我市已有的地方标准协调配套，避免重复和矛盾。属于政府管理范围的公益性标准项目，强制性地方标准严格控制在法律法规确定的范围之内。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二、立项重点</w:t>
      </w:r>
    </w:p>
    <w:p>
      <w:pPr>
        <w:pStyle w:val="3"/>
        <w:spacing w:after="0"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一</w:t>
      </w:r>
      <w:r>
        <w:rPr>
          <w:rFonts w:eastAsia="仿宋_GB2312"/>
          <w:color w:val="000000"/>
          <w:sz w:val="32"/>
          <w:szCs w:val="32"/>
        </w:rPr>
        <w:t>）京津冀区域协同。符合京津冀地域特点，在京津冀范围内普遍适用的农业、工业、服务业及社会事业等领域的标准。</w:t>
      </w:r>
    </w:p>
    <w:p>
      <w:pPr>
        <w:pStyle w:val="3"/>
        <w:spacing w:after="0"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二</w:t>
      </w:r>
      <w:r>
        <w:rPr>
          <w:rFonts w:eastAsia="仿宋_GB2312"/>
          <w:color w:val="000000"/>
          <w:sz w:val="32"/>
          <w:szCs w:val="32"/>
        </w:rPr>
        <w:t>）先进制造。以推动制造业</w:t>
      </w:r>
      <w:r>
        <w:rPr>
          <w:rFonts w:hint="eastAsia" w:eastAsia="仿宋_GB2312"/>
          <w:color w:val="000000"/>
          <w:sz w:val="32"/>
          <w:szCs w:val="32"/>
        </w:rPr>
        <w:t>高质量发展为重点，突出高端制造、智能制造、人工智能、信创等制造业和服务业融合的标准，以及推动制造业高端化、智能化、绿色化等方面的管理和服务标准。</w:t>
      </w:r>
    </w:p>
    <w:p>
      <w:pPr>
        <w:pStyle w:val="3"/>
        <w:spacing w:after="0"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农业农村。以助力实施乡村振兴战略为重点，突出数字乡村建设，都市型农业的休闲观光农业、生态农业、设施农业，现代种植养殖技术、</w:t>
      </w:r>
      <w:r>
        <w:rPr>
          <w:rFonts w:hint="eastAsia" w:eastAsia="仿宋_GB2312"/>
          <w:color w:val="000000"/>
          <w:sz w:val="32"/>
          <w:szCs w:val="32"/>
          <w:lang w:bidi="ar"/>
        </w:rPr>
        <w:t>粮食节约减损、农村改厕</w:t>
      </w:r>
      <w:r>
        <w:rPr>
          <w:rFonts w:hint="eastAsia" w:eastAsia="仿宋_GB2312"/>
          <w:color w:val="000000"/>
          <w:sz w:val="32"/>
          <w:szCs w:val="32"/>
        </w:rPr>
        <w:t>及人居环境整治等方面的标准。</w:t>
      </w:r>
    </w:p>
    <w:p>
      <w:pPr>
        <w:pStyle w:val="3"/>
        <w:spacing w:after="0"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</w:rPr>
        <w:t>（四）现代服务。生产性服务业与生活性服务业并重，以提升现代服务业发展能级和提高人民群众生活品质为重点，突出科技创新、科学普及、知识产权保护、文化创意和设计服务、物流和快递服务、</w:t>
      </w:r>
      <w:r>
        <w:rPr>
          <w:rFonts w:hint="eastAsia" w:eastAsia="仿宋_GB2312"/>
          <w:color w:val="000000"/>
          <w:sz w:val="32"/>
          <w:szCs w:val="32"/>
          <w:lang w:bidi="ar"/>
        </w:rPr>
        <w:t>文化旅游、体育健身、</w:t>
      </w:r>
      <w:r>
        <w:rPr>
          <w:rFonts w:hint="eastAsia" w:eastAsia="仿宋_GB2312"/>
          <w:sz w:val="32"/>
          <w:szCs w:val="32"/>
        </w:rPr>
        <w:t>家政服务、</w:t>
      </w:r>
      <w:r>
        <w:rPr>
          <w:rFonts w:hint="eastAsia" w:eastAsia="仿宋_GB2312"/>
          <w:color w:val="000000"/>
          <w:sz w:val="32"/>
          <w:szCs w:val="32"/>
        </w:rPr>
        <w:t>金融服务、楼宇、商贸、会展经济服务等方面的标准，</w:t>
      </w:r>
      <w:r>
        <w:rPr>
          <w:rFonts w:hint="eastAsia" w:eastAsia="仿宋_GB2312"/>
          <w:color w:val="000000"/>
          <w:sz w:val="32"/>
          <w:szCs w:val="32"/>
          <w:lang w:bidi="ar"/>
        </w:rPr>
        <w:t>以及促进节约反对餐饮浪费方面的标准。</w:t>
      </w:r>
    </w:p>
    <w:p>
      <w:pPr>
        <w:pStyle w:val="3"/>
        <w:spacing w:after="0"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（五）绿色发展。以推进“双碳”和生态环境保护为重点，突出</w:t>
      </w:r>
      <w:r>
        <w:rPr>
          <w:rFonts w:hint="eastAsia" w:eastAsia="仿宋_GB2312"/>
          <w:sz w:val="32"/>
          <w:szCs w:val="32"/>
        </w:rPr>
        <w:t>节能降碳、资源</w:t>
      </w:r>
      <w:r>
        <w:rPr>
          <w:rFonts w:eastAsia="仿宋_GB2312"/>
          <w:sz w:val="32"/>
          <w:szCs w:val="32"/>
        </w:rPr>
        <w:t>循环利用、垃圾分类回收、绿色公共机构、</w:t>
      </w:r>
      <w:r>
        <w:rPr>
          <w:rFonts w:hint="eastAsia" w:eastAsia="仿宋_GB2312"/>
          <w:sz w:val="32"/>
          <w:szCs w:val="32"/>
        </w:rPr>
        <w:t>城乡建设绿色发展、湿地保护、污染物排放以及</w:t>
      </w:r>
      <w:r>
        <w:rPr>
          <w:rFonts w:hint="eastAsia" w:hAnsi="Calibri" w:eastAsia="仿宋_GB2312"/>
          <w:kern w:val="2"/>
          <w:sz w:val="32"/>
          <w:szCs w:val="32"/>
        </w:rPr>
        <w:t>生态产品价值核算</w:t>
      </w:r>
      <w:r>
        <w:rPr>
          <w:rFonts w:hint="eastAsia" w:eastAsia="仿宋_GB2312"/>
          <w:sz w:val="32"/>
          <w:szCs w:val="32"/>
        </w:rPr>
        <w:t>等方面的标准。</w:t>
      </w:r>
    </w:p>
    <w:p>
      <w:pPr>
        <w:pStyle w:val="2"/>
        <w:spacing w:line="560" w:lineRule="exact"/>
        <w:ind w:firstLine="630"/>
        <w:jc w:val="both"/>
        <w:rPr>
          <w:rFonts w:hint="eastAsia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六</w:t>
      </w:r>
      <w:r>
        <w:rPr>
          <w:rFonts w:eastAsia="仿宋_GB2312"/>
          <w:color w:val="000000"/>
          <w:sz w:val="32"/>
          <w:szCs w:val="32"/>
        </w:rPr>
        <w:t>）公共</w:t>
      </w:r>
      <w:r>
        <w:rPr>
          <w:rFonts w:hint="eastAsia" w:eastAsia="仿宋_GB2312"/>
          <w:sz w:val="32"/>
          <w:szCs w:val="32"/>
        </w:rPr>
        <w:t>安全。以维护城市安全和社会稳定为重点，突出重大突发公共事件预警预报、气象与防灾救灾、应急与消防救援、安全生产、特种设备、</w:t>
      </w:r>
      <w:r>
        <w:rPr>
          <w:rFonts w:hint="eastAsia" w:eastAsia="仿宋_GB2312"/>
          <w:sz w:val="32"/>
          <w:szCs w:val="32"/>
          <w:lang w:bidi="ar"/>
        </w:rPr>
        <w:t>网络信息安全、网络和数据安全风险评估</w:t>
      </w:r>
      <w:r>
        <w:rPr>
          <w:rFonts w:hint="eastAsia" w:eastAsia="仿宋_GB2312"/>
          <w:sz w:val="32"/>
          <w:szCs w:val="32"/>
        </w:rPr>
        <w:t>、交通安全、基层社会治理能力等方面的标准。</w:t>
      </w:r>
    </w:p>
    <w:p>
      <w:pPr>
        <w:pStyle w:val="2"/>
        <w:numPr>
          <w:ilvl w:val="0"/>
          <w:numId w:val="1"/>
        </w:numPr>
        <w:spacing w:line="560" w:lineRule="exact"/>
        <w:ind w:firstLine="630"/>
        <w:jc w:val="both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社会事业。以加强政府精细化管理和公共服务水平为重点。</w:t>
      </w:r>
      <w:r>
        <w:rPr>
          <w:rFonts w:hint="eastAsia" w:eastAsia="仿宋_GB2312" w:cs="Times New Roman"/>
          <w:sz w:val="32"/>
          <w:szCs w:val="32"/>
        </w:rPr>
        <w:t>突出国土空间规划、智慧交通、市容环境、公用基础设施、政务服务、机关事务管理、档案管理、人力资源、社会保障与救助、公共卫生健康、养老托育、殡葬服务、残疾人和未成年人保</w:t>
      </w:r>
      <w:r>
        <w:rPr>
          <w:rFonts w:hint="eastAsia" w:eastAsia="仿宋_GB2312"/>
          <w:color w:val="000000"/>
          <w:sz w:val="32"/>
          <w:szCs w:val="32"/>
        </w:rPr>
        <w:t>护、教育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" w:eastAsia="zh-CN"/>
        </w:rPr>
        <w:t>公共文化和体育</w:t>
      </w:r>
      <w:r>
        <w:rPr>
          <w:rFonts w:hint="eastAsia" w:eastAsia="仿宋_GB2312" w:cs="Times New Roman"/>
          <w:sz w:val="32"/>
          <w:szCs w:val="32"/>
        </w:rPr>
        <w:t>等方</w:t>
      </w:r>
      <w:r>
        <w:rPr>
          <w:rFonts w:hint="eastAsia" w:eastAsia="仿宋_GB2312"/>
          <w:color w:val="000000"/>
          <w:sz w:val="32"/>
          <w:szCs w:val="32"/>
        </w:rPr>
        <w:t>面的标准。</w:t>
      </w:r>
    </w:p>
    <w:p>
      <w:pPr>
        <w:pStyle w:val="3"/>
        <w:spacing w:after="0"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三、申报要求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（一）各项目申报单位结合</w:t>
      </w:r>
      <w:r>
        <w:rPr>
          <w:rFonts w:hint="eastAsia" w:eastAsia="仿宋_GB2312"/>
          <w:color w:val="000000"/>
          <w:sz w:val="32"/>
          <w:szCs w:val="32"/>
        </w:rPr>
        <w:t>政府部门管理需求</w:t>
      </w:r>
      <w:r>
        <w:rPr>
          <w:rFonts w:eastAsia="仿宋_GB2312"/>
          <w:color w:val="000000"/>
          <w:sz w:val="32"/>
          <w:szCs w:val="32"/>
        </w:rPr>
        <w:t>，根据法律法规和现行标准体系（包括国家标准、行业标准、天津市地方标准），</w:t>
      </w:r>
      <w:r>
        <w:rPr>
          <w:rFonts w:hint="eastAsia" w:eastAsia="仿宋_GB2312"/>
          <w:color w:val="000000"/>
          <w:sz w:val="32"/>
          <w:szCs w:val="32"/>
        </w:rPr>
        <w:t>加强</w:t>
      </w:r>
      <w:r>
        <w:rPr>
          <w:rFonts w:eastAsia="仿宋_GB2312"/>
          <w:color w:val="000000"/>
          <w:sz w:val="32"/>
          <w:szCs w:val="32"/>
        </w:rPr>
        <w:t>对申报项目就法律符合性、必要性、可行性等进行论证、评估。各专业标准化技术委员会等标准化技术机构</w:t>
      </w:r>
      <w:r>
        <w:rPr>
          <w:rFonts w:hint="eastAsia" w:eastAsia="仿宋_GB2312"/>
          <w:color w:val="000000"/>
          <w:sz w:val="32"/>
          <w:szCs w:val="32"/>
        </w:rPr>
        <w:t>为申报单位和政府部门</w:t>
      </w:r>
      <w:r>
        <w:rPr>
          <w:rFonts w:eastAsia="仿宋_GB2312"/>
          <w:color w:val="000000"/>
          <w:sz w:val="32"/>
          <w:szCs w:val="32"/>
        </w:rPr>
        <w:t>做好技术支撑工作。</w:t>
      </w:r>
    </w:p>
    <w:p>
      <w:pPr>
        <w:spacing w:line="560" w:lineRule="exact"/>
        <w:ind w:firstLine="640" w:firstLineChars="200"/>
        <w:rPr>
          <w:rFonts w:hint="eastAsia" w:eastAsia="仿宋_GB2312" w:cs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</w:rPr>
        <w:t>各行业主管部门</w:t>
      </w:r>
      <w:r>
        <w:rPr>
          <w:rFonts w:eastAsia="仿宋_GB2312"/>
          <w:color w:val="000000"/>
          <w:sz w:val="32"/>
          <w:szCs w:val="32"/>
        </w:rPr>
        <w:t>及各有关单位按照《天津市地方标准管理办法（试行）》的有关</w:t>
      </w:r>
      <w:r>
        <w:rPr>
          <w:rFonts w:hint="eastAsia" w:eastAsia="仿宋_GB2312" w:cs="Times New Roman"/>
          <w:color w:val="000000"/>
          <w:sz w:val="32"/>
          <w:szCs w:val="32"/>
        </w:rPr>
        <w:t>规定，根据本行业、本部门的需要，做好项目的征集、遴选和申报等工作，复审需要修订的项目一并申报。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申报地方标准制修订计划项目，应编制《天津市地方标准制修订项目申报书》。申报书可登录天津市市场监督管理委员会网站（网址：http://scjg.tj.gov.cn）下载。下载路径为：在线服务----综合查询-----天津市地方标准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（四）</w:t>
      </w:r>
      <w:r>
        <w:rPr>
          <w:rFonts w:eastAsia="仿宋_GB2312"/>
          <w:color w:val="000000"/>
          <w:sz w:val="32"/>
          <w:szCs w:val="32"/>
        </w:rPr>
        <w:t>申报材料和申报时间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1．申报材料：地方标准申报材料由</w:t>
      </w:r>
      <w:r>
        <w:rPr>
          <w:rFonts w:hint="eastAsia" w:eastAsia="仿宋_GB2312"/>
          <w:color w:val="000000"/>
          <w:sz w:val="32"/>
          <w:szCs w:val="32"/>
        </w:rPr>
        <w:t>各行业主管部门</w:t>
      </w:r>
      <w:r>
        <w:rPr>
          <w:rFonts w:eastAsia="仿宋_GB2312"/>
          <w:color w:val="000000"/>
          <w:sz w:val="32"/>
          <w:szCs w:val="32"/>
        </w:rPr>
        <w:t>统一提交。包括：天津市地方标准制修订项目申报书（一式二份）、拟制定地方标准的草稿（一式一份）、天津市地方标准制修订项目申报汇总表（一式一份）。以上材料请同时发送电子版至指定邮箱。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2．申报时间：20</w:t>
      </w:r>
      <w:r>
        <w:rPr>
          <w:rFonts w:hint="eastAsia" w:eastAsia="仿宋_GB2312"/>
          <w:color w:val="000000"/>
          <w:sz w:val="32"/>
          <w:szCs w:val="32"/>
        </w:rPr>
        <w:t>23</w:t>
      </w:r>
      <w:r>
        <w:rPr>
          <w:rFonts w:eastAsia="仿宋_GB2312"/>
          <w:color w:val="000000"/>
          <w:sz w:val="32"/>
          <w:szCs w:val="32"/>
        </w:rPr>
        <w:t>年天津市地方标准制修订计划项目集中申报工作于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</w:rPr>
        <w:t>底</w:t>
      </w:r>
      <w:r>
        <w:rPr>
          <w:rFonts w:eastAsia="仿宋_GB2312"/>
          <w:color w:val="000000"/>
          <w:sz w:val="32"/>
          <w:szCs w:val="32"/>
        </w:rPr>
        <w:t>截止，请各行业主管部门于20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</w:rPr>
        <w:t>30</w:t>
      </w:r>
      <w:r>
        <w:rPr>
          <w:rFonts w:eastAsia="仿宋_GB2312"/>
          <w:color w:val="000000"/>
          <w:sz w:val="32"/>
          <w:szCs w:val="32"/>
        </w:rPr>
        <w:t>日前将申报材料提交</w:t>
      </w:r>
      <w:r>
        <w:rPr>
          <w:rFonts w:hint="eastAsia" w:eastAsia="仿宋_GB2312"/>
          <w:color w:val="000000"/>
          <w:sz w:val="32"/>
          <w:szCs w:val="32"/>
        </w:rPr>
        <w:t>至</w:t>
      </w:r>
      <w:r>
        <w:rPr>
          <w:rFonts w:eastAsia="仿宋_GB2312"/>
          <w:color w:val="000000"/>
          <w:sz w:val="32"/>
          <w:szCs w:val="32"/>
        </w:rPr>
        <w:t>天津市</w:t>
      </w:r>
      <w:r>
        <w:rPr>
          <w:rFonts w:hint="eastAsia" w:eastAsia="仿宋_GB2312"/>
          <w:color w:val="000000"/>
          <w:sz w:val="32"/>
          <w:szCs w:val="32"/>
        </w:rPr>
        <w:t>标准化研究院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申报材料寄送地址：</w:t>
      </w:r>
      <w:r>
        <w:rPr>
          <w:rFonts w:hint="eastAsia" w:eastAsia="仿宋_GB2312"/>
          <w:color w:val="000000"/>
          <w:sz w:val="32"/>
          <w:szCs w:val="32"/>
        </w:rPr>
        <w:t>和平区</w:t>
      </w:r>
      <w:r>
        <w:rPr>
          <w:rFonts w:eastAsia="仿宋_GB2312"/>
          <w:color w:val="000000"/>
          <w:sz w:val="32"/>
          <w:szCs w:val="32"/>
        </w:rPr>
        <w:t>解放北路34号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邮编：300041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联系人：刘</w:t>
      </w:r>
      <w:r>
        <w:rPr>
          <w:rFonts w:ascii="宋体" w:hAnsi="宋体"/>
          <w:color w:val="000000"/>
          <w:sz w:val="32"/>
          <w:szCs w:val="32"/>
        </w:rPr>
        <w:t>璟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电话： 27113030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邮箱： db</w:t>
      </w:r>
      <w:r>
        <w:rPr>
          <w:rFonts w:hint="eastAsia" w:eastAsia="仿宋_GB2312"/>
          <w:color w:val="000000"/>
          <w:sz w:val="32"/>
          <w:szCs w:val="32"/>
        </w:rPr>
        <w:t>12</w:t>
      </w:r>
      <w:r>
        <w:rPr>
          <w:rFonts w:eastAsia="仿宋_GB2312"/>
          <w:color w:val="000000"/>
          <w:sz w:val="32"/>
          <w:szCs w:val="32"/>
        </w:rPr>
        <w:t>@tjtsi.ac.cn</w:t>
      </w:r>
    </w:p>
    <w:p/>
    <w:p>
      <w:pPr>
        <w:snapToGrid w:val="0"/>
        <w:spacing w:line="600" w:lineRule="exact"/>
        <w:ind w:left="865" w:leftChars="152" w:hanging="546" w:hangingChars="195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50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8" w:rightChars="161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 xml:space="preserve"> PAGE   \* MERGEFORMAT </w:instrText>
    </w:r>
    <w:r>
      <w:rPr>
        <w:rFonts w:ascii="Times New Roman"/>
        <w:sz w:val="28"/>
        <w:szCs w:val="28"/>
      </w:rPr>
      <w:fldChar w:fldCharType="separate"/>
    </w:r>
    <w:r>
      <w:rPr>
        <w:rFonts w:ascii="Times New Roman"/>
        <w:sz w:val="28"/>
        <w:szCs w:val="28"/>
        <w:lang w:val="zh-CN"/>
      </w:rPr>
      <w:t>1</w:t>
    </w:r>
    <w:r>
      <w:rPr>
        <w:rFonts w:asci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81" w:wrap="around" w:vAnchor="text" w:hAnchor="page" w:x="1846" w:y="-342"/>
      <w:rPr>
        <w:rStyle w:val="8"/>
        <w:sz w:val="21"/>
        <w:szCs w:val="21"/>
      </w:rPr>
    </w:pPr>
    <w:r>
      <w:rPr>
        <w:rStyle w:val="8"/>
        <w:rFonts w:ascii="Times New Roman"/>
        <w:sz w:val="28"/>
        <w:szCs w:val="28"/>
      </w:rPr>
      <w:t>—</w:t>
    </w:r>
    <w:r>
      <w:rPr>
        <w:rFonts w:ascii="Times New Roman"/>
        <w:sz w:val="28"/>
        <w:szCs w:val="28"/>
      </w:rPr>
      <w:fldChar w:fldCharType="begin"/>
    </w:r>
    <w:r>
      <w:rPr>
        <w:rStyle w:val="8"/>
        <w:rFonts w:ascii="Times New Roman"/>
        <w:sz w:val="28"/>
        <w:szCs w:val="28"/>
      </w:rPr>
      <w:instrText xml:space="preserve">PAGE  </w:instrText>
    </w:r>
    <w:r>
      <w:rPr>
        <w:rFonts w:ascii="Times New Roman"/>
        <w:sz w:val="28"/>
        <w:szCs w:val="28"/>
      </w:rPr>
      <w:fldChar w:fldCharType="separate"/>
    </w:r>
    <w:r>
      <w:rPr>
        <w:rStyle w:val="8"/>
        <w:rFonts w:ascii="Times New Roman"/>
        <w:sz w:val="28"/>
        <w:szCs w:val="28"/>
      </w:rPr>
      <w:t>2</w:t>
    </w:r>
    <w:r>
      <w:rPr>
        <w:rFonts w:ascii="Times New Roman"/>
        <w:sz w:val="28"/>
        <w:szCs w:val="28"/>
      </w:rPr>
      <w:fldChar w:fldCharType="end"/>
    </w:r>
    <w:r>
      <w:rPr>
        <w:rStyle w:val="8"/>
        <w:rFonts w:ascii="Times New Roman"/>
        <w:sz w:val="28"/>
        <w:szCs w:val="28"/>
      </w:rPr>
      <w:t>—</w:t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4676A"/>
    <w:multiLevelType w:val="singleLevel"/>
    <w:tmpl w:val="9FD4676A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76"/>
    <w:rsid w:val="00013A77"/>
    <w:rsid w:val="00032CCB"/>
    <w:rsid w:val="000A1573"/>
    <w:rsid w:val="000B0B65"/>
    <w:rsid w:val="0019122F"/>
    <w:rsid w:val="00262F99"/>
    <w:rsid w:val="00287C37"/>
    <w:rsid w:val="00366459"/>
    <w:rsid w:val="003A0F9B"/>
    <w:rsid w:val="003F55F8"/>
    <w:rsid w:val="00440ED8"/>
    <w:rsid w:val="00486869"/>
    <w:rsid w:val="0057048D"/>
    <w:rsid w:val="00665993"/>
    <w:rsid w:val="00673D17"/>
    <w:rsid w:val="006B6D59"/>
    <w:rsid w:val="006D0099"/>
    <w:rsid w:val="006E223C"/>
    <w:rsid w:val="006E5960"/>
    <w:rsid w:val="00760239"/>
    <w:rsid w:val="007D15E9"/>
    <w:rsid w:val="0083579D"/>
    <w:rsid w:val="0089248B"/>
    <w:rsid w:val="008B5AB3"/>
    <w:rsid w:val="00951B0A"/>
    <w:rsid w:val="00975ED0"/>
    <w:rsid w:val="009A0415"/>
    <w:rsid w:val="009B1909"/>
    <w:rsid w:val="00A2128D"/>
    <w:rsid w:val="00AE1E76"/>
    <w:rsid w:val="00B22680"/>
    <w:rsid w:val="00B334D9"/>
    <w:rsid w:val="00B35FE3"/>
    <w:rsid w:val="00B95D37"/>
    <w:rsid w:val="00BD074F"/>
    <w:rsid w:val="00BF626F"/>
    <w:rsid w:val="00C236CC"/>
    <w:rsid w:val="00C44C38"/>
    <w:rsid w:val="00C462A7"/>
    <w:rsid w:val="00C866EA"/>
    <w:rsid w:val="00D011FE"/>
    <w:rsid w:val="00D434F9"/>
    <w:rsid w:val="00DC1E42"/>
    <w:rsid w:val="00E27C8E"/>
    <w:rsid w:val="00E52A4B"/>
    <w:rsid w:val="00E61EC4"/>
    <w:rsid w:val="00E97C80"/>
    <w:rsid w:val="00ED778E"/>
    <w:rsid w:val="00F17A1C"/>
    <w:rsid w:val="03666AB7"/>
    <w:rsid w:val="11DDEF33"/>
    <w:rsid w:val="21956592"/>
    <w:rsid w:val="3F3779BA"/>
    <w:rsid w:val="4DE31220"/>
    <w:rsid w:val="4FD787F3"/>
    <w:rsid w:val="518446B6"/>
    <w:rsid w:val="5AAFEAC8"/>
    <w:rsid w:val="5F788A83"/>
    <w:rsid w:val="5FA7B34B"/>
    <w:rsid w:val="5FDE3A23"/>
    <w:rsid w:val="6F2FEC25"/>
    <w:rsid w:val="75F1753C"/>
    <w:rsid w:val="79AF5612"/>
    <w:rsid w:val="7F6B2126"/>
    <w:rsid w:val="7F7CBCD1"/>
    <w:rsid w:val="7FFF47AD"/>
    <w:rsid w:val="BEF9FC11"/>
    <w:rsid w:val="CF7F1052"/>
    <w:rsid w:val="DBA7B78C"/>
    <w:rsid w:val="DFFDC42D"/>
    <w:rsid w:val="E35C8361"/>
    <w:rsid w:val="EFDFABDD"/>
    <w:rsid w:val="F7C6F26D"/>
    <w:rsid w:val="FBFF3E51"/>
    <w:rsid w:val="FCFDCE0C"/>
    <w:rsid w:val="FFFB2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9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/>
      <w:color w:val="00000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正文文本 字符"/>
    <w:link w:val="3"/>
    <w:qFormat/>
    <w:uiPriority w:val="0"/>
    <w:rPr>
      <w:rFonts w:ascii="Calibri" w:hAnsi="Calibri" w:eastAsia="宋体" w:cs="Times New Roman"/>
    </w:rPr>
  </w:style>
  <w:style w:type="character" w:customStyle="1" w:styleId="10">
    <w:name w:val="页脚 字符"/>
    <w:link w:val="4"/>
    <w:qFormat/>
    <w:uiPriority w:val="99"/>
    <w:rPr>
      <w:rFonts w:ascii="仿宋_GB2312" w:hAnsi="Times New Roman" w:eastAsia="仿宋_GB2312"/>
      <w:color w:val="000000"/>
      <w:kern w:val="2"/>
      <w:sz w:val="18"/>
      <w:szCs w:val="18"/>
    </w:rPr>
  </w:style>
  <w:style w:type="character" w:customStyle="1" w:styleId="11">
    <w:name w:val="页眉 字符"/>
    <w:link w:val="5"/>
    <w:semiHidden/>
    <w:qFormat/>
    <w:uiPriority w:val="99"/>
    <w:rPr>
      <w:kern w:val="2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</Words>
  <Characters>97</Characters>
  <Lines>1</Lines>
  <Paragraphs>1</Paragraphs>
  <TotalTime>6</TotalTime>
  <ScaleCrop>false</ScaleCrop>
  <LinksUpToDate>false</LinksUpToDate>
  <CharactersWithSpaces>113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2021-03-05T09:46:00Z</dcterms:created>
  <dc:creator>管理员</dc:creator>
  <cp:lastModifiedBy>greatwall</cp:lastModifiedBy>
  <dcterms:modified xsi:type="dcterms:W3CDTF">2023-03-24T13:46:50Z</dcterms:modified>
  <dc:title>天津市市场和质量监督管理委员会文件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