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A8E3C4">
      <w:pPr>
        <w:spacing w:line="580" w:lineRule="exact"/>
        <w:jc w:val="center"/>
        <w:rPr>
          <w:rFonts w:ascii="Times New Roman" w:hAnsi="Times New Roman" w:eastAsia="黑体"/>
          <w:w w:val="95"/>
          <w:sz w:val="44"/>
          <w:szCs w:val="44"/>
        </w:rPr>
      </w:pPr>
    </w:p>
    <w:p w14:paraId="75368315">
      <w:pPr>
        <w:spacing w:line="580" w:lineRule="exact"/>
        <w:jc w:val="center"/>
        <w:rPr>
          <w:rFonts w:ascii="Times New Roman" w:hAnsi="Times New Roman" w:eastAsia="黑体"/>
          <w:w w:val="95"/>
          <w:sz w:val="44"/>
          <w:szCs w:val="44"/>
        </w:rPr>
      </w:pPr>
    </w:p>
    <w:p w14:paraId="474FB543">
      <w:pPr>
        <w:spacing w:line="580" w:lineRule="exact"/>
        <w:jc w:val="center"/>
        <w:rPr>
          <w:rFonts w:ascii="Times New Roman" w:hAnsi="Times New Roman" w:eastAsia="黑体"/>
          <w:w w:val="95"/>
          <w:sz w:val="44"/>
          <w:szCs w:val="44"/>
        </w:rPr>
      </w:pPr>
    </w:p>
    <w:p w14:paraId="57E9B643">
      <w:pPr>
        <w:spacing w:line="580" w:lineRule="exact"/>
        <w:jc w:val="center"/>
        <w:rPr>
          <w:rFonts w:ascii="Times New Roman" w:hAnsi="Times New Roman" w:eastAsia="黑体"/>
          <w:w w:val="95"/>
          <w:sz w:val="44"/>
          <w:szCs w:val="44"/>
        </w:rPr>
      </w:pPr>
    </w:p>
    <w:p w14:paraId="3C0209E6">
      <w:pPr>
        <w:spacing w:line="580" w:lineRule="exact"/>
        <w:jc w:val="center"/>
        <w:rPr>
          <w:rFonts w:ascii="Times New Roman" w:hAnsi="Times New Roman" w:eastAsia="黑体"/>
          <w:w w:val="95"/>
          <w:sz w:val="44"/>
          <w:szCs w:val="44"/>
        </w:rPr>
      </w:pPr>
    </w:p>
    <w:p w14:paraId="35428310">
      <w:pPr>
        <w:spacing w:line="580" w:lineRule="exact"/>
        <w:jc w:val="center"/>
        <w:rPr>
          <w:rFonts w:ascii="Times New Roman" w:hAnsi="Times New Roman" w:eastAsia="黑体"/>
          <w:w w:val="95"/>
          <w:sz w:val="44"/>
          <w:szCs w:val="44"/>
        </w:rPr>
      </w:pPr>
    </w:p>
    <w:p w14:paraId="53AAD3BA">
      <w:pPr>
        <w:spacing w:line="580" w:lineRule="exact"/>
        <w:jc w:val="center"/>
        <w:rPr>
          <w:rFonts w:ascii="Times New Roman" w:hAnsi="Times New Roman" w:eastAsia="黑体"/>
          <w:w w:val="95"/>
          <w:sz w:val="44"/>
          <w:szCs w:val="44"/>
        </w:rPr>
      </w:pPr>
    </w:p>
    <w:p w14:paraId="5B897B62">
      <w:pPr>
        <w:spacing w:line="580" w:lineRule="exact"/>
        <w:jc w:val="center"/>
        <w:rPr>
          <w:rFonts w:ascii="Times New Roman" w:hAnsi="Times New Roman" w:eastAsia="黑体"/>
          <w:w w:val="95"/>
          <w:sz w:val="44"/>
          <w:szCs w:val="44"/>
        </w:rPr>
      </w:pPr>
    </w:p>
    <w:p w14:paraId="444F3F42">
      <w:pPr>
        <w:spacing w:line="240" w:lineRule="auto"/>
        <w:jc w:val="center"/>
        <w:rPr>
          <w:rFonts w:ascii="Times New Roman" w:hAnsi="Times New Roman" w:eastAsia="方正小标宋简体" w:cs="方正小标宋简体"/>
          <w:sz w:val="48"/>
          <w:szCs w:val="48"/>
        </w:rPr>
      </w:pPr>
      <w:r>
        <w:rPr>
          <w:rFonts w:hint="eastAsia" w:ascii="Times New Roman" w:hAnsi="Times New Roman" w:eastAsia="方正小标宋简体" w:cs="方正小标宋简体"/>
          <w:sz w:val="48"/>
          <w:szCs w:val="48"/>
        </w:rPr>
        <w:t>天津市津南区市场监督管理局12315投诉举报中心</w:t>
      </w:r>
    </w:p>
    <w:p w14:paraId="2F3AACF5">
      <w:pPr>
        <w:spacing w:line="240" w:lineRule="auto"/>
        <w:jc w:val="center"/>
        <w:rPr>
          <w:rFonts w:ascii="Times New Roman" w:hAnsi="Times New Roman" w:eastAsia="方正小标宋简体" w:cs="方正小标宋简体"/>
          <w:w w:val="95"/>
          <w:sz w:val="48"/>
          <w:szCs w:val="48"/>
        </w:rPr>
      </w:pPr>
      <w:r>
        <w:rPr>
          <w:rFonts w:hint="eastAsia" w:ascii="Times New Roman" w:hAnsi="Times New Roman" w:eastAsia="方正小标宋简体" w:cs="方正小标宋简体"/>
          <w:sz w:val="48"/>
          <w:szCs w:val="48"/>
        </w:rPr>
        <w:t>2024年度部门决算</w:t>
      </w:r>
    </w:p>
    <w:p w14:paraId="7909EEA5">
      <w:pPr>
        <w:spacing w:line="580" w:lineRule="exact"/>
        <w:jc w:val="center"/>
        <w:rPr>
          <w:rFonts w:ascii="Times New Roman" w:hAnsi="Times New Roman" w:eastAsia="黑体"/>
          <w:sz w:val="30"/>
          <w:szCs w:val="30"/>
        </w:rPr>
      </w:pPr>
    </w:p>
    <w:p w14:paraId="0D152043">
      <w:pPr>
        <w:spacing w:line="580" w:lineRule="exact"/>
        <w:jc w:val="center"/>
        <w:rPr>
          <w:rFonts w:ascii="Times New Roman" w:hAnsi="Times New Roman" w:eastAsia="黑体"/>
          <w:sz w:val="30"/>
          <w:szCs w:val="30"/>
        </w:rPr>
      </w:pPr>
    </w:p>
    <w:p w14:paraId="7E83689A">
      <w:pPr>
        <w:spacing w:line="580" w:lineRule="exact"/>
        <w:jc w:val="center"/>
        <w:rPr>
          <w:rFonts w:ascii="Times New Roman" w:hAnsi="Times New Roman" w:eastAsia="黑体"/>
          <w:sz w:val="30"/>
          <w:szCs w:val="30"/>
        </w:rPr>
      </w:pPr>
    </w:p>
    <w:p w14:paraId="1250D9FA">
      <w:pPr>
        <w:spacing w:line="580" w:lineRule="exact"/>
        <w:jc w:val="center"/>
        <w:rPr>
          <w:rFonts w:ascii="Times New Roman" w:hAnsi="Times New Roman" w:eastAsia="黑体"/>
          <w:sz w:val="30"/>
          <w:szCs w:val="30"/>
        </w:rPr>
      </w:pPr>
    </w:p>
    <w:p w14:paraId="42C71361">
      <w:pPr>
        <w:spacing w:line="580" w:lineRule="exact"/>
        <w:jc w:val="center"/>
        <w:rPr>
          <w:rFonts w:ascii="Times New Roman" w:hAnsi="Times New Roman" w:eastAsia="黑体"/>
          <w:sz w:val="30"/>
          <w:szCs w:val="30"/>
        </w:rPr>
      </w:pPr>
    </w:p>
    <w:p w14:paraId="6A3F359F">
      <w:pPr>
        <w:spacing w:line="580" w:lineRule="exact"/>
        <w:jc w:val="center"/>
        <w:rPr>
          <w:rFonts w:ascii="Times New Roman" w:hAnsi="Times New Roman" w:eastAsia="黑体"/>
          <w:sz w:val="30"/>
          <w:szCs w:val="30"/>
        </w:rPr>
      </w:pPr>
    </w:p>
    <w:p w14:paraId="15F8F63F">
      <w:pPr>
        <w:spacing w:line="580" w:lineRule="exact"/>
        <w:jc w:val="center"/>
        <w:rPr>
          <w:rFonts w:ascii="Times New Roman" w:hAnsi="Times New Roman" w:eastAsia="黑体"/>
          <w:sz w:val="30"/>
          <w:szCs w:val="30"/>
        </w:rPr>
      </w:pPr>
    </w:p>
    <w:p w14:paraId="0B0B8E6E">
      <w:pPr>
        <w:spacing w:line="580" w:lineRule="exact"/>
        <w:jc w:val="center"/>
        <w:rPr>
          <w:rFonts w:ascii="Times New Roman" w:hAnsi="Times New Roman" w:eastAsia="黑体"/>
          <w:sz w:val="30"/>
          <w:szCs w:val="30"/>
        </w:rPr>
      </w:pPr>
    </w:p>
    <w:p w14:paraId="5563C6A2">
      <w:pPr>
        <w:spacing w:line="580" w:lineRule="exact"/>
        <w:jc w:val="center"/>
        <w:rPr>
          <w:rFonts w:ascii="Times New Roman" w:hAnsi="Times New Roman" w:eastAsia="黑体"/>
          <w:sz w:val="30"/>
          <w:szCs w:val="30"/>
        </w:rPr>
      </w:pPr>
    </w:p>
    <w:p w14:paraId="6FC8294A">
      <w:pPr>
        <w:spacing w:line="580" w:lineRule="exact"/>
        <w:jc w:val="center"/>
        <w:rPr>
          <w:rFonts w:ascii="Times New Roman" w:hAnsi="Times New Roman" w:eastAsia="黑体"/>
          <w:sz w:val="30"/>
          <w:szCs w:val="30"/>
        </w:rPr>
      </w:pPr>
    </w:p>
    <w:p w14:paraId="6CE4E00F">
      <w:pPr>
        <w:spacing w:line="580" w:lineRule="exact"/>
        <w:jc w:val="center"/>
        <w:rPr>
          <w:rFonts w:ascii="Times New Roman" w:hAnsi="Times New Roman" w:eastAsia="黑体"/>
          <w:sz w:val="30"/>
          <w:szCs w:val="30"/>
        </w:rPr>
      </w:pPr>
    </w:p>
    <w:p w14:paraId="23749A1C">
      <w:pPr>
        <w:spacing w:line="580" w:lineRule="exact"/>
        <w:jc w:val="center"/>
        <w:rPr>
          <w:rFonts w:ascii="Times New Roman" w:hAnsi="Times New Roman" w:eastAsia="黑体"/>
          <w:sz w:val="44"/>
          <w:szCs w:val="44"/>
        </w:rPr>
      </w:pPr>
    </w:p>
    <w:p w14:paraId="4B48E4FC">
      <w:pPr>
        <w:spacing w:line="600" w:lineRule="exact"/>
        <w:jc w:val="center"/>
        <w:rPr>
          <w:rFonts w:ascii="Times New Roman" w:hAnsi="Times New Roman" w:eastAsia="黑体"/>
          <w:sz w:val="44"/>
          <w:szCs w:val="44"/>
        </w:rPr>
        <w:sectPr>
          <w:pgSz w:w="11906" w:h="16838"/>
          <w:pgMar w:top="1440" w:right="1800" w:bottom="1440" w:left="1800" w:header="851" w:footer="992" w:gutter="0"/>
          <w:pgNumType w:start="1"/>
          <w:cols w:space="720" w:num="1"/>
          <w:docGrid w:type="lines" w:linePitch="312" w:charSpace="0"/>
        </w:sectPr>
      </w:pPr>
    </w:p>
    <w:p w14:paraId="468575F5">
      <w:pPr>
        <w:spacing w:line="600" w:lineRule="exact"/>
        <w:jc w:val="center"/>
        <w:rPr>
          <w:rFonts w:ascii="Times New Roman" w:hAnsi="Times New Roman" w:eastAsia="黑体"/>
          <w:sz w:val="44"/>
          <w:szCs w:val="44"/>
        </w:rPr>
      </w:pPr>
    </w:p>
    <w:p w14:paraId="090B0CC0">
      <w:pPr>
        <w:spacing w:line="600" w:lineRule="exact"/>
        <w:jc w:val="center"/>
        <w:rPr>
          <w:rFonts w:ascii="Times New Roman" w:hAnsi="Times New Roman" w:eastAsia="黑体"/>
          <w:sz w:val="44"/>
          <w:szCs w:val="44"/>
        </w:rPr>
      </w:pPr>
      <w:r>
        <w:rPr>
          <w:rFonts w:hint="eastAsia" w:ascii="Times New Roman" w:hAnsi="Times New Roman" w:eastAsia="黑体"/>
          <w:sz w:val="44"/>
          <w:szCs w:val="44"/>
        </w:rPr>
        <w:t>目   录</w:t>
      </w:r>
    </w:p>
    <w:p w14:paraId="07F4E5F0">
      <w:pPr>
        <w:spacing w:line="600" w:lineRule="exact"/>
        <w:rPr>
          <w:rFonts w:ascii="Times New Roman" w:hAnsi="Times New Roman" w:eastAsia="黑体"/>
          <w:sz w:val="30"/>
          <w:szCs w:val="30"/>
        </w:rPr>
      </w:pPr>
    </w:p>
    <w:p w14:paraId="05BC2129">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700" w:lineRule="exact"/>
        <w:textAlignment w:val="auto"/>
        <w:rPr>
          <w:rFonts w:hint="eastAsia" w:ascii="Times New Roman" w:hAnsi="Times New Roman" w:eastAsia="方正小标宋简体" w:cs="方正小标宋简体"/>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TOC \o "1-3" \h \z \u </w:instrText>
      </w:r>
      <w:r>
        <w:rPr>
          <w:rFonts w:ascii="Times New Roman" w:hAnsi="Times New Roman" w:eastAsia="仿宋_GB2312" w:cs="Times New Roman"/>
          <w:sz w:val="30"/>
          <w:szCs w:val="30"/>
        </w:rPr>
        <w:fldChar w:fldCharType="separate"/>
      </w:r>
      <w:r>
        <w:fldChar w:fldCharType="begin"/>
      </w:r>
      <w:r>
        <w:instrText xml:space="preserve"> HYPERLINK \l "_Toc15895" </w:instrText>
      </w:r>
      <w:r>
        <w:fldChar w:fldCharType="separate"/>
      </w:r>
      <w:r>
        <w:rPr>
          <w:rFonts w:hint="eastAsia" w:ascii="Times New Roman" w:hAnsi="Times New Roman" w:eastAsia="方正小标宋简体" w:cs="方正小标宋简体"/>
          <w:sz w:val="30"/>
          <w:szCs w:val="30"/>
        </w:rPr>
        <w:t>第一部分  概 况</w:t>
      </w:r>
      <w:r>
        <w:rPr>
          <w:rFonts w:hint="eastAsia" w:ascii="Times New Roman" w:hAnsi="Times New Roman" w:eastAsia="方正小标宋简体" w:cs="方正小标宋简体"/>
          <w:sz w:val="30"/>
          <w:szCs w:val="30"/>
        </w:rPr>
        <w:fldChar w:fldCharType="end"/>
      </w:r>
    </w:p>
    <w:p w14:paraId="48750532">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"_Toc28346" </w:instrText>
      </w:r>
      <w:r>
        <w:fldChar w:fldCharType="separate"/>
      </w:r>
      <w:r>
        <w:rPr>
          <w:rFonts w:hint="eastAsia" w:ascii="Times New Roman" w:hAnsi="Times New Roman" w:eastAsia="仿宋_GB2312" w:cs="仿宋_GB2312"/>
          <w:bCs w:val="0"/>
          <w:sz w:val="30"/>
          <w:szCs w:val="30"/>
        </w:rPr>
        <w:t>一、主要职责</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_Toc28346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7C0C5516">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"_Toc25737" </w:instrText>
      </w:r>
      <w:r>
        <w:fldChar w:fldCharType="separate"/>
      </w:r>
      <w:r>
        <w:rPr>
          <w:rFonts w:hint="eastAsia" w:ascii="Times New Roman" w:hAnsi="Times New Roman" w:eastAsia="仿宋_GB2312" w:cs="仿宋_GB2312"/>
          <w:sz w:val="30"/>
          <w:szCs w:val="30"/>
        </w:rPr>
        <w:t>二、机构设置</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_Toc25737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67726531">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700" w:lineRule="exact"/>
        <w:textAlignment w:val="auto"/>
        <w:rPr>
          <w:rFonts w:hint="eastAsia" w:ascii="Times New Roman" w:hAnsi="Times New Roman" w:eastAsia="方正小标宋简体" w:cs="方正小标宋简体"/>
          <w:sz w:val="30"/>
          <w:szCs w:val="30"/>
        </w:rPr>
      </w:pPr>
      <w:r>
        <w:fldChar w:fldCharType="begin"/>
      </w:r>
      <w:r>
        <w:instrText xml:space="preserve"> HYPERLINK \l "_Toc25448" </w:instrText>
      </w:r>
      <w:r>
        <w:fldChar w:fldCharType="separate"/>
      </w:r>
      <w:r>
        <w:rPr>
          <w:rFonts w:hint="eastAsia" w:ascii="Times New Roman" w:hAnsi="Times New Roman" w:eastAsia="方正小标宋简体" w:cs="方正小标宋简体"/>
          <w:sz w:val="30"/>
          <w:szCs w:val="30"/>
        </w:rPr>
        <w:t>第二部分  2024年度部门决算表</w:t>
      </w:r>
      <w:r>
        <w:rPr>
          <w:rFonts w:hint="eastAsia" w:ascii="Times New Roman" w:hAnsi="Times New Roman" w:eastAsia="方正小标宋简体" w:cs="方正小标宋简体"/>
          <w:sz w:val="30"/>
          <w:szCs w:val="30"/>
        </w:rPr>
        <w:fldChar w:fldCharType="end"/>
      </w:r>
    </w:p>
    <w:p w14:paraId="5E0B7046">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"_Toc8089" </w:instrText>
      </w:r>
      <w:r>
        <w:fldChar w:fldCharType="separate"/>
      </w:r>
      <w:r>
        <w:rPr>
          <w:rFonts w:hint="eastAsia" w:ascii="Times New Roman" w:hAnsi="Times New Roman" w:eastAsia="仿宋_GB2312" w:cs="仿宋_GB2312"/>
          <w:sz w:val="30"/>
          <w:szCs w:val="30"/>
        </w:rPr>
        <w:t>一、《收入支出决算总表》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_Toc8089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3AB89582">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"_Toc29574" </w:instrText>
      </w:r>
      <w:r>
        <w:fldChar w:fldCharType="separate"/>
      </w:r>
      <w:r>
        <w:rPr>
          <w:rFonts w:hint="eastAsia" w:ascii="Times New Roman" w:hAnsi="Times New Roman" w:eastAsia="仿宋_GB2312" w:cs="仿宋_GB2312"/>
          <w:sz w:val="30"/>
          <w:szCs w:val="30"/>
        </w:rPr>
        <w:t>二、《收入决算表（按功能分类列示）》</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_Toc29574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0F5581BE">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"_Toc1392" </w:instrText>
      </w:r>
      <w:r>
        <w:fldChar w:fldCharType="separate"/>
      </w:r>
      <w:r>
        <w:rPr>
          <w:rFonts w:hint="eastAsia" w:ascii="Times New Roman" w:hAnsi="Times New Roman" w:eastAsia="仿宋_GB2312" w:cs="仿宋_GB2312"/>
          <w:sz w:val="30"/>
          <w:szCs w:val="30"/>
        </w:rPr>
        <w:t>三、《收入决算表（按单位列示）》</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_Toc1392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3116F265">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"_Toc28946" </w:instrText>
      </w:r>
      <w:r>
        <w:fldChar w:fldCharType="separate"/>
      </w:r>
      <w:r>
        <w:rPr>
          <w:rFonts w:hint="eastAsia" w:ascii="Times New Roman" w:hAnsi="Times New Roman" w:eastAsia="仿宋_GB2312" w:cs="仿宋_GB2312"/>
          <w:sz w:val="30"/>
          <w:szCs w:val="30"/>
        </w:rPr>
        <w:t>四、《支出决算表》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_Toc28946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5162AD2C">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"_Toc10939" </w:instrText>
      </w:r>
      <w:r>
        <w:fldChar w:fldCharType="separate"/>
      </w:r>
      <w:r>
        <w:rPr>
          <w:rFonts w:hint="eastAsia" w:ascii="Times New Roman" w:hAnsi="Times New Roman" w:eastAsia="仿宋_GB2312" w:cs="仿宋_GB2312"/>
          <w:sz w:val="30"/>
          <w:szCs w:val="30"/>
        </w:rPr>
        <w:t>五、《财政拨款收入支出决算总表》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_Toc10939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7E341B0F">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"_Toc9732" </w:instrText>
      </w:r>
      <w:r>
        <w:fldChar w:fldCharType="separate"/>
      </w:r>
      <w:r>
        <w:rPr>
          <w:rFonts w:hint="eastAsia" w:ascii="Times New Roman" w:hAnsi="Times New Roman" w:eastAsia="仿宋_GB2312" w:cs="仿宋_GB2312"/>
          <w:sz w:val="30"/>
          <w:szCs w:val="30"/>
        </w:rPr>
        <w:t>六、《一般公共预算财政拨款支出决算表》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_Toc9732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52D7B52F">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"_Toc8588" </w:instrText>
      </w:r>
      <w:r>
        <w:fldChar w:fldCharType="separate"/>
      </w:r>
      <w:r>
        <w:rPr>
          <w:rFonts w:hint="eastAsia" w:ascii="Times New Roman" w:hAnsi="Times New Roman" w:eastAsia="仿宋_GB2312" w:cs="仿宋_GB2312"/>
          <w:sz w:val="30"/>
          <w:szCs w:val="30"/>
        </w:rPr>
        <w:t>七、《一般公共预算财政拨款基本支出决算表》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_Toc8588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32FEDC61">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"_Toc29750" </w:instrText>
      </w:r>
      <w:r>
        <w:fldChar w:fldCharType="separate"/>
      </w:r>
      <w:r>
        <w:rPr>
          <w:rFonts w:hint="eastAsia" w:ascii="Times New Roman" w:hAnsi="Times New Roman" w:eastAsia="仿宋_GB2312" w:cs="仿宋_GB2312"/>
          <w:sz w:val="30"/>
          <w:szCs w:val="30"/>
        </w:rPr>
        <w:t>八、《政府性基金预算财政拨款收入支出决算表》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_Toc29750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03A3D755">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"_Toc17443" </w:instrText>
      </w:r>
      <w:r>
        <w:fldChar w:fldCharType="separate"/>
      </w:r>
      <w:r>
        <w:rPr>
          <w:rFonts w:hint="eastAsia" w:ascii="Times New Roman" w:hAnsi="Times New Roman" w:eastAsia="仿宋_GB2312" w:cs="仿宋_GB2312"/>
          <w:sz w:val="30"/>
          <w:szCs w:val="30"/>
        </w:rPr>
        <w:t>九、《国有资本经营预算财政拨款收入支出决算表》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_Toc17443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63811132">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"_Toc30096" </w:instrText>
      </w:r>
      <w:r>
        <w:fldChar w:fldCharType="separate"/>
      </w:r>
      <w:r>
        <w:rPr>
          <w:rFonts w:hint="eastAsia" w:ascii="Times New Roman" w:hAnsi="Times New Roman" w:eastAsia="仿宋_GB2312" w:cs="仿宋_GB2312"/>
          <w:sz w:val="30"/>
          <w:szCs w:val="30"/>
        </w:rPr>
        <w:t>十、《财政拨款“三公”经费支出决算表》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_Toc30096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365E219A">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"_Toc21214" </w:instrText>
      </w:r>
      <w:r>
        <w:fldChar w:fldCharType="separate"/>
      </w:r>
      <w:r>
        <w:rPr>
          <w:rFonts w:hint="eastAsia" w:ascii="Times New Roman" w:hAnsi="Times New Roman" w:eastAsia="仿宋_GB2312" w:cs="仿宋_GB2312"/>
          <w:sz w:val="30"/>
          <w:szCs w:val="30"/>
        </w:rPr>
        <w:t>十一、《项目支出决算表》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_Toc21214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5A8B4F75">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"_Toc9893" </w:instrText>
      </w:r>
      <w:r>
        <w:fldChar w:fldCharType="separate"/>
      </w:r>
      <w:r>
        <w:rPr>
          <w:rFonts w:hint="eastAsia" w:ascii="Times New Roman" w:hAnsi="Times New Roman" w:eastAsia="仿宋_GB2312" w:cs="仿宋_GB2312"/>
          <w:sz w:val="30"/>
          <w:szCs w:val="30"/>
        </w:rPr>
        <w:t>十二、关于空表的说明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_Toc9893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24A6FB77">
      <w:pPr>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br w:type="page"/>
      </w:r>
    </w:p>
    <w:p w14:paraId="3EE5A6A3">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700" w:lineRule="exact"/>
        <w:textAlignment w:val="auto"/>
        <w:rPr>
          <w:rFonts w:hint="eastAsia" w:ascii="Times New Roman" w:hAnsi="Times New Roman" w:eastAsia="方正小标宋简体" w:cs="方正小标宋简体"/>
          <w:sz w:val="30"/>
          <w:szCs w:val="30"/>
        </w:rPr>
      </w:pPr>
      <w:r>
        <w:fldChar w:fldCharType="begin"/>
      </w:r>
      <w:r>
        <w:instrText xml:space="preserve"> HYPERLINK \l "_Toc26351" </w:instrText>
      </w:r>
      <w:r>
        <w:fldChar w:fldCharType="separate"/>
      </w:r>
      <w:r>
        <w:rPr>
          <w:rFonts w:hint="eastAsia" w:ascii="Times New Roman" w:hAnsi="Times New Roman" w:eastAsia="方正小标宋简体" w:cs="方正小标宋简体"/>
          <w:sz w:val="30"/>
          <w:szCs w:val="30"/>
        </w:rPr>
        <w:t>第三部分  2024年度部门决算情况说明</w:t>
      </w:r>
      <w:r>
        <w:rPr>
          <w:rFonts w:hint="eastAsia" w:ascii="Times New Roman" w:hAnsi="Times New Roman" w:eastAsia="方正小标宋简体" w:cs="方正小标宋简体"/>
          <w:sz w:val="30"/>
          <w:szCs w:val="30"/>
        </w:rPr>
        <w:tab/>
      </w:r>
      <w:r>
        <w:rPr>
          <w:rFonts w:hint="eastAsia" w:ascii="Times New Roman" w:hAnsi="Times New Roman" w:eastAsia="方正小标宋简体" w:cs="方正小标宋简体"/>
          <w:sz w:val="30"/>
          <w:szCs w:val="30"/>
        </w:rPr>
        <w:fldChar w:fldCharType="begin"/>
      </w:r>
      <w:r>
        <w:rPr>
          <w:rFonts w:hint="eastAsia" w:ascii="Times New Roman" w:hAnsi="Times New Roman" w:eastAsia="方正小标宋简体" w:cs="方正小标宋简体"/>
          <w:sz w:val="30"/>
          <w:szCs w:val="30"/>
        </w:rPr>
        <w:instrText xml:space="preserve"> PAGEREF _Toc26351 \h </w:instrText>
      </w:r>
      <w:r>
        <w:rPr>
          <w:rFonts w:hint="eastAsia" w:ascii="Times New Roman" w:hAnsi="Times New Roman" w:eastAsia="方正小标宋简体" w:cs="方正小标宋简体"/>
          <w:sz w:val="30"/>
          <w:szCs w:val="30"/>
        </w:rPr>
        <w:fldChar w:fldCharType="separate"/>
      </w:r>
      <w:r>
        <w:rPr>
          <w:rFonts w:hint="eastAsia" w:ascii="Times New Roman" w:hAnsi="Times New Roman" w:eastAsia="方正小标宋简体" w:cs="方正小标宋简体"/>
          <w:sz w:val="30"/>
          <w:szCs w:val="30"/>
        </w:rPr>
        <w:t>4</w:t>
      </w:r>
      <w:r>
        <w:rPr>
          <w:rFonts w:hint="eastAsia" w:ascii="Times New Roman" w:hAnsi="Times New Roman" w:eastAsia="方正小标宋简体" w:cs="方正小标宋简体"/>
          <w:sz w:val="30"/>
          <w:szCs w:val="30"/>
        </w:rPr>
        <w:fldChar w:fldCharType="end"/>
      </w:r>
      <w:r>
        <w:rPr>
          <w:rFonts w:hint="eastAsia" w:ascii="Times New Roman" w:hAnsi="Times New Roman" w:eastAsia="方正小标宋简体" w:cs="方正小标宋简体"/>
          <w:sz w:val="30"/>
          <w:szCs w:val="30"/>
        </w:rPr>
        <w:fldChar w:fldCharType="end"/>
      </w:r>
    </w:p>
    <w:p w14:paraId="503008F7">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"_Toc14113" </w:instrText>
      </w:r>
      <w:r>
        <w:fldChar w:fldCharType="separate"/>
      </w:r>
      <w:r>
        <w:rPr>
          <w:rFonts w:hint="eastAsia" w:ascii="Times New Roman" w:hAnsi="Times New Roman" w:eastAsia="仿宋_GB2312" w:cs="仿宋_GB2312"/>
          <w:sz w:val="30"/>
          <w:szCs w:val="30"/>
        </w:rPr>
        <w:t>一、收入支出决算总体情况说明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_Toc14113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4</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4785F690">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"_Toc1931" </w:instrText>
      </w:r>
      <w:r>
        <w:fldChar w:fldCharType="separate"/>
      </w:r>
      <w:r>
        <w:rPr>
          <w:rFonts w:hint="eastAsia" w:ascii="Times New Roman" w:hAnsi="Times New Roman" w:eastAsia="仿宋_GB2312" w:cs="仿宋_GB2312"/>
          <w:sz w:val="30"/>
          <w:szCs w:val="30"/>
        </w:rPr>
        <w:t>二、收入决算情况说明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_Toc1931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4</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08222A30">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"_Toc14007" </w:instrText>
      </w:r>
      <w:r>
        <w:fldChar w:fldCharType="separate"/>
      </w:r>
      <w:r>
        <w:rPr>
          <w:rFonts w:hint="eastAsia" w:ascii="Times New Roman" w:hAnsi="Times New Roman" w:eastAsia="仿宋_GB2312" w:cs="仿宋_GB2312"/>
          <w:sz w:val="30"/>
          <w:szCs w:val="30"/>
        </w:rPr>
        <w:t>三、支出决算情况说明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_Toc14007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4</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2A0776A0">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"_Toc23974" </w:instrText>
      </w:r>
      <w:r>
        <w:fldChar w:fldCharType="separate"/>
      </w:r>
      <w:r>
        <w:rPr>
          <w:rFonts w:hint="eastAsia" w:ascii="Times New Roman" w:hAnsi="Times New Roman" w:eastAsia="仿宋_GB2312" w:cs="仿宋_GB2312"/>
          <w:sz w:val="30"/>
          <w:szCs w:val="30"/>
        </w:rPr>
        <w:t>四、财政拨款收支决算总体情况说明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_Toc23974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5</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1354EBB3">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"_Toc19057" </w:instrText>
      </w:r>
      <w:r>
        <w:fldChar w:fldCharType="separate"/>
      </w:r>
      <w:r>
        <w:rPr>
          <w:rFonts w:hint="eastAsia" w:ascii="Times New Roman" w:hAnsi="Times New Roman" w:eastAsia="仿宋_GB2312" w:cs="仿宋_GB2312"/>
          <w:sz w:val="30"/>
          <w:szCs w:val="30"/>
        </w:rPr>
        <w:t>五、一般公共预算财政拨款支出决算情况说明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_Toc19057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5</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75850C8A">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"_Toc8826" </w:instrText>
      </w:r>
      <w:r>
        <w:fldChar w:fldCharType="separate"/>
      </w:r>
      <w:r>
        <w:rPr>
          <w:rFonts w:hint="eastAsia" w:ascii="Times New Roman" w:hAnsi="Times New Roman" w:eastAsia="仿宋_GB2312" w:cs="仿宋_GB2312"/>
          <w:sz w:val="30"/>
          <w:szCs w:val="30"/>
        </w:rPr>
        <w:t>六、一般公共预算财政拨款基本支出决算情况说明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_Toc8826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7</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7C562DCD">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"_Toc13712" </w:instrText>
      </w:r>
      <w:r>
        <w:fldChar w:fldCharType="separate"/>
      </w:r>
      <w:r>
        <w:rPr>
          <w:rFonts w:hint="eastAsia" w:ascii="Times New Roman" w:hAnsi="Times New Roman" w:eastAsia="仿宋_GB2312" w:cs="仿宋_GB2312"/>
          <w:sz w:val="30"/>
          <w:szCs w:val="30"/>
        </w:rPr>
        <w:t>七、政府性基金预算财政拨款收支决算情况说明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_Toc13712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7</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6F9CCB76">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"_Toc1902" </w:instrText>
      </w:r>
      <w:r>
        <w:fldChar w:fldCharType="separate"/>
      </w:r>
      <w:r>
        <w:rPr>
          <w:rFonts w:hint="eastAsia" w:ascii="Times New Roman" w:hAnsi="Times New Roman" w:eastAsia="仿宋_GB2312" w:cs="仿宋_GB2312"/>
          <w:sz w:val="30"/>
          <w:szCs w:val="30"/>
        </w:rPr>
        <w:t>八、国有资本经营预算财政拨款收支决算情况说明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_Toc1902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8</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44E6D1B7">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"_Toc6751" </w:instrText>
      </w:r>
      <w:r>
        <w:fldChar w:fldCharType="separate"/>
      </w:r>
      <w:r>
        <w:rPr>
          <w:rFonts w:hint="eastAsia" w:ascii="Times New Roman" w:hAnsi="Times New Roman" w:eastAsia="仿宋_GB2312" w:cs="仿宋_GB2312"/>
          <w:sz w:val="30"/>
          <w:szCs w:val="30"/>
        </w:rPr>
        <w:t>九、财政拨款“三公”经费支出决算情况说明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_Toc6751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8</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0F0307D8">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"_Toc2589" </w:instrText>
      </w:r>
      <w:r>
        <w:fldChar w:fldCharType="separate"/>
      </w:r>
      <w:r>
        <w:rPr>
          <w:rFonts w:hint="eastAsia" w:ascii="Times New Roman" w:hAnsi="Times New Roman" w:eastAsia="仿宋_GB2312" w:cs="仿宋_GB2312"/>
          <w:sz w:val="30"/>
          <w:szCs w:val="30"/>
        </w:rPr>
        <w:t>十、机关运行经费支出情况说明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_Toc2589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10</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264E1CF5">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"_Toc15010" </w:instrText>
      </w:r>
      <w:r>
        <w:fldChar w:fldCharType="separate"/>
      </w:r>
      <w:r>
        <w:rPr>
          <w:rFonts w:hint="eastAsia" w:ascii="Times New Roman" w:hAnsi="Times New Roman" w:eastAsia="仿宋_GB2312" w:cs="仿宋_GB2312"/>
          <w:sz w:val="30"/>
          <w:szCs w:val="30"/>
        </w:rPr>
        <w:t>十一、政府采购支出情况说明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_Toc15010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10</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27B9C90D">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"_Toc32128" </w:instrText>
      </w:r>
      <w:r>
        <w:fldChar w:fldCharType="separate"/>
      </w:r>
      <w:r>
        <w:rPr>
          <w:rFonts w:hint="eastAsia" w:ascii="Times New Roman" w:hAnsi="Times New Roman" w:eastAsia="仿宋_GB2312" w:cs="仿宋_GB2312"/>
          <w:sz w:val="30"/>
          <w:szCs w:val="30"/>
        </w:rPr>
        <w:t>十二、国有资产占有使用情况说明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_Toc32128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10</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7831AB7D">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"_Toc31889" </w:instrText>
      </w:r>
      <w:r>
        <w:fldChar w:fldCharType="separate"/>
      </w:r>
      <w:r>
        <w:rPr>
          <w:rFonts w:hint="eastAsia" w:ascii="Times New Roman" w:hAnsi="Times New Roman" w:eastAsia="仿宋_GB2312" w:cs="仿宋_GB2312"/>
          <w:sz w:val="30"/>
          <w:szCs w:val="30"/>
        </w:rPr>
        <w:t>十三、预算绩效情况说明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_Toc31889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10</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1EBFC414">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bCs w:val="0"/>
          <w:sz w:val="30"/>
          <w:szCs w:val="30"/>
        </w:rPr>
      </w:pPr>
      <w:r>
        <w:fldChar w:fldCharType="begin"/>
      </w:r>
      <w:r>
        <w:instrText xml:space="preserve"> HYPERLINK \l "_Toc6543" </w:instrText>
      </w:r>
      <w:r>
        <w:fldChar w:fldCharType="separate"/>
      </w:r>
      <w:r>
        <w:rPr>
          <w:rFonts w:hint="eastAsia" w:ascii="Times New Roman" w:hAnsi="Times New Roman" w:eastAsia="仿宋_GB2312" w:cs="仿宋_GB2312"/>
          <w:sz w:val="30"/>
          <w:szCs w:val="30"/>
        </w:rPr>
        <w:t>十四、教育、医疗卫生、社会保障和就业、住房保障、涉农补贴等民生支出情况说明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_Toc6543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10</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753340AD">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700" w:lineRule="exact"/>
        <w:textAlignment w:val="auto"/>
        <w:rPr>
          <w:rFonts w:hint="eastAsia" w:ascii="Times New Roman" w:hAnsi="Times New Roman" w:eastAsia="方正小标宋简体" w:cs="方正小标宋简体"/>
          <w:sz w:val="30"/>
          <w:szCs w:val="30"/>
        </w:rPr>
      </w:pPr>
      <w:r>
        <w:fldChar w:fldCharType="begin"/>
      </w:r>
      <w:r>
        <w:instrText xml:space="preserve"> HYPERLINK \l "_Toc24691" </w:instrText>
      </w:r>
      <w:r>
        <w:fldChar w:fldCharType="separate"/>
      </w:r>
      <w:r>
        <w:rPr>
          <w:rFonts w:hint="eastAsia" w:ascii="Times New Roman" w:hAnsi="Times New Roman" w:eastAsia="方正小标宋简体" w:cs="方正小标宋简体"/>
          <w:sz w:val="30"/>
          <w:szCs w:val="30"/>
        </w:rPr>
        <w:t>第四部分  名词解释</w:t>
      </w:r>
      <w:r>
        <w:rPr>
          <w:rFonts w:hint="eastAsia" w:ascii="Times New Roman" w:hAnsi="Times New Roman" w:eastAsia="方正小标宋简体" w:cs="方正小标宋简体"/>
          <w:sz w:val="30"/>
          <w:szCs w:val="30"/>
        </w:rPr>
        <w:tab/>
      </w:r>
      <w:r>
        <w:rPr>
          <w:rFonts w:hint="eastAsia" w:ascii="Times New Roman" w:hAnsi="Times New Roman" w:eastAsia="方正小标宋简体" w:cs="方正小标宋简体"/>
          <w:sz w:val="30"/>
          <w:szCs w:val="30"/>
        </w:rPr>
        <w:fldChar w:fldCharType="begin"/>
      </w:r>
      <w:r>
        <w:rPr>
          <w:rFonts w:hint="eastAsia" w:ascii="Times New Roman" w:hAnsi="Times New Roman" w:eastAsia="方正小标宋简体" w:cs="方正小标宋简体"/>
          <w:sz w:val="30"/>
          <w:szCs w:val="30"/>
        </w:rPr>
        <w:instrText xml:space="preserve"> PAGEREF _Toc24691 \h </w:instrText>
      </w:r>
      <w:r>
        <w:rPr>
          <w:rFonts w:hint="eastAsia" w:ascii="Times New Roman" w:hAnsi="Times New Roman" w:eastAsia="方正小标宋简体" w:cs="方正小标宋简体"/>
          <w:sz w:val="30"/>
          <w:szCs w:val="30"/>
        </w:rPr>
        <w:fldChar w:fldCharType="separate"/>
      </w:r>
      <w:r>
        <w:rPr>
          <w:rFonts w:hint="eastAsia" w:ascii="Times New Roman" w:hAnsi="Times New Roman" w:eastAsia="方正小标宋简体" w:cs="方正小标宋简体"/>
          <w:sz w:val="30"/>
          <w:szCs w:val="30"/>
        </w:rPr>
        <w:t>11</w:t>
      </w:r>
      <w:r>
        <w:rPr>
          <w:rFonts w:hint="eastAsia" w:ascii="Times New Roman" w:hAnsi="Times New Roman" w:eastAsia="方正小标宋简体" w:cs="方正小标宋简体"/>
          <w:sz w:val="30"/>
          <w:szCs w:val="30"/>
        </w:rPr>
        <w:fldChar w:fldCharType="end"/>
      </w:r>
      <w:r>
        <w:rPr>
          <w:rFonts w:hint="eastAsia" w:ascii="Times New Roman" w:hAnsi="Times New Roman" w:eastAsia="方正小标宋简体" w:cs="方正小标宋简体"/>
          <w:sz w:val="30"/>
          <w:szCs w:val="30"/>
        </w:rPr>
        <w:fldChar w:fldCharType="end"/>
      </w:r>
    </w:p>
    <w:p w14:paraId="50AE1AC7">
      <w:pPr>
        <w:pStyle w:val="10"/>
        <w:keepNext w:val="0"/>
        <w:keepLines w:val="0"/>
        <w:pageBreakBefore w:val="0"/>
        <w:widowControl/>
        <w:tabs>
          <w:tab w:val="right" w:leader="dot" w:pos="8296"/>
        </w:tabs>
        <w:kinsoku/>
        <w:wordWrap/>
        <w:overflowPunct/>
        <w:topLinePunct w:val="0"/>
        <w:autoSpaceDE/>
        <w:autoSpaceDN/>
        <w:bidi w:val="0"/>
        <w:adjustRightInd/>
        <w:snapToGrid/>
        <w:spacing w:after="0" w:line="700" w:lineRule="exact"/>
        <w:textAlignment w:val="auto"/>
        <w:rPr>
          <w:rFonts w:ascii="Times New Roman" w:hAnsi="Times New Roman" w:eastAsia="仿宋_GB2312"/>
          <w:sz w:val="32"/>
          <w:szCs w:val="32"/>
        </w:rPr>
        <w:sectPr>
          <w:footerReference r:id="rId5" w:type="default"/>
          <w:pgSz w:w="11906" w:h="16838"/>
          <w:pgMar w:top="1440" w:right="1800" w:bottom="1440" w:left="1800" w:header="851" w:footer="992" w:gutter="0"/>
          <w:pgNumType w:start="1"/>
          <w:cols w:space="720" w:num="1"/>
          <w:docGrid w:type="lines" w:linePitch="312" w:charSpace="0"/>
        </w:sectPr>
      </w:pPr>
      <w:r>
        <w:rPr>
          <w:rFonts w:ascii="Times New Roman" w:hAnsi="Times New Roman" w:eastAsia="仿宋_GB2312"/>
          <w:szCs w:val="30"/>
        </w:rPr>
        <w:fldChar w:fldCharType="end"/>
      </w:r>
    </w:p>
    <w:p w14:paraId="42462793">
      <w:pPr>
        <w:rPr>
          <w:rFonts w:ascii="Times New Roman" w:hAnsi="Times New Roman"/>
        </w:rPr>
      </w:pPr>
    </w:p>
    <w:p w14:paraId="1868FFBB">
      <w:pPr>
        <w:pStyle w:val="2"/>
        <w:spacing w:before="0" w:after="0" w:line="600" w:lineRule="exact"/>
        <w:jc w:val="center"/>
        <w:rPr>
          <w:rFonts w:ascii="Times New Roman" w:hAnsi="Times New Roman" w:eastAsia="方正小标宋简体" w:cs="方正小标宋简体"/>
          <w:b w:val="0"/>
          <w:sz w:val="48"/>
          <w:szCs w:val="48"/>
        </w:rPr>
      </w:pPr>
    </w:p>
    <w:p w14:paraId="0F276DCC">
      <w:pPr>
        <w:pStyle w:val="2"/>
        <w:spacing w:before="0" w:after="0" w:line="600" w:lineRule="exact"/>
        <w:jc w:val="center"/>
        <w:rPr>
          <w:rFonts w:ascii="Times New Roman" w:hAnsi="Times New Roman" w:eastAsia="方正小标宋简体" w:cs="方正小标宋简体"/>
          <w:b w:val="0"/>
        </w:rPr>
      </w:pPr>
      <w:bookmarkStart w:id="0" w:name="_Toc15895"/>
      <w:r>
        <w:rPr>
          <w:rFonts w:hint="eastAsia" w:ascii="Times New Roman" w:hAnsi="Times New Roman" w:eastAsia="方正小标宋简体" w:cs="方正小标宋简体"/>
          <w:b w:val="0"/>
        </w:rPr>
        <w:t>第一部分  概 况</w:t>
      </w:r>
      <w:bookmarkEnd w:id="0"/>
    </w:p>
    <w:p w14:paraId="76ABDBCF">
      <w:pPr>
        <w:spacing w:line="600" w:lineRule="exact"/>
        <w:rPr>
          <w:rFonts w:ascii="Times New Roman" w:hAnsi="Times New Roman"/>
        </w:rPr>
      </w:pPr>
    </w:p>
    <w:p w14:paraId="3A1C96F3">
      <w:pPr>
        <w:pStyle w:val="3"/>
        <w:spacing w:before="0" w:after="0" w:line="600" w:lineRule="exact"/>
        <w:ind w:firstLine="600" w:firstLineChars="200"/>
        <w:rPr>
          <w:rFonts w:ascii="Times New Roman" w:hAnsi="Times New Roman" w:eastAsia="黑体"/>
          <w:b w:val="0"/>
          <w:bCs w:val="0"/>
          <w:sz w:val="30"/>
          <w:szCs w:val="30"/>
        </w:rPr>
      </w:pPr>
      <w:bookmarkStart w:id="1" w:name="_Toc28346"/>
      <w:r>
        <w:rPr>
          <w:rFonts w:hint="eastAsia" w:ascii="Times New Roman" w:hAnsi="Times New Roman" w:eastAsia="黑体"/>
          <w:b w:val="0"/>
          <w:bCs w:val="0"/>
          <w:sz w:val="30"/>
          <w:szCs w:val="30"/>
        </w:rPr>
        <w:t>一、主要职责</w:t>
      </w:r>
      <w:bookmarkEnd w:id="1"/>
    </w:p>
    <w:p w14:paraId="75D7C0C4">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sz w:val="30"/>
          <w:szCs w:val="30"/>
        </w:rPr>
        <w:t>承担津南区市场监督管理局投诉、举报事项的登记、分拨、汇总及相关投诉举报信息的搜集、统计、分析等工作；承担12315平台数据分析工作;在职责范围内为安全生产工作提供支持保障；完成上级部门交办的其他任务。</w:t>
      </w:r>
    </w:p>
    <w:p w14:paraId="710B0CE5">
      <w:pPr>
        <w:pStyle w:val="3"/>
        <w:spacing w:before="0" w:after="0" w:line="600" w:lineRule="exact"/>
        <w:ind w:firstLine="600" w:firstLineChars="200"/>
        <w:rPr>
          <w:rFonts w:ascii="Times New Roman" w:hAnsi="Times New Roman" w:eastAsia="黑体"/>
          <w:b w:val="0"/>
          <w:bCs w:val="0"/>
          <w:sz w:val="30"/>
          <w:szCs w:val="30"/>
        </w:rPr>
      </w:pPr>
      <w:bookmarkStart w:id="2" w:name="_Toc25737"/>
      <w:r>
        <w:rPr>
          <w:rFonts w:hint="eastAsia" w:ascii="Times New Roman" w:hAnsi="Times New Roman" w:eastAsia="黑体"/>
          <w:b w:val="0"/>
          <w:bCs w:val="0"/>
          <w:sz w:val="30"/>
          <w:szCs w:val="30"/>
        </w:rPr>
        <w:t>二、机构设置</w:t>
      </w:r>
      <w:bookmarkEnd w:id="2"/>
    </w:p>
    <w:p w14:paraId="4FFAAA65">
      <w:pPr>
        <w:spacing w:line="600" w:lineRule="exact"/>
        <w:ind w:firstLine="600" w:firstLineChars="200"/>
        <w:rPr>
          <w:rFonts w:ascii="Times New Roman" w:hAnsi="Times New Roman" w:eastAsia="楷体_GB2312"/>
          <w:b/>
          <w:sz w:val="30"/>
          <w:szCs w:val="30"/>
        </w:rPr>
      </w:pPr>
      <w:r>
        <w:rPr>
          <w:rFonts w:hint="eastAsia" w:ascii="Times New Roman" w:hAnsi="Times New Roman" w:eastAsia="仿宋_GB2312"/>
          <w:sz w:val="30"/>
          <w:szCs w:val="30"/>
        </w:rPr>
        <w:t xml:space="preserve">天津市津南区市场监督管理局12315投诉举报中心内设1个职能科室。 </w:t>
      </w:r>
      <w:r>
        <w:rPr>
          <w:rFonts w:ascii="Times New Roman" w:hAnsi="Times New Roman" w:eastAsia="楷体_GB2312"/>
          <w:b/>
          <w:sz w:val="30"/>
          <w:szCs w:val="30"/>
        </w:rPr>
        <w:br w:type="page"/>
      </w:r>
    </w:p>
    <w:p w14:paraId="5E67D29C">
      <w:pPr>
        <w:pStyle w:val="2"/>
        <w:spacing w:before="0" w:after="0" w:line="600" w:lineRule="exact"/>
        <w:jc w:val="center"/>
        <w:rPr>
          <w:rFonts w:ascii="Times New Roman" w:hAnsi="Times New Roman" w:eastAsia="方正小标宋简体" w:cs="方正小标宋简体"/>
          <w:b w:val="0"/>
        </w:rPr>
      </w:pPr>
      <w:bookmarkStart w:id="3" w:name="_Toc25448"/>
      <w:r>
        <w:rPr>
          <w:rFonts w:ascii="Times New Roman" w:hAnsi="Times New Roman" w:eastAsia="方正小标宋简体" w:cs="方正小标宋简体"/>
          <w:b w:val="0"/>
        </w:rPr>
        <w:t>第</w:t>
      </w:r>
      <w:r>
        <w:rPr>
          <w:rFonts w:hint="eastAsia" w:ascii="Times New Roman" w:hAnsi="Times New Roman" w:eastAsia="方正小标宋简体" w:cs="方正小标宋简体"/>
          <w:b w:val="0"/>
        </w:rPr>
        <w:t>二</w:t>
      </w:r>
      <w:r>
        <w:rPr>
          <w:rFonts w:ascii="Times New Roman" w:hAnsi="Times New Roman" w:eastAsia="方正小标宋简体" w:cs="方正小标宋简体"/>
          <w:b w:val="0"/>
        </w:rPr>
        <w:t xml:space="preserve">部分  </w:t>
      </w:r>
      <w:r>
        <w:rPr>
          <w:rFonts w:hint="eastAsia" w:ascii="Times New Roman" w:hAnsi="Times New Roman" w:eastAsia="方正小标宋简体" w:cs="方正小标宋简体"/>
          <w:b w:val="0"/>
        </w:rPr>
        <w:t>2024</w:t>
      </w:r>
      <w:r>
        <w:rPr>
          <w:rFonts w:ascii="Times New Roman" w:hAnsi="Times New Roman" w:eastAsia="方正小标宋简体" w:cs="方正小标宋简体"/>
          <w:b w:val="0"/>
        </w:rPr>
        <w:t>年度部门决算</w:t>
      </w:r>
      <w:r>
        <w:rPr>
          <w:rFonts w:hint="eastAsia" w:ascii="Times New Roman" w:hAnsi="Times New Roman" w:eastAsia="方正小标宋简体" w:cs="方正小标宋简体"/>
          <w:b w:val="0"/>
        </w:rPr>
        <w:t>表</w:t>
      </w:r>
      <w:bookmarkEnd w:id="3"/>
    </w:p>
    <w:p w14:paraId="5007966B">
      <w:pPr>
        <w:spacing w:line="600" w:lineRule="exact"/>
        <w:rPr>
          <w:rFonts w:ascii="Times New Roman" w:hAnsi="Times New Roman"/>
        </w:rPr>
      </w:pPr>
    </w:p>
    <w:p w14:paraId="4E22685A">
      <w:pPr>
        <w:pStyle w:val="3"/>
        <w:spacing w:before="0" w:after="0" w:line="800" w:lineRule="exact"/>
        <w:ind w:firstLine="600" w:firstLineChars="200"/>
        <w:rPr>
          <w:rFonts w:ascii="Times New Roman" w:hAnsi="Times New Roman" w:eastAsia="黑体"/>
          <w:b w:val="0"/>
          <w:sz w:val="30"/>
          <w:szCs w:val="30"/>
        </w:rPr>
      </w:pPr>
      <w:bookmarkStart w:id="4" w:name="_Toc8089"/>
      <w:r>
        <w:rPr>
          <w:rFonts w:ascii="Times New Roman" w:hAnsi="Times New Roman" w:eastAsia="黑体"/>
          <w:b w:val="0"/>
          <w:sz w:val="30"/>
          <w:szCs w:val="30"/>
        </w:rPr>
        <w:t>一</w:t>
      </w:r>
      <w:r>
        <w:rPr>
          <w:rFonts w:hint="eastAsia" w:ascii="Times New Roman" w:hAnsi="Times New Roman" w:eastAsia="黑体"/>
          <w:b w:val="0"/>
          <w:sz w:val="30"/>
          <w:szCs w:val="30"/>
        </w:rPr>
        <w:t>、</w:t>
      </w:r>
      <w:r>
        <w:rPr>
          <w:rFonts w:ascii="Times New Roman" w:hAnsi="Times New Roman" w:eastAsia="黑体"/>
          <w:b w:val="0"/>
          <w:sz w:val="30"/>
          <w:szCs w:val="30"/>
        </w:rPr>
        <w:t>《</w:t>
      </w:r>
      <w:r>
        <w:rPr>
          <w:rFonts w:hint="eastAsia" w:ascii="Times New Roman" w:hAnsi="Times New Roman" w:eastAsia="黑体"/>
          <w:b w:val="0"/>
          <w:sz w:val="30"/>
          <w:szCs w:val="30"/>
        </w:rPr>
        <w:t>收入</w:t>
      </w:r>
      <w:r>
        <w:rPr>
          <w:rFonts w:ascii="Times New Roman" w:hAnsi="Times New Roman" w:eastAsia="黑体"/>
          <w:b w:val="0"/>
          <w:sz w:val="30"/>
          <w:szCs w:val="30"/>
        </w:rPr>
        <w:t>支出</w:t>
      </w:r>
      <w:r>
        <w:rPr>
          <w:rFonts w:hint="eastAsia" w:ascii="Times New Roman" w:hAnsi="Times New Roman" w:eastAsia="黑体"/>
          <w:b w:val="0"/>
          <w:sz w:val="30"/>
          <w:szCs w:val="30"/>
        </w:rPr>
        <w:t>决算总</w:t>
      </w:r>
      <w:r>
        <w:rPr>
          <w:rFonts w:ascii="Times New Roman" w:hAnsi="Times New Roman" w:eastAsia="黑体"/>
          <w:b w:val="0"/>
          <w:sz w:val="30"/>
          <w:szCs w:val="30"/>
        </w:rPr>
        <w:t>表》</w:t>
      </w:r>
      <w:bookmarkEnd w:id="4"/>
    </w:p>
    <w:p w14:paraId="190A2A9A">
      <w:pPr>
        <w:pStyle w:val="3"/>
        <w:spacing w:before="0" w:after="0" w:line="800" w:lineRule="exact"/>
        <w:ind w:firstLine="600" w:firstLineChars="200"/>
        <w:rPr>
          <w:rFonts w:ascii="Times New Roman" w:hAnsi="Times New Roman" w:eastAsia="黑体"/>
          <w:b w:val="0"/>
          <w:sz w:val="30"/>
          <w:szCs w:val="30"/>
        </w:rPr>
      </w:pPr>
      <w:bookmarkStart w:id="5" w:name="_Toc29574"/>
      <w:r>
        <w:rPr>
          <w:rFonts w:ascii="Times New Roman" w:hAnsi="Times New Roman" w:eastAsia="黑体"/>
          <w:b w:val="0"/>
          <w:sz w:val="30"/>
          <w:szCs w:val="30"/>
        </w:rPr>
        <w:t>二、《收入</w:t>
      </w:r>
      <w:r>
        <w:rPr>
          <w:rFonts w:hint="eastAsia" w:ascii="Times New Roman" w:hAnsi="Times New Roman" w:eastAsia="黑体"/>
          <w:b w:val="0"/>
          <w:sz w:val="30"/>
          <w:szCs w:val="30"/>
        </w:rPr>
        <w:t>决算</w:t>
      </w:r>
      <w:r>
        <w:rPr>
          <w:rFonts w:ascii="Times New Roman" w:hAnsi="Times New Roman" w:eastAsia="黑体"/>
          <w:b w:val="0"/>
          <w:sz w:val="30"/>
          <w:szCs w:val="30"/>
        </w:rPr>
        <w:t>表</w:t>
      </w:r>
      <w:r>
        <w:rPr>
          <w:rFonts w:hint="eastAsia" w:ascii="Times New Roman" w:hAnsi="Times New Roman" w:eastAsia="黑体"/>
          <w:b w:val="0"/>
          <w:sz w:val="30"/>
          <w:szCs w:val="30"/>
        </w:rPr>
        <w:t>（按功能分类列示）</w:t>
      </w:r>
      <w:r>
        <w:rPr>
          <w:rFonts w:ascii="Times New Roman" w:hAnsi="Times New Roman" w:eastAsia="黑体"/>
          <w:b w:val="0"/>
          <w:sz w:val="30"/>
          <w:szCs w:val="30"/>
        </w:rPr>
        <w:t>》</w:t>
      </w:r>
      <w:bookmarkEnd w:id="5"/>
    </w:p>
    <w:p w14:paraId="36110A9F">
      <w:pPr>
        <w:pStyle w:val="3"/>
        <w:spacing w:before="0" w:after="0" w:line="800" w:lineRule="exact"/>
        <w:ind w:firstLine="600" w:firstLineChars="200"/>
        <w:rPr>
          <w:rFonts w:ascii="Times New Roman" w:hAnsi="Times New Roman" w:eastAsia="黑体"/>
          <w:b w:val="0"/>
          <w:sz w:val="30"/>
          <w:szCs w:val="30"/>
        </w:rPr>
      </w:pPr>
      <w:bookmarkStart w:id="6" w:name="_Toc1392"/>
      <w:r>
        <w:rPr>
          <w:rFonts w:hint="eastAsia" w:ascii="Times New Roman" w:hAnsi="Times New Roman" w:eastAsia="黑体"/>
          <w:b w:val="0"/>
          <w:sz w:val="30"/>
          <w:szCs w:val="30"/>
        </w:rPr>
        <w:t>三</w:t>
      </w:r>
      <w:r>
        <w:rPr>
          <w:rFonts w:ascii="Times New Roman" w:hAnsi="Times New Roman" w:eastAsia="黑体"/>
          <w:b w:val="0"/>
          <w:sz w:val="30"/>
          <w:szCs w:val="30"/>
        </w:rPr>
        <w:t>、《收入</w:t>
      </w:r>
      <w:r>
        <w:rPr>
          <w:rFonts w:hint="eastAsia" w:ascii="Times New Roman" w:hAnsi="Times New Roman" w:eastAsia="黑体"/>
          <w:b w:val="0"/>
          <w:sz w:val="30"/>
          <w:szCs w:val="30"/>
        </w:rPr>
        <w:t>决算</w:t>
      </w:r>
      <w:r>
        <w:rPr>
          <w:rFonts w:ascii="Times New Roman" w:hAnsi="Times New Roman" w:eastAsia="黑体"/>
          <w:b w:val="0"/>
          <w:sz w:val="30"/>
          <w:szCs w:val="30"/>
        </w:rPr>
        <w:t>表</w:t>
      </w:r>
      <w:r>
        <w:rPr>
          <w:rFonts w:hint="eastAsia" w:ascii="Times New Roman" w:hAnsi="Times New Roman" w:eastAsia="黑体"/>
          <w:b w:val="0"/>
          <w:sz w:val="30"/>
          <w:szCs w:val="30"/>
        </w:rPr>
        <w:t>（按单位列示）</w:t>
      </w:r>
      <w:r>
        <w:rPr>
          <w:rFonts w:ascii="Times New Roman" w:hAnsi="Times New Roman" w:eastAsia="黑体"/>
          <w:b w:val="0"/>
          <w:sz w:val="30"/>
          <w:szCs w:val="30"/>
        </w:rPr>
        <w:t>》</w:t>
      </w:r>
      <w:bookmarkEnd w:id="6"/>
    </w:p>
    <w:p w14:paraId="46D143D6">
      <w:pPr>
        <w:pStyle w:val="3"/>
        <w:spacing w:before="0" w:after="0" w:line="800" w:lineRule="exact"/>
        <w:ind w:firstLine="600" w:firstLineChars="200"/>
        <w:rPr>
          <w:rFonts w:ascii="Times New Roman" w:hAnsi="Times New Roman" w:eastAsia="黑体"/>
          <w:b w:val="0"/>
          <w:sz w:val="30"/>
          <w:szCs w:val="30"/>
        </w:rPr>
      </w:pPr>
      <w:bookmarkStart w:id="7" w:name="_Toc28946"/>
      <w:r>
        <w:rPr>
          <w:rFonts w:hint="eastAsia" w:ascii="Times New Roman" w:hAnsi="Times New Roman" w:eastAsia="黑体"/>
          <w:b w:val="0"/>
          <w:sz w:val="30"/>
          <w:szCs w:val="30"/>
        </w:rPr>
        <w:t>四、</w:t>
      </w:r>
      <w:r>
        <w:rPr>
          <w:rFonts w:ascii="Times New Roman" w:hAnsi="Times New Roman" w:eastAsia="黑体"/>
          <w:b w:val="0"/>
          <w:sz w:val="30"/>
          <w:szCs w:val="30"/>
        </w:rPr>
        <w:t>《支出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7"/>
    </w:p>
    <w:p w14:paraId="65244CEB">
      <w:pPr>
        <w:pStyle w:val="3"/>
        <w:spacing w:before="0" w:after="0" w:line="800" w:lineRule="exact"/>
        <w:ind w:firstLine="600" w:firstLineChars="200"/>
        <w:rPr>
          <w:rFonts w:ascii="Times New Roman" w:hAnsi="Times New Roman" w:eastAsia="黑体"/>
          <w:b w:val="0"/>
          <w:sz w:val="30"/>
          <w:szCs w:val="30"/>
        </w:rPr>
      </w:pPr>
      <w:bookmarkStart w:id="8" w:name="_Toc10939"/>
      <w:r>
        <w:rPr>
          <w:rFonts w:ascii="Times New Roman" w:hAnsi="Times New Roman" w:eastAsia="黑体"/>
          <w:b w:val="0"/>
          <w:sz w:val="30"/>
          <w:szCs w:val="30"/>
        </w:rPr>
        <w:t>五</w:t>
      </w:r>
      <w:r>
        <w:rPr>
          <w:rFonts w:hint="eastAsia" w:ascii="Times New Roman" w:hAnsi="Times New Roman" w:eastAsia="黑体"/>
          <w:b w:val="0"/>
          <w:sz w:val="30"/>
          <w:szCs w:val="30"/>
        </w:rPr>
        <w:t>、</w:t>
      </w:r>
      <w:r>
        <w:rPr>
          <w:rFonts w:ascii="Times New Roman" w:hAnsi="Times New Roman" w:eastAsia="黑体"/>
          <w:b w:val="0"/>
          <w:sz w:val="30"/>
          <w:szCs w:val="30"/>
        </w:rPr>
        <w:t>《财政拨款</w:t>
      </w:r>
      <w:r>
        <w:rPr>
          <w:rFonts w:hint="eastAsia" w:ascii="Times New Roman" w:hAnsi="Times New Roman" w:eastAsia="黑体"/>
          <w:b w:val="0"/>
          <w:sz w:val="30"/>
          <w:szCs w:val="30"/>
        </w:rPr>
        <w:t>收入</w:t>
      </w:r>
      <w:r>
        <w:rPr>
          <w:rFonts w:ascii="Times New Roman" w:hAnsi="Times New Roman" w:eastAsia="黑体"/>
          <w:b w:val="0"/>
          <w:sz w:val="30"/>
          <w:szCs w:val="30"/>
        </w:rPr>
        <w:t>支出</w:t>
      </w:r>
      <w:r>
        <w:rPr>
          <w:rFonts w:hint="eastAsia" w:ascii="Times New Roman" w:hAnsi="Times New Roman" w:eastAsia="黑体"/>
          <w:b w:val="0"/>
          <w:sz w:val="30"/>
          <w:szCs w:val="30"/>
        </w:rPr>
        <w:t>决算总</w:t>
      </w:r>
      <w:r>
        <w:rPr>
          <w:rFonts w:ascii="Times New Roman" w:hAnsi="Times New Roman" w:eastAsia="黑体"/>
          <w:b w:val="0"/>
          <w:sz w:val="30"/>
          <w:szCs w:val="30"/>
        </w:rPr>
        <w:t>表》</w:t>
      </w:r>
      <w:bookmarkEnd w:id="8"/>
    </w:p>
    <w:p w14:paraId="3CA7CDF4">
      <w:pPr>
        <w:pStyle w:val="3"/>
        <w:spacing w:before="0" w:after="0" w:line="800" w:lineRule="exact"/>
        <w:ind w:firstLine="600" w:firstLineChars="200"/>
        <w:rPr>
          <w:rFonts w:ascii="Times New Roman" w:hAnsi="Times New Roman" w:eastAsia="黑体"/>
          <w:b w:val="0"/>
          <w:sz w:val="30"/>
          <w:szCs w:val="30"/>
        </w:rPr>
      </w:pPr>
      <w:bookmarkStart w:id="9" w:name="_Toc9732"/>
      <w:r>
        <w:rPr>
          <w:rFonts w:ascii="Times New Roman" w:hAnsi="Times New Roman" w:eastAsia="黑体"/>
          <w:b w:val="0"/>
          <w:sz w:val="30"/>
          <w:szCs w:val="30"/>
        </w:rPr>
        <w:t>六</w:t>
      </w:r>
      <w:r>
        <w:rPr>
          <w:rFonts w:hint="eastAsia" w:ascii="Times New Roman" w:hAnsi="Times New Roman" w:eastAsia="黑体"/>
          <w:b w:val="0"/>
          <w:sz w:val="30"/>
          <w:szCs w:val="30"/>
        </w:rPr>
        <w:t>、</w:t>
      </w:r>
      <w:r>
        <w:rPr>
          <w:rFonts w:ascii="Times New Roman" w:hAnsi="Times New Roman" w:eastAsia="黑体"/>
          <w:b w:val="0"/>
          <w:sz w:val="30"/>
          <w:szCs w:val="30"/>
        </w:rPr>
        <w:t>《一般公共预算财政拨款支出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9"/>
    </w:p>
    <w:p w14:paraId="0C94E9C7">
      <w:pPr>
        <w:pStyle w:val="3"/>
        <w:spacing w:before="0" w:after="0" w:line="800" w:lineRule="exact"/>
        <w:ind w:firstLine="600" w:firstLineChars="200"/>
        <w:rPr>
          <w:rFonts w:ascii="Times New Roman" w:hAnsi="Times New Roman" w:eastAsia="黑体"/>
          <w:b w:val="0"/>
          <w:sz w:val="30"/>
          <w:szCs w:val="30"/>
        </w:rPr>
      </w:pPr>
      <w:bookmarkStart w:id="10" w:name="_Toc8588"/>
      <w:r>
        <w:rPr>
          <w:rFonts w:ascii="Times New Roman" w:hAnsi="Times New Roman" w:eastAsia="黑体"/>
          <w:b w:val="0"/>
          <w:sz w:val="30"/>
          <w:szCs w:val="30"/>
        </w:rPr>
        <w:t>七</w:t>
      </w:r>
      <w:r>
        <w:rPr>
          <w:rFonts w:hint="eastAsia" w:ascii="Times New Roman" w:hAnsi="Times New Roman" w:eastAsia="黑体"/>
          <w:b w:val="0"/>
          <w:sz w:val="30"/>
          <w:szCs w:val="30"/>
        </w:rPr>
        <w:t>、</w:t>
      </w:r>
      <w:r>
        <w:rPr>
          <w:rFonts w:ascii="Times New Roman" w:hAnsi="Times New Roman" w:eastAsia="黑体"/>
          <w:b w:val="0"/>
          <w:sz w:val="30"/>
          <w:szCs w:val="30"/>
        </w:rPr>
        <w:t>《一般公共预算财政拨款基本支出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10"/>
    </w:p>
    <w:p w14:paraId="47D92C7E">
      <w:pPr>
        <w:pStyle w:val="3"/>
        <w:spacing w:before="0" w:after="0" w:line="800" w:lineRule="exact"/>
        <w:ind w:firstLine="600" w:firstLineChars="200"/>
        <w:rPr>
          <w:rFonts w:ascii="Times New Roman" w:hAnsi="Times New Roman" w:eastAsia="黑体"/>
          <w:b w:val="0"/>
          <w:sz w:val="30"/>
          <w:szCs w:val="30"/>
        </w:rPr>
      </w:pPr>
      <w:bookmarkStart w:id="11" w:name="_Toc29750"/>
      <w:r>
        <w:rPr>
          <w:rFonts w:hint="eastAsia" w:ascii="Times New Roman" w:hAnsi="Times New Roman" w:eastAsia="黑体"/>
          <w:b w:val="0"/>
          <w:sz w:val="30"/>
          <w:szCs w:val="30"/>
        </w:rPr>
        <w:t>八、</w:t>
      </w:r>
      <w:r>
        <w:rPr>
          <w:rFonts w:ascii="Times New Roman" w:hAnsi="Times New Roman" w:eastAsia="黑体"/>
          <w:b w:val="0"/>
          <w:sz w:val="30"/>
          <w:szCs w:val="30"/>
        </w:rPr>
        <w:t>《政府性基金预算财政拨款</w:t>
      </w:r>
      <w:r>
        <w:rPr>
          <w:rFonts w:hint="eastAsia" w:ascii="Times New Roman" w:hAnsi="Times New Roman" w:eastAsia="黑体"/>
          <w:b w:val="0"/>
          <w:sz w:val="30"/>
          <w:szCs w:val="30"/>
        </w:rPr>
        <w:t>收入</w:t>
      </w:r>
      <w:r>
        <w:rPr>
          <w:rFonts w:ascii="Times New Roman" w:hAnsi="Times New Roman" w:eastAsia="黑体"/>
          <w:b w:val="0"/>
          <w:sz w:val="30"/>
          <w:szCs w:val="30"/>
        </w:rPr>
        <w:t>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11"/>
    </w:p>
    <w:p w14:paraId="718CB643">
      <w:pPr>
        <w:pStyle w:val="3"/>
        <w:spacing w:before="0" w:after="0" w:line="800" w:lineRule="exact"/>
        <w:ind w:firstLine="600" w:firstLineChars="200"/>
        <w:rPr>
          <w:rFonts w:ascii="Times New Roman" w:hAnsi="Times New Roman" w:eastAsia="黑体"/>
          <w:b w:val="0"/>
          <w:sz w:val="30"/>
          <w:szCs w:val="30"/>
        </w:rPr>
      </w:pPr>
      <w:bookmarkStart w:id="12" w:name="_Toc17443"/>
      <w:r>
        <w:rPr>
          <w:rFonts w:hint="eastAsia" w:ascii="Times New Roman" w:hAnsi="Times New Roman" w:eastAsia="黑体"/>
          <w:b w:val="0"/>
          <w:sz w:val="30"/>
          <w:szCs w:val="30"/>
        </w:rPr>
        <w:t>九、</w:t>
      </w:r>
      <w:r>
        <w:rPr>
          <w:rFonts w:ascii="Times New Roman" w:hAnsi="Times New Roman" w:eastAsia="黑体"/>
          <w:b w:val="0"/>
          <w:sz w:val="30"/>
          <w:szCs w:val="30"/>
        </w:rPr>
        <w:t>《国有资本经营预算财政拨款</w:t>
      </w:r>
      <w:r>
        <w:rPr>
          <w:rFonts w:hint="eastAsia" w:ascii="Times New Roman" w:hAnsi="Times New Roman" w:eastAsia="黑体"/>
          <w:b w:val="0"/>
          <w:sz w:val="30"/>
          <w:szCs w:val="30"/>
        </w:rPr>
        <w:t>收入支出决算</w:t>
      </w:r>
      <w:r>
        <w:rPr>
          <w:rFonts w:ascii="Times New Roman" w:hAnsi="Times New Roman" w:eastAsia="黑体"/>
          <w:b w:val="0"/>
          <w:sz w:val="30"/>
          <w:szCs w:val="30"/>
        </w:rPr>
        <w:t>表》</w:t>
      </w:r>
      <w:bookmarkEnd w:id="12"/>
    </w:p>
    <w:p w14:paraId="3E391609">
      <w:pPr>
        <w:pStyle w:val="3"/>
        <w:spacing w:before="0" w:after="0" w:line="800" w:lineRule="exact"/>
        <w:ind w:firstLine="600" w:firstLineChars="200"/>
        <w:rPr>
          <w:rFonts w:ascii="Times New Roman" w:hAnsi="Times New Roman" w:eastAsia="黑体"/>
          <w:b w:val="0"/>
          <w:sz w:val="30"/>
          <w:szCs w:val="30"/>
        </w:rPr>
      </w:pPr>
      <w:bookmarkStart w:id="13" w:name="_Toc30096"/>
      <w:r>
        <w:rPr>
          <w:rFonts w:hint="eastAsia" w:ascii="Times New Roman" w:hAnsi="Times New Roman" w:eastAsia="黑体"/>
          <w:b w:val="0"/>
          <w:sz w:val="30"/>
          <w:szCs w:val="30"/>
        </w:rPr>
        <w:t>十、</w:t>
      </w:r>
      <w:r>
        <w:rPr>
          <w:rFonts w:ascii="Times New Roman" w:hAnsi="Times New Roman" w:eastAsia="黑体"/>
          <w:b w:val="0"/>
          <w:sz w:val="30"/>
          <w:szCs w:val="30"/>
        </w:rPr>
        <w:t>《财政拨款“三公”经费支出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13"/>
    </w:p>
    <w:p w14:paraId="2F0F2E1D">
      <w:pPr>
        <w:pStyle w:val="3"/>
        <w:spacing w:before="0" w:after="0" w:line="800" w:lineRule="exact"/>
        <w:ind w:firstLine="600" w:firstLineChars="200"/>
        <w:rPr>
          <w:rFonts w:ascii="Times New Roman" w:hAnsi="Times New Roman" w:eastAsia="黑体"/>
          <w:b w:val="0"/>
          <w:sz w:val="30"/>
          <w:szCs w:val="30"/>
        </w:rPr>
      </w:pPr>
      <w:bookmarkStart w:id="14" w:name="_Toc21214"/>
      <w:r>
        <w:rPr>
          <w:rFonts w:ascii="Times New Roman" w:hAnsi="Times New Roman" w:eastAsia="黑体"/>
          <w:b w:val="0"/>
          <w:sz w:val="30"/>
          <w:szCs w:val="30"/>
        </w:rPr>
        <w:t>十</w:t>
      </w:r>
      <w:r>
        <w:rPr>
          <w:rFonts w:hint="eastAsia" w:ascii="Times New Roman" w:hAnsi="Times New Roman" w:eastAsia="黑体"/>
          <w:b w:val="0"/>
          <w:sz w:val="30"/>
          <w:szCs w:val="30"/>
        </w:rPr>
        <w:t>一、</w:t>
      </w:r>
      <w:r>
        <w:rPr>
          <w:rFonts w:ascii="Times New Roman" w:hAnsi="Times New Roman" w:eastAsia="黑体"/>
          <w:b w:val="0"/>
          <w:sz w:val="30"/>
          <w:szCs w:val="30"/>
        </w:rPr>
        <w:t>《项目支出决算表》</w:t>
      </w:r>
      <w:bookmarkEnd w:id="14"/>
    </w:p>
    <w:p w14:paraId="2794261F">
      <w:pPr>
        <w:spacing w:line="800" w:lineRule="exact"/>
        <w:ind w:left="600" w:hanging="600" w:hangingChars="200"/>
        <w:rPr>
          <w:rFonts w:hint="eastAsia" w:ascii="Times New Roman" w:hAnsi="Times New Roman" w:eastAsia="楷体"/>
          <w:sz w:val="30"/>
          <w:szCs w:val="30"/>
        </w:rPr>
      </w:pPr>
      <w:r>
        <w:rPr>
          <w:rFonts w:hint="eastAsia" w:ascii="Times New Roman" w:hAnsi="Times New Roman" w:eastAsia="楷体"/>
          <w:sz w:val="30"/>
          <w:szCs w:val="30"/>
        </w:rPr>
        <w:t>注：以上决算公开表均作为附表，附于决算公开说明文档后。</w:t>
      </w:r>
    </w:p>
    <w:p w14:paraId="01D37A2E">
      <w:pPr>
        <w:pStyle w:val="3"/>
        <w:spacing w:before="0" w:after="0" w:line="800" w:lineRule="exact"/>
        <w:ind w:firstLine="600" w:firstLineChars="200"/>
        <w:rPr>
          <w:rFonts w:ascii="Times New Roman" w:hAnsi="Times New Roman" w:eastAsia="黑体"/>
          <w:b w:val="0"/>
          <w:sz w:val="30"/>
          <w:szCs w:val="30"/>
        </w:rPr>
      </w:pPr>
      <w:bookmarkStart w:id="15" w:name="_Toc9893"/>
      <w:r>
        <w:rPr>
          <w:rFonts w:hint="eastAsia" w:ascii="Times New Roman" w:hAnsi="Times New Roman" w:eastAsia="黑体"/>
          <w:b w:val="0"/>
          <w:sz w:val="30"/>
          <w:szCs w:val="30"/>
        </w:rPr>
        <w:t>十二、关于空表的说明</w:t>
      </w:r>
      <w:bookmarkEnd w:id="15"/>
    </w:p>
    <w:p w14:paraId="2902ECD0">
      <w:pPr>
        <w:spacing w:line="600" w:lineRule="exact"/>
        <w:ind w:firstLine="600" w:firstLineChars="200"/>
        <w:jc w:val="both"/>
        <w:rPr>
          <w:rFonts w:ascii="Times New Roman" w:hAnsi="Times New Roman" w:eastAsia="仿宋_GB2312"/>
          <w:sz w:val="30"/>
          <w:szCs w:val="30"/>
        </w:rPr>
        <w:sectPr>
          <w:footerReference r:id="rId6" w:type="default"/>
          <w:pgSz w:w="11906" w:h="16838"/>
          <w:pgMar w:top="1440" w:right="1800" w:bottom="1440" w:left="1800" w:header="851" w:footer="992" w:gutter="0"/>
          <w:pgNumType w:start="1"/>
          <w:cols w:space="720" w:num="1"/>
          <w:docGrid w:type="lines" w:linePitch="312" w:charSpace="0"/>
        </w:sectPr>
      </w:pPr>
      <w:r>
        <w:rPr>
          <w:rFonts w:hint="eastAsia" w:ascii="Times New Roman" w:hAnsi="Times New Roman" w:eastAsia="仿宋_GB2312"/>
          <w:sz w:val="30"/>
          <w:szCs w:val="30"/>
        </w:rPr>
        <w:t>1.天津市津南区市场监督管理局12315投诉举报中心2024年度政府性基金预算财政拨款收入支出决算表为空表。</w:t>
      </w:r>
      <w:r>
        <w:rPr>
          <w:rFonts w:hint="eastAsia" w:ascii="Times New Roman" w:hAnsi="Times New Roman" w:eastAsia="仿宋_GB2312"/>
          <w:sz w:val="30"/>
          <w:szCs w:val="30"/>
        </w:rPr>
        <w:br w:type="textWrapping"/>
      </w:r>
      <w:r>
        <w:rPr>
          <w:rFonts w:hint="eastAsia" w:ascii="Times New Roman" w:hAnsi="Times New Roman" w:eastAsia="仿宋_GB2312"/>
          <w:sz w:val="30"/>
          <w:szCs w:val="30"/>
        </w:rPr>
        <w:t>　　2.天津市津南区市场监督管理局12315投诉举报中心2024年度国有资本经营预算财政拨款收入支出决算表为空表。</w:t>
      </w:r>
      <w:r>
        <w:rPr>
          <w:rFonts w:hint="eastAsia" w:ascii="Times New Roman" w:hAnsi="Times New Roman" w:eastAsia="仿宋_GB2312"/>
          <w:sz w:val="30"/>
          <w:szCs w:val="30"/>
        </w:rPr>
        <w:br w:type="textWrapping"/>
      </w:r>
      <w:r>
        <w:rPr>
          <w:rFonts w:hint="eastAsia" w:ascii="Times New Roman" w:hAnsi="Times New Roman" w:eastAsia="仿宋_GB2312"/>
          <w:sz w:val="30"/>
          <w:szCs w:val="30"/>
        </w:rPr>
        <w:t>　　3.天津市津南区市场监督管理局12315投诉举报中心2024年度财政拨款“三公”经费支出决算表为空表。</w:t>
      </w:r>
      <w:r>
        <w:rPr>
          <w:rFonts w:hint="eastAsia" w:ascii="Times New Roman" w:hAnsi="Times New Roman" w:eastAsia="仿宋_GB2312"/>
          <w:sz w:val="30"/>
          <w:szCs w:val="30"/>
        </w:rPr>
        <w:br w:type="textWrapping"/>
      </w:r>
      <w:r>
        <w:rPr>
          <w:rFonts w:hint="eastAsia" w:ascii="Times New Roman" w:hAnsi="Times New Roman" w:eastAsia="仿宋_GB2312"/>
          <w:sz w:val="30"/>
          <w:szCs w:val="30"/>
        </w:rPr>
        <w:t>　　4.天津市津南区市场监督管理局12315投诉举报中心202</w:t>
      </w:r>
      <w:r>
        <w:rPr>
          <w:rFonts w:hint="eastAsia" w:eastAsia="仿宋_GB2312"/>
          <w:sz w:val="30"/>
          <w:szCs w:val="30"/>
          <w:lang w:val="en-US" w:eastAsia="zh-CN"/>
        </w:rPr>
        <w:t>4</w:t>
      </w:r>
      <w:r>
        <w:rPr>
          <w:rFonts w:hint="eastAsia" w:ascii="Times New Roman" w:hAnsi="Times New Roman" w:eastAsia="仿宋_GB2312"/>
          <w:sz w:val="30"/>
          <w:szCs w:val="30"/>
        </w:rPr>
        <w:t>年度项目支出决算表为空表。</w:t>
      </w:r>
    </w:p>
    <w:p w14:paraId="65FE891C">
      <w:pPr>
        <w:spacing w:line="600" w:lineRule="exact"/>
        <w:rPr>
          <w:rFonts w:ascii="Times New Roman" w:hAnsi="Times New Roman" w:eastAsia="仿宋_GB2312"/>
          <w:sz w:val="30"/>
          <w:szCs w:val="30"/>
        </w:rPr>
      </w:pPr>
    </w:p>
    <w:p w14:paraId="70DEE3BE">
      <w:pPr>
        <w:pStyle w:val="2"/>
        <w:spacing w:before="0" w:after="0" w:line="600" w:lineRule="exact"/>
        <w:jc w:val="center"/>
        <w:rPr>
          <w:rFonts w:ascii="Times New Roman" w:hAnsi="Times New Roman" w:eastAsia="方正小标宋简体" w:cs="方正小标宋简体"/>
          <w:b w:val="0"/>
        </w:rPr>
      </w:pPr>
      <w:bookmarkStart w:id="16" w:name="_Toc26351"/>
      <w:r>
        <w:rPr>
          <w:rFonts w:ascii="Times New Roman" w:hAnsi="Times New Roman" w:eastAsia="方正小标宋简体" w:cs="方正小标宋简体"/>
          <w:b w:val="0"/>
        </w:rPr>
        <w:t>第</w:t>
      </w:r>
      <w:r>
        <w:rPr>
          <w:rFonts w:hint="eastAsia" w:ascii="Times New Roman" w:hAnsi="Times New Roman" w:eastAsia="方正小标宋简体" w:cs="方正小标宋简体"/>
          <w:b w:val="0"/>
        </w:rPr>
        <w:t>三</w:t>
      </w:r>
      <w:r>
        <w:rPr>
          <w:rFonts w:ascii="Times New Roman" w:hAnsi="Times New Roman" w:eastAsia="方正小标宋简体" w:cs="方正小标宋简体"/>
          <w:b w:val="0"/>
        </w:rPr>
        <w:t xml:space="preserve">部分 </w:t>
      </w:r>
      <w:bookmarkStart w:id="33" w:name="_GoBack"/>
      <w:bookmarkEnd w:id="33"/>
      <w:r>
        <w:rPr>
          <w:rFonts w:ascii="Times New Roman" w:hAnsi="Times New Roman" w:eastAsia="方正小标宋简体" w:cs="方正小标宋简体"/>
          <w:b w:val="0"/>
        </w:rPr>
        <w:t xml:space="preserve"> </w:t>
      </w:r>
      <w:r>
        <w:rPr>
          <w:rFonts w:hint="eastAsia" w:ascii="Times New Roman" w:hAnsi="Times New Roman" w:eastAsia="方正小标宋简体" w:cs="方正小标宋简体"/>
          <w:b w:val="0"/>
        </w:rPr>
        <w:t>2024</w:t>
      </w:r>
      <w:r>
        <w:rPr>
          <w:rFonts w:ascii="Times New Roman" w:hAnsi="Times New Roman" w:eastAsia="方正小标宋简体" w:cs="方正小标宋简体"/>
          <w:b w:val="0"/>
        </w:rPr>
        <w:t>年度部门决算</w:t>
      </w:r>
      <w:r>
        <w:rPr>
          <w:rFonts w:hint="eastAsia" w:ascii="Times New Roman" w:hAnsi="Times New Roman" w:eastAsia="方正小标宋简体" w:cs="方正小标宋简体"/>
          <w:b w:val="0"/>
        </w:rPr>
        <w:t>情况</w:t>
      </w:r>
      <w:r>
        <w:rPr>
          <w:rFonts w:ascii="Times New Roman" w:hAnsi="Times New Roman" w:eastAsia="方正小标宋简体" w:cs="方正小标宋简体"/>
          <w:b w:val="0"/>
        </w:rPr>
        <w:t>说明</w:t>
      </w:r>
      <w:bookmarkEnd w:id="16"/>
    </w:p>
    <w:p w14:paraId="31D3D16E">
      <w:pPr>
        <w:spacing w:line="600" w:lineRule="exact"/>
        <w:ind w:firstLine="600" w:firstLineChars="200"/>
        <w:rPr>
          <w:rFonts w:ascii="Times New Roman" w:hAnsi="Times New Roman" w:eastAsia="黑体"/>
          <w:sz w:val="30"/>
          <w:szCs w:val="30"/>
        </w:rPr>
      </w:pPr>
    </w:p>
    <w:p w14:paraId="261647E6">
      <w:pPr>
        <w:pStyle w:val="3"/>
        <w:spacing w:before="0" w:after="0" w:line="600" w:lineRule="exact"/>
        <w:ind w:firstLine="600" w:firstLineChars="200"/>
        <w:rPr>
          <w:rFonts w:ascii="Times New Roman" w:hAnsi="Times New Roman" w:eastAsia="黑体"/>
          <w:b w:val="0"/>
          <w:sz w:val="30"/>
          <w:szCs w:val="30"/>
        </w:rPr>
      </w:pPr>
      <w:bookmarkStart w:id="17" w:name="_Toc14113"/>
      <w:r>
        <w:rPr>
          <w:rFonts w:hint="eastAsia" w:ascii="Times New Roman" w:hAnsi="Times New Roman" w:eastAsia="黑体"/>
          <w:b w:val="0"/>
          <w:sz w:val="30"/>
          <w:szCs w:val="30"/>
        </w:rPr>
        <w:t>一、收入支出决算总体情况说明</w:t>
      </w:r>
      <w:bookmarkEnd w:id="17"/>
    </w:p>
    <w:p w14:paraId="3FD0FB5A">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天津市津南区市场监督管理局12315投诉举报中心2024年度收入、支出决算总计945,479.83元。与2023年度相比，收、支总计各减少71,024.96元，下降7%，主要原因是根据财政要求压缩开支，物业管理费、办公费减少。</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收入包括：一般公共预算财政拨款收入945,148.35元、其他收入171.39元。</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支出包括：一般公共服务支出（类）支出744,956.67元、社会保障和就业支出（类）支出94,708.8元、卫生健康支出（类）支出44,062.36元、住房保障支出（类）支出61,752元。</w:t>
      </w:r>
    </w:p>
    <w:p w14:paraId="4F477965">
      <w:pPr>
        <w:pStyle w:val="3"/>
        <w:spacing w:before="0" w:after="0" w:line="600" w:lineRule="exact"/>
        <w:ind w:firstLine="600" w:firstLineChars="200"/>
        <w:rPr>
          <w:rFonts w:ascii="Times New Roman" w:hAnsi="Times New Roman" w:eastAsia="黑体" w:cs="仿宋_GB2312"/>
          <w:b w:val="0"/>
          <w:sz w:val="30"/>
          <w:szCs w:val="30"/>
        </w:rPr>
      </w:pPr>
      <w:bookmarkStart w:id="18" w:name="_Toc1931"/>
      <w:r>
        <w:rPr>
          <w:rFonts w:hint="eastAsia" w:ascii="Times New Roman" w:hAnsi="Times New Roman" w:eastAsia="黑体" w:cs="仿宋_GB2312"/>
          <w:b w:val="0"/>
          <w:sz w:val="30"/>
          <w:szCs w:val="30"/>
        </w:rPr>
        <w:t>二、收入决算情况说明</w:t>
      </w:r>
      <w:bookmarkEnd w:id="18"/>
    </w:p>
    <w:p w14:paraId="0408FF65">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天津市津南区市场监督管理局12315投诉举报中心2024年度本年收入合计945,319.74元。与2023年度相比减少21,644.35元，主要原因是根据财政要求压缩开支，物业管理费、办公费减少。其中：一般公共预算财政拨款收入945,148.35元，占100%；其他收入171.39元，占0%。</w:t>
      </w:r>
    </w:p>
    <w:p w14:paraId="683A8827">
      <w:pPr>
        <w:pStyle w:val="3"/>
        <w:spacing w:before="0" w:after="0" w:line="600" w:lineRule="exact"/>
        <w:ind w:firstLine="600" w:firstLineChars="200"/>
        <w:rPr>
          <w:rFonts w:ascii="Times New Roman" w:hAnsi="Times New Roman" w:eastAsia="黑体" w:cs="仿宋_GB2312"/>
          <w:b w:val="0"/>
          <w:sz w:val="30"/>
          <w:szCs w:val="30"/>
        </w:rPr>
      </w:pPr>
      <w:bookmarkStart w:id="19" w:name="_Toc14007"/>
      <w:r>
        <w:rPr>
          <w:rFonts w:hint="eastAsia" w:ascii="Times New Roman" w:hAnsi="Times New Roman" w:eastAsia="黑体" w:cs="仿宋_GB2312"/>
          <w:b w:val="0"/>
          <w:sz w:val="30"/>
          <w:szCs w:val="30"/>
        </w:rPr>
        <w:t>三、</w:t>
      </w:r>
      <w:r>
        <w:rPr>
          <w:rFonts w:ascii="Times New Roman" w:hAnsi="Times New Roman" w:eastAsia="黑体" w:cs="仿宋_GB2312"/>
          <w:b w:val="0"/>
          <w:sz w:val="30"/>
          <w:szCs w:val="30"/>
        </w:rPr>
        <w:t>支出</w:t>
      </w:r>
      <w:r>
        <w:rPr>
          <w:rFonts w:hint="eastAsia" w:ascii="Times New Roman" w:hAnsi="Times New Roman" w:eastAsia="黑体" w:cs="仿宋_GB2312"/>
          <w:b w:val="0"/>
          <w:sz w:val="30"/>
          <w:szCs w:val="30"/>
        </w:rPr>
        <w:t>决算</w:t>
      </w:r>
      <w:r>
        <w:rPr>
          <w:rFonts w:ascii="Times New Roman" w:hAnsi="Times New Roman" w:eastAsia="黑体" w:cs="仿宋_GB2312"/>
          <w:b w:val="0"/>
          <w:sz w:val="30"/>
          <w:szCs w:val="30"/>
        </w:rPr>
        <w:t>情况</w:t>
      </w:r>
      <w:r>
        <w:rPr>
          <w:rFonts w:hint="eastAsia" w:ascii="Times New Roman" w:hAnsi="Times New Roman" w:eastAsia="黑体" w:cs="仿宋_GB2312"/>
          <w:b w:val="0"/>
          <w:sz w:val="30"/>
          <w:szCs w:val="30"/>
        </w:rPr>
        <w:t>说明</w:t>
      </w:r>
      <w:bookmarkEnd w:id="19"/>
    </w:p>
    <w:p w14:paraId="28861E6E">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天津市津南区市场监督管理局12315投诉举报中心2024年度本年支出合计945,479.83元。与2023年度相比减少18,747.12元，主要原因是根据财政要求压缩开支，物业管理费、办公费减少。其中：基本支出945,479.83元，占100%。</w:t>
      </w:r>
    </w:p>
    <w:p w14:paraId="3C4A28C5">
      <w:pPr>
        <w:pStyle w:val="3"/>
        <w:spacing w:before="0" w:after="0" w:line="600" w:lineRule="exact"/>
        <w:ind w:firstLine="600" w:firstLineChars="200"/>
        <w:rPr>
          <w:rFonts w:ascii="Times New Roman" w:hAnsi="Times New Roman" w:eastAsia="黑体"/>
          <w:b w:val="0"/>
          <w:sz w:val="30"/>
          <w:szCs w:val="30"/>
        </w:rPr>
      </w:pPr>
      <w:bookmarkStart w:id="20" w:name="_Toc23974"/>
      <w:r>
        <w:rPr>
          <w:rFonts w:hint="eastAsia" w:ascii="Times New Roman" w:hAnsi="Times New Roman" w:eastAsia="黑体"/>
          <w:b w:val="0"/>
          <w:sz w:val="30"/>
          <w:szCs w:val="30"/>
        </w:rPr>
        <w:t>四、财政拨款收支决算总体情况说明</w:t>
      </w:r>
      <w:bookmarkEnd w:id="20"/>
    </w:p>
    <w:p w14:paraId="040AD9FF">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天津市津南区市场监督管理局12315投诉举报中心2024年度财政拨款收入、支出决算总计945,148.35元。与2023年度相比，财政拨款收、支总计各减少21,343.67元，下降2.2%，主要原因是根据财政要求压缩开支，物业管理费、办公费减少。</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收入包括：一般公共预算财政拨款收入945,148.35元。</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支出包括：一般公共服务支出（类）支出744,625.19元、社会保障和就业支出（类）支出94,708.8元、卫生健康支出（类）支出44,062.36元、住房保障支出（类）支出61,752元。</w:t>
      </w:r>
    </w:p>
    <w:p w14:paraId="2F59C99B">
      <w:pPr>
        <w:pStyle w:val="3"/>
        <w:spacing w:before="0" w:after="0" w:line="600" w:lineRule="exact"/>
        <w:ind w:firstLine="600" w:firstLineChars="200"/>
        <w:rPr>
          <w:rFonts w:ascii="Times New Roman" w:hAnsi="Times New Roman" w:eastAsia="黑体"/>
          <w:b w:val="0"/>
          <w:sz w:val="30"/>
          <w:szCs w:val="30"/>
        </w:rPr>
      </w:pPr>
      <w:bookmarkStart w:id="21" w:name="_Toc19057"/>
      <w:r>
        <w:rPr>
          <w:rFonts w:ascii="Times New Roman" w:hAnsi="Times New Roman" w:eastAsia="黑体"/>
          <w:b w:val="0"/>
          <w:sz w:val="30"/>
          <w:szCs w:val="30"/>
        </w:rPr>
        <w:t>五</w:t>
      </w:r>
      <w:r>
        <w:rPr>
          <w:rFonts w:hint="eastAsia" w:ascii="Times New Roman" w:hAnsi="Times New Roman" w:eastAsia="黑体"/>
          <w:b w:val="0"/>
          <w:sz w:val="30"/>
          <w:szCs w:val="30"/>
        </w:rPr>
        <w:t>、</w:t>
      </w:r>
      <w:r>
        <w:rPr>
          <w:rFonts w:ascii="Times New Roman" w:hAnsi="Times New Roman" w:eastAsia="黑体"/>
          <w:b w:val="0"/>
          <w:sz w:val="30"/>
          <w:szCs w:val="30"/>
        </w:rPr>
        <w:t>一般公共预算财政拨款支出决算情况</w:t>
      </w:r>
      <w:r>
        <w:rPr>
          <w:rFonts w:hint="eastAsia" w:ascii="Times New Roman" w:hAnsi="Times New Roman" w:eastAsia="黑体"/>
          <w:b w:val="0"/>
          <w:sz w:val="30"/>
          <w:szCs w:val="30"/>
        </w:rPr>
        <w:t>说明</w:t>
      </w:r>
      <w:bookmarkEnd w:id="21"/>
    </w:p>
    <w:p w14:paraId="2297FB1A">
      <w:pPr>
        <w:keepNext w:val="0"/>
        <w:keepLines w:val="0"/>
        <w:pageBreakBefore w:val="0"/>
        <w:widowControl w:val="0"/>
        <w:kinsoku/>
        <w:wordWrap/>
        <w:overflowPunct/>
        <w:topLinePunct w:val="0"/>
        <w:autoSpaceDE/>
        <w:autoSpaceDN/>
        <w:bidi w:val="0"/>
        <w:adjustRightInd w:val="0"/>
        <w:snapToGrid/>
        <w:spacing w:line="600" w:lineRule="exact"/>
        <w:ind w:left="0" w:leftChars="0" w:firstLine="602" w:firstLineChars="200"/>
        <w:textAlignment w:val="baseline"/>
        <w:rPr>
          <w:rFonts w:ascii="Times New Roman" w:hAnsi="Times New Roman" w:eastAsia="楷体" w:cs="仿宋_GB2312"/>
          <w:b/>
          <w:sz w:val="30"/>
          <w:szCs w:val="30"/>
        </w:rPr>
      </w:pPr>
      <w:r>
        <w:rPr>
          <w:rFonts w:hint="eastAsia" w:ascii="Times New Roman" w:hAnsi="Times New Roman" w:eastAsia="楷体" w:cs="仿宋_GB2312"/>
          <w:b/>
          <w:sz w:val="30"/>
          <w:szCs w:val="30"/>
        </w:rPr>
        <w:t>（一）总体情况</w:t>
      </w:r>
    </w:p>
    <w:p w14:paraId="3B88EC56">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天津市津南区市场监督管理局12315投诉举报中心2024年度部门决算一般公共预算财政拨款支出合计945,148.35元，占本年支出合计的100%。与2023年度相比，一般公共预算财政拨款支出减少18,963.6元，下降2%，主要原因是根据财政要求压缩开支，物业管理费、办公费减少。</w:t>
      </w:r>
    </w:p>
    <w:p w14:paraId="0EDF7B8F">
      <w:pPr>
        <w:spacing w:line="600" w:lineRule="exact"/>
        <w:ind w:firstLine="602" w:firstLineChars="200"/>
        <w:rPr>
          <w:rFonts w:ascii="Times New Roman" w:hAnsi="Times New Roman" w:eastAsia="楷体" w:cs="仿宋_GB2312"/>
          <w:b/>
          <w:sz w:val="30"/>
          <w:szCs w:val="30"/>
        </w:rPr>
      </w:pPr>
      <w:r>
        <w:rPr>
          <w:rFonts w:hint="eastAsia" w:ascii="Times New Roman" w:hAnsi="Times New Roman" w:eastAsia="楷体" w:cs="仿宋_GB2312"/>
          <w:b/>
          <w:sz w:val="30"/>
          <w:szCs w:val="30"/>
        </w:rPr>
        <w:t>（二）支出结构情况</w:t>
      </w:r>
    </w:p>
    <w:p w14:paraId="2E93C809">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2024年度一般公共预算财政拨款支出945,148.35元，主要用于以下方面：</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一般公共服务支出（类）支出744,625.19元，占78.8%；</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社会保障和就业支出（类）支出94,708.8元，占10%；</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卫生健康支出（类）支出44,062.36元，占4.7%；</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住房保障支出（类）支出61,752元，占6.5%。</w:t>
      </w:r>
    </w:p>
    <w:p w14:paraId="766DC5C0">
      <w:pPr>
        <w:numPr>
          <w:ilvl w:val="0"/>
          <w:numId w:val="1"/>
        </w:numPr>
        <w:spacing w:line="600" w:lineRule="exact"/>
        <w:ind w:firstLine="602" w:firstLineChars="200"/>
        <w:rPr>
          <w:rFonts w:ascii="Times New Roman" w:hAnsi="Times New Roman" w:eastAsia="楷体" w:cs="仿宋_GB2312"/>
          <w:b/>
          <w:sz w:val="30"/>
          <w:szCs w:val="30"/>
        </w:rPr>
      </w:pPr>
      <w:r>
        <w:rPr>
          <w:rFonts w:ascii="Times New Roman" w:hAnsi="Times New Roman" w:eastAsia="楷体" w:cs="仿宋_GB2312"/>
          <w:b/>
          <w:sz w:val="30"/>
          <w:szCs w:val="30"/>
        </w:rPr>
        <w:t>具体情况</w:t>
      </w:r>
    </w:p>
    <w:p w14:paraId="6C4857B3">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2024年度一般公共预算财政拨款支出年初预算为892,989.64元，支出决算为945,148.35元，完成年初预算的105.8%。其中：</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1.一般公共服务支出（类）市场监督管理事务（款）事业运行（项）年初预算为689,121.28元，支出决算为744,625.19元，完成年初预算的108.1%，决算数大于年初预算数的主要原因是事业人员年初薪级工资晋级晋档。</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2.社会保障和就业支出（类）行政事业单位养老支出（款）机关事业单位基本养老保险缴费支出（项）年初预算为64,679.04元，支出决算为63,139.2元，完成年初预算的97.6%，决算数小于年初预算数的主要原因是事业人员核定社保基数略小于预算预估数据，为合理范围内的正常差异。</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3.社会保障和就业支出（类）行政事业单位养老支出（款）机关事业单位职业年金缴费支出（项）年初预算为32,339.52元，支出决算为31,569.6元，完成年初预算的97.6%，决算数小于年初预算数的主要原因是事业人员核定社保基数略小于预算预估数据，为合理范围内的正常差异。</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4.卫生健康支出（类）行政事业单位医疗（款）事业单位医疗（项）年初预算为42,445.8元，支出决算为39,462.36元，完成年初预算的93%，决算数小于年初预算数的主要原因是事业人员核定社保基数略小于预算预估数据，为合理范围内的正常差异。</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5.卫生健康支出（类）行政事业单位医疗（款）其他行政事业单位医疗支出（项）年初预算为4,800元，支出决算为4,600元，完成年初预算的95.8%，决算数小于年初预算数的主要原因是中国人民健康保险股份有限公司天津分公司有优惠。</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6.住房保障支出（类）住房改革支出（款）住房公积金（项）年初预算为59,604元，支出决算为61,752元，完成年初预算的103.6%，决算数大于年初预算数的主要原因是事业人员公积金基数调整，月缴存额增加。</w:t>
      </w:r>
    </w:p>
    <w:p w14:paraId="2E595F18">
      <w:pPr>
        <w:pStyle w:val="3"/>
        <w:spacing w:before="0" w:after="0" w:line="600" w:lineRule="exact"/>
        <w:ind w:firstLine="600" w:firstLineChars="200"/>
        <w:rPr>
          <w:rFonts w:ascii="Times New Roman" w:hAnsi="Times New Roman" w:eastAsia="黑体"/>
          <w:b w:val="0"/>
          <w:sz w:val="30"/>
          <w:szCs w:val="30"/>
        </w:rPr>
      </w:pPr>
      <w:bookmarkStart w:id="22" w:name="_Toc8826"/>
      <w:r>
        <w:rPr>
          <w:rFonts w:ascii="Times New Roman" w:hAnsi="Times New Roman" w:eastAsia="黑体"/>
          <w:b w:val="0"/>
          <w:sz w:val="30"/>
          <w:szCs w:val="30"/>
        </w:rPr>
        <w:t>六、一般公共预算财政拨款基本支出决算情况</w:t>
      </w:r>
      <w:r>
        <w:rPr>
          <w:rFonts w:hint="eastAsia" w:ascii="Times New Roman" w:hAnsi="Times New Roman" w:eastAsia="黑体"/>
          <w:b w:val="0"/>
          <w:sz w:val="30"/>
          <w:szCs w:val="30"/>
        </w:rPr>
        <w:t>说明</w:t>
      </w:r>
      <w:bookmarkEnd w:id="22"/>
    </w:p>
    <w:p w14:paraId="35A1F94E">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天津市津南区市场监督管理局12315投诉举报中心2024年度部门决算一般公共预算财政拨款基本支出合计945,148.35元，与2023年度相比减少18,963.6元，主要原因是根据财政要求压缩开支，物业管理费、办公费减少。其中：</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人员经费904,603.77元，主要包括基本工资、津贴补贴、奖金、绩效工资、机关事业单位养老保险缴费、职业年金缴费、职工基本医疗保险缴费、其他社会保障缴费、住房公积金、其他工资福利支出；</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公用经费40,544.58元，主要包括办公费、物业管理费、差旅费、工会经费、福利费。</w:t>
      </w:r>
    </w:p>
    <w:p w14:paraId="21E5FA28">
      <w:pPr>
        <w:pStyle w:val="3"/>
        <w:spacing w:before="0" w:after="0" w:line="600" w:lineRule="exact"/>
        <w:ind w:firstLine="600" w:firstLineChars="200"/>
        <w:rPr>
          <w:rFonts w:ascii="Times New Roman" w:hAnsi="Times New Roman" w:eastAsia="楷体" w:cs="仿宋_GB2312"/>
          <w:b w:val="0"/>
          <w:sz w:val="30"/>
          <w:szCs w:val="30"/>
        </w:rPr>
      </w:pPr>
      <w:bookmarkStart w:id="23" w:name="_Toc13712"/>
      <w:r>
        <w:rPr>
          <w:rFonts w:hint="eastAsia" w:ascii="Times New Roman" w:hAnsi="Times New Roman" w:eastAsia="黑体"/>
          <w:b w:val="0"/>
          <w:sz w:val="30"/>
          <w:szCs w:val="30"/>
        </w:rPr>
        <w:t>七</w:t>
      </w:r>
      <w:r>
        <w:rPr>
          <w:rFonts w:ascii="Times New Roman" w:hAnsi="Times New Roman" w:eastAsia="黑体"/>
          <w:b w:val="0"/>
          <w:sz w:val="30"/>
          <w:szCs w:val="30"/>
        </w:rPr>
        <w:t>、政府性基金预算财政拨款</w:t>
      </w:r>
      <w:r>
        <w:rPr>
          <w:rFonts w:hint="eastAsia" w:ascii="Times New Roman" w:hAnsi="Times New Roman" w:eastAsia="黑体"/>
          <w:b w:val="0"/>
          <w:sz w:val="30"/>
          <w:szCs w:val="30"/>
        </w:rPr>
        <w:t>收支决算</w:t>
      </w:r>
      <w:r>
        <w:rPr>
          <w:rFonts w:ascii="Times New Roman" w:hAnsi="Times New Roman" w:eastAsia="黑体"/>
          <w:b w:val="0"/>
          <w:sz w:val="30"/>
          <w:szCs w:val="30"/>
        </w:rPr>
        <w:t>情况</w:t>
      </w:r>
      <w:r>
        <w:rPr>
          <w:rFonts w:hint="eastAsia" w:ascii="Times New Roman" w:hAnsi="Times New Roman" w:eastAsia="黑体"/>
          <w:b w:val="0"/>
          <w:bCs w:val="0"/>
          <w:sz w:val="30"/>
          <w:szCs w:val="30"/>
        </w:rPr>
        <w:t>说明</w:t>
      </w:r>
      <w:bookmarkEnd w:id="23"/>
    </w:p>
    <w:p w14:paraId="0EBA9BB0">
      <w:pPr>
        <w:keepNext w:val="0"/>
        <w:keepLines w:val="0"/>
        <w:pageBreakBefore w:val="0"/>
        <w:widowControl w:val="0"/>
        <w:kinsoku/>
        <w:wordWrap/>
        <w:overflowPunct/>
        <w:topLinePunct w:val="0"/>
        <w:autoSpaceDE/>
        <w:autoSpaceDN/>
        <w:bidi w:val="0"/>
        <w:adjustRightInd w:val="0"/>
        <w:snapToGrid/>
        <w:spacing w:line="600" w:lineRule="exact"/>
        <w:ind w:left="0" w:leftChars="0" w:firstLine="602" w:firstLineChars="200"/>
        <w:textAlignment w:val="baseline"/>
        <w:rPr>
          <w:rFonts w:ascii="Times New Roman" w:hAnsi="Times New Roman" w:eastAsia="楷体" w:cs="仿宋_GB2312"/>
          <w:b/>
          <w:sz w:val="30"/>
          <w:szCs w:val="30"/>
        </w:rPr>
      </w:pPr>
      <w:r>
        <w:rPr>
          <w:rFonts w:hint="eastAsia" w:ascii="Times New Roman" w:hAnsi="Times New Roman" w:eastAsia="楷体" w:cs="仿宋_GB2312"/>
          <w:b/>
          <w:sz w:val="30"/>
          <w:szCs w:val="30"/>
        </w:rPr>
        <w:t>（一）总体情况</w:t>
      </w:r>
    </w:p>
    <w:p w14:paraId="27F36989">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天津市津南区市场监督管理局12315投诉举报中心2024年度无政府性基金预算财政拨款收入、支出和结转结余。</w:t>
      </w:r>
    </w:p>
    <w:p w14:paraId="402461E5">
      <w:pPr>
        <w:spacing w:line="600" w:lineRule="exact"/>
        <w:ind w:firstLine="602" w:firstLineChars="200"/>
        <w:rPr>
          <w:rFonts w:ascii="Times New Roman" w:hAnsi="Times New Roman" w:eastAsia="楷体" w:cs="仿宋_GB2312"/>
          <w:b/>
          <w:sz w:val="30"/>
          <w:szCs w:val="30"/>
        </w:rPr>
      </w:pPr>
      <w:r>
        <w:rPr>
          <w:rFonts w:hint="eastAsia" w:ascii="Times New Roman" w:hAnsi="Times New Roman" w:eastAsia="楷体" w:cs="仿宋_GB2312"/>
          <w:b/>
          <w:sz w:val="30"/>
          <w:szCs w:val="30"/>
        </w:rPr>
        <w:t>（二）支出结构情况</w:t>
      </w:r>
    </w:p>
    <w:p w14:paraId="4ECC5FB6">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不涉及此项内容。</w:t>
      </w:r>
    </w:p>
    <w:p w14:paraId="1180BAF0">
      <w:pPr>
        <w:spacing w:line="600" w:lineRule="exact"/>
        <w:rPr>
          <w:rFonts w:ascii="Times New Roman" w:hAnsi="Times New Roman" w:eastAsia="楷体" w:cs="仿宋_GB2312"/>
          <w:b/>
          <w:sz w:val="30"/>
          <w:szCs w:val="30"/>
        </w:rPr>
      </w:pPr>
      <w:r>
        <w:rPr>
          <w:rFonts w:hint="eastAsia" w:ascii="Times New Roman" w:hAnsi="Times New Roman" w:eastAsia="楷体" w:cs="仿宋_GB2312"/>
          <w:b/>
          <w:sz w:val="30"/>
          <w:szCs w:val="30"/>
        </w:rPr>
        <w:t xml:space="preserve">    （三）</w:t>
      </w:r>
      <w:r>
        <w:rPr>
          <w:rFonts w:ascii="Times New Roman" w:hAnsi="Times New Roman" w:eastAsia="楷体" w:cs="仿宋_GB2312"/>
          <w:b/>
          <w:sz w:val="30"/>
          <w:szCs w:val="30"/>
        </w:rPr>
        <w:t>具体情况</w:t>
      </w:r>
    </w:p>
    <w:p w14:paraId="1290394B">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不涉及此项内容。</w:t>
      </w:r>
    </w:p>
    <w:p w14:paraId="41F2BD40">
      <w:pPr>
        <w:pStyle w:val="3"/>
        <w:spacing w:before="0" w:after="0" w:line="600" w:lineRule="exact"/>
        <w:ind w:firstLine="600" w:firstLineChars="200"/>
        <w:rPr>
          <w:rFonts w:ascii="Times New Roman" w:hAnsi="Times New Roman" w:eastAsia="黑体"/>
          <w:b w:val="0"/>
          <w:sz w:val="30"/>
          <w:szCs w:val="30"/>
        </w:rPr>
      </w:pPr>
      <w:bookmarkStart w:id="24" w:name="_Toc1902"/>
      <w:r>
        <w:rPr>
          <w:rFonts w:hint="eastAsia" w:ascii="Times New Roman" w:hAnsi="Times New Roman" w:eastAsia="黑体"/>
          <w:b w:val="0"/>
          <w:sz w:val="30"/>
          <w:szCs w:val="30"/>
        </w:rPr>
        <w:t>八、国有资本经营预算财政拨款收支决算情况</w:t>
      </w:r>
      <w:r>
        <w:rPr>
          <w:rFonts w:hint="eastAsia" w:ascii="Times New Roman" w:hAnsi="Times New Roman" w:eastAsia="黑体"/>
          <w:b w:val="0"/>
          <w:bCs w:val="0"/>
          <w:sz w:val="30"/>
          <w:szCs w:val="30"/>
        </w:rPr>
        <w:t>说明</w:t>
      </w:r>
      <w:bookmarkEnd w:id="24"/>
    </w:p>
    <w:p w14:paraId="18531346">
      <w:pPr>
        <w:spacing w:line="600" w:lineRule="exact"/>
        <w:ind w:firstLine="602" w:firstLineChars="200"/>
        <w:rPr>
          <w:rFonts w:ascii="Times New Roman" w:hAnsi="Times New Roman" w:eastAsia="仿宋_GB2312"/>
          <w:sz w:val="30"/>
          <w:szCs w:val="30"/>
        </w:rPr>
      </w:pPr>
      <w:r>
        <w:rPr>
          <w:rFonts w:hint="eastAsia" w:ascii="Times New Roman" w:hAnsi="Times New Roman" w:eastAsia="楷体" w:cs="仿宋_GB2312"/>
          <w:b/>
          <w:sz w:val="30"/>
          <w:szCs w:val="30"/>
        </w:rPr>
        <w:t>（一）总体情况</w:t>
      </w:r>
    </w:p>
    <w:p w14:paraId="461721CC">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天津市津南区市场监督管理局12315投诉举报中心2024年度无国有资本经营预算财政拨款收入、支出和结转结余。</w:t>
      </w:r>
    </w:p>
    <w:p w14:paraId="00785FE3">
      <w:pPr>
        <w:spacing w:line="600" w:lineRule="exact"/>
        <w:ind w:firstLine="602" w:firstLineChars="200"/>
        <w:rPr>
          <w:rFonts w:ascii="Times New Roman" w:hAnsi="Times New Roman" w:eastAsia="楷体" w:cs="仿宋_GB2312"/>
          <w:b/>
          <w:sz w:val="30"/>
          <w:szCs w:val="30"/>
        </w:rPr>
      </w:pPr>
      <w:r>
        <w:rPr>
          <w:rFonts w:hint="eastAsia" w:ascii="Times New Roman" w:hAnsi="Times New Roman" w:eastAsia="楷体" w:cs="仿宋_GB2312"/>
          <w:b/>
          <w:sz w:val="30"/>
          <w:szCs w:val="30"/>
        </w:rPr>
        <w:t>（二）支出结构情况</w:t>
      </w:r>
    </w:p>
    <w:p w14:paraId="25033399">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不涉及此项内容。</w:t>
      </w:r>
    </w:p>
    <w:p w14:paraId="06DF4DE7">
      <w:pPr>
        <w:spacing w:line="600" w:lineRule="exact"/>
        <w:rPr>
          <w:rFonts w:ascii="Times New Roman" w:hAnsi="Times New Roman" w:eastAsia="楷体" w:cs="仿宋_GB2312"/>
          <w:b/>
          <w:sz w:val="30"/>
          <w:szCs w:val="30"/>
        </w:rPr>
      </w:pPr>
      <w:r>
        <w:rPr>
          <w:rFonts w:hint="eastAsia" w:ascii="Times New Roman" w:hAnsi="Times New Roman" w:eastAsia="楷体" w:cs="仿宋_GB2312"/>
          <w:b/>
          <w:sz w:val="30"/>
          <w:szCs w:val="30"/>
        </w:rPr>
        <w:t xml:space="preserve">    （三）</w:t>
      </w:r>
      <w:r>
        <w:rPr>
          <w:rFonts w:ascii="Times New Roman" w:hAnsi="Times New Roman" w:eastAsia="楷体" w:cs="仿宋_GB2312"/>
          <w:b/>
          <w:sz w:val="30"/>
          <w:szCs w:val="30"/>
        </w:rPr>
        <w:t>具体情况</w:t>
      </w:r>
    </w:p>
    <w:p w14:paraId="3FBC4350">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不涉及此项内容。</w:t>
      </w:r>
    </w:p>
    <w:p w14:paraId="346F3296">
      <w:pPr>
        <w:pStyle w:val="3"/>
        <w:spacing w:before="0" w:after="0" w:line="600" w:lineRule="exact"/>
        <w:ind w:firstLine="600" w:firstLineChars="200"/>
        <w:rPr>
          <w:rFonts w:ascii="Times New Roman" w:hAnsi="Times New Roman" w:eastAsia="黑体"/>
          <w:b w:val="0"/>
          <w:sz w:val="30"/>
          <w:szCs w:val="30"/>
        </w:rPr>
      </w:pPr>
      <w:bookmarkStart w:id="25" w:name="_Toc6751"/>
      <w:r>
        <w:rPr>
          <w:rFonts w:hint="eastAsia" w:ascii="Times New Roman" w:hAnsi="Times New Roman" w:eastAsia="黑体"/>
          <w:b w:val="0"/>
          <w:sz w:val="30"/>
          <w:szCs w:val="30"/>
        </w:rPr>
        <w:t>九、</w:t>
      </w:r>
      <w:r>
        <w:rPr>
          <w:rFonts w:ascii="Times New Roman" w:hAnsi="Times New Roman" w:eastAsia="黑体"/>
          <w:b w:val="0"/>
          <w:sz w:val="30"/>
          <w:szCs w:val="30"/>
        </w:rPr>
        <w:t>财政拨款“三公”经费</w:t>
      </w:r>
      <w:r>
        <w:rPr>
          <w:rFonts w:hint="eastAsia" w:ascii="Times New Roman" w:hAnsi="Times New Roman" w:eastAsia="黑体"/>
          <w:b w:val="0"/>
          <w:sz w:val="30"/>
          <w:szCs w:val="30"/>
        </w:rPr>
        <w:t>支出决算</w:t>
      </w:r>
      <w:r>
        <w:rPr>
          <w:rFonts w:ascii="Times New Roman" w:hAnsi="Times New Roman" w:eastAsia="黑体"/>
          <w:b w:val="0"/>
          <w:sz w:val="30"/>
          <w:szCs w:val="30"/>
        </w:rPr>
        <w:t>情况</w:t>
      </w:r>
      <w:r>
        <w:rPr>
          <w:rFonts w:hint="eastAsia" w:ascii="Times New Roman" w:hAnsi="Times New Roman" w:eastAsia="黑体"/>
          <w:b w:val="0"/>
          <w:bCs w:val="0"/>
          <w:sz w:val="30"/>
          <w:szCs w:val="30"/>
        </w:rPr>
        <w:t>说明</w:t>
      </w:r>
      <w:bookmarkEnd w:id="25"/>
    </w:p>
    <w:p w14:paraId="28F47079">
      <w:pPr>
        <w:spacing w:line="600" w:lineRule="exact"/>
        <w:ind w:firstLine="602" w:firstLineChars="200"/>
        <w:rPr>
          <w:rFonts w:ascii="Times New Roman" w:hAnsi="Times New Roman" w:eastAsia="楷体" w:cs="楷体"/>
          <w:b/>
          <w:bCs/>
          <w:sz w:val="30"/>
          <w:szCs w:val="30"/>
        </w:rPr>
      </w:pPr>
      <w:r>
        <w:rPr>
          <w:rFonts w:hint="eastAsia" w:ascii="Times New Roman" w:hAnsi="Times New Roman" w:eastAsia="楷体" w:cs="楷体"/>
          <w:b/>
          <w:bCs/>
          <w:sz w:val="30"/>
          <w:szCs w:val="30"/>
        </w:rPr>
        <w:t>（一）总体情况</w:t>
      </w:r>
    </w:p>
    <w:p w14:paraId="448B8C7A">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2024年财政拨款“三公”经费预算0元，支出决算0元（去年同期0元），支出决算与2024年预算相比持平；支出决算较上年持平。因本年及去年同期均未使用财政拨款列支“三公”经费，故本年支出决算与本年预算、上年支出决算均持平为0。</w:t>
      </w:r>
    </w:p>
    <w:p w14:paraId="3898F8D7">
      <w:pPr>
        <w:spacing w:line="600" w:lineRule="exact"/>
        <w:ind w:firstLine="602" w:firstLineChars="200"/>
        <w:rPr>
          <w:rFonts w:ascii="Times New Roman" w:hAnsi="Times New Roman" w:eastAsia="楷体" w:cs="楷体"/>
          <w:b/>
          <w:bCs/>
          <w:sz w:val="30"/>
          <w:szCs w:val="30"/>
        </w:rPr>
      </w:pPr>
      <w:r>
        <w:rPr>
          <w:rFonts w:hint="eastAsia" w:ascii="Times New Roman" w:hAnsi="Times New Roman" w:eastAsia="楷体" w:cs="楷体"/>
          <w:b/>
          <w:bCs/>
          <w:sz w:val="30"/>
          <w:szCs w:val="30"/>
        </w:rPr>
        <w:t>（二）具体情况</w:t>
      </w:r>
    </w:p>
    <w:p w14:paraId="5F8F25BF">
      <w:pPr>
        <w:spacing w:line="600" w:lineRule="exact"/>
        <w:ind w:firstLine="600" w:firstLineChars="200"/>
        <w:jc w:val="both"/>
        <w:rPr>
          <w:rFonts w:ascii="Times New Roman" w:hAnsi="Times New Roman" w:eastAsia="仿宋_GB2312" w:cs="仿宋_GB2312"/>
          <w:sz w:val="30"/>
          <w:szCs w:val="30"/>
        </w:rPr>
      </w:pPr>
      <w:r>
        <w:rPr>
          <w:rFonts w:hint="eastAsia" w:ascii="Times New Roman" w:hAnsi="Times New Roman" w:eastAsia="仿宋_GB2312" w:cs="仿宋_GB2312"/>
          <w:sz w:val="30"/>
          <w:szCs w:val="30"/>
        </w:rPr>
        <w:t>1.因公出国（境）费预算0元，支出决算0元（去年同期0元），支出决算与2024年预算相比持平；支出决算较上年持平。因本年及去年同期均未使用财政拨款列支因公出国（境）费，故本年支出决算与本年预算、上年支出决算均持平为0。</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2024年本单位组织的出国团组0个，出国0人次。</w:t>
      </w:r>
    </w:p>
    <w:p w14:paraId="11A801D5">
      <w:pPr>
        <w:spacing w:line="600" w:lineRule="exact"/>
        <w:ind w:firstLine="600" w:firstLineChars="200"/>
        <w:jc w:val="both"/>
        <w:rPr>
          <w:rFonts w:ascii="Times New Roman" w:hAnsi="Times New Roman" w:eastAsia="仿宋_GB2312" w:cs="仿宋_GB2312"/>
          <w:sz w:val="30"/>
          <w:szCs w:val="30"/>
        </w:rPr>
      </w:pPr>
      <w:r>
        <w:rPr>
          <w:rFonts w:hint="eastAsia" w:ascii="Times New Roman" w:hAnsi="Times New Roman" w:eastAsia="仿宋_GB2312" w:cs="仿宋_GB2312"/>
          <w:sz w:val="30"/>
          <w:szCs w:val="30"/>
        </w:rPr>
        <w:t>2.公务用车购置及运行维护费预算0元，支出决算0元（去年同期0元），支出决算与2024年预算相比持平；支出决算较上年持平。因本年及去年同期均未使用财政拨款列支公务用车购置及运行维护费，故本年支出决算与本年预算、上年支出决算均持平为0。其中：</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公务用车运行维护费预算0元，支出决算0元（去年同期0元），支出决算与2024年预算相比持平；支出决算较上年持平。因本年及去年同期均未使用财政拨款列支公务用车运行维护费，故本年支出决算与本年预算、上年支出决算均持平为0。</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截至2024年12月31日，使用财政拨款开支运行维护费的公务用车保有量为0辆。</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公务用车购置费预算0元，支出决算0元（去年同期0元），支出决算与2024年预算相比持平；支出决算较上年持平。因本年及去年同期均未使用财政拨款列支公务用车购置费，故本年支出决算与本年预算、上年支出决算均持平为0。</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2024年购置公务用车0辆。</w:t>
      </w:r>
    </w:p>
    <w:p w14:paraId="755AFC00">
      <w:pPr>
        <w:spacing w:line="600" w:lineRule="exact"/>
        <w:ind w:firstLine="600" w:firstLineChars="200"/>
        <w:jc w:val="both"/>
        <w:rPr>
          <w:rFonts w:ascii="Times New Roman" w:hAnsi="Times New Roman" w:eastAsia="仿宋_GB2312" w:cs="仿宋_GB2312"/>
          <w:sz w:val="30"/>
          <w:szCs w:val="30"/>
        </w:rPr>
      </w:pPr>
      <w:r>
        <w:rPr>
          <w:rFonts w:hint="eastAsia" w:ascii="Times New Roman" w:hAnsi="Times New Roman" w:eastAsia="仿宋_GB2312" w:cs="仿宋_GB2312"/>
          <w:sz w:val="30"/>
          <w:szCs w:val="30"/>
        </w:rPr>
        <w:t>3.公务接待费预算0元，支出决算0元（去年同期0元），支出决算与2024年预算相比持平；支出决算较上年持平。因本年及去年同期均未使用财政拨款列支公务接待费，故本年支出决算与本年预算、上年支出决算均持平为0。</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2024年本单位国内公务接待0批次，0人次；其中，外事接待0批次，0人次。</w:t>
      </w:r>
    </w:p>
    <w:p w14:paraId="3E8291F9">
      <w:pPr>
        <w:pStyle w:val="3"/>
        <w:spacing w:before="0" w:after="0" w:line="600" w:lineRule="exact"/>
        <w:ind w:firstLine="600" w:firstLineChars="200"/>
        <w:rPr>
          <w:rFonts w:ascii="Times New Roman" w:hAnsi="Times New Roman" w:eastAsia="黑体"/>
          <w:b w:val="0"/>
          <w:sz w:val="30"/>
          <w:szCs w:val="30"/>
        </w:rPr>
      </w:pPr>
      <w:bookmarkStart w:id="26" w:name="_Toc2589"/>
      <w:r>
        <w:rPr>
          <w:rFonts w:hint="eastAsia" w:ascii="Times New Roman" w:hAnsi="Times New Roman" w:eastAsia="黑体"/>
          <w:b w:val="0"/>
          <w:sz w:val="30"/>
          <w:szCs w:val="30"/>
        </w:rPr>
        <w:t>十、</w:t>
      </w:r>
      <w:r>
        <w:rPr>
          <w:rFonts w:ascii="Times New Roman" w:hAnsi="Times New Roman" w:eastAsia="黑体"/>
          <w:b w:val="0"/>
          <w:sz w:val="30"/>
          <w:szCs w:val="30"/>
        </w:rPr>
        <w:t>机关运行经费</w:t>
      </w:r>
      <w:r>
        <w:rPr>
          <w:rFonts w:hint="eastAsia" w:ascii="Times New Roman" w:hAnsi="Times New Roman" w:eastAsia="黑体"/>
          <w:b w:val="0"/>
          <w:sz w:val="30"/>
          <w:szCs w:val="30"/>
        </w:rPr>
        <w:t>支出情况</w:t>
      </w:r>
      <w:r>
        <w:rPr>
          <w:rFonts w:hint="eastAsia" w:ascii="Times New Roman" w:hAnsi="Times New Roman" w:eastAsia="黑体"/>
          <w:b w:val="0"/>
          <w:bCs w:val="0"/>
          <w:sz w:val="30"/>
          <w:szCs w:val="30"/>
        </w:rPr>
        <w:t>说明</w:t>
      </w:r>
      <w:bookmarkEnd w:id="26"/>
    </w:p>
    <w:p w14:paraId="3226CE9B">
      <w:pPr>
        <w:spacing w:line="600" w:lineRule="exact"/>
        <w:ind w:firstLine="600"/>
        <w:jc w:val="both"/>
        <w:rPr>
          <w:rFonts w:ascii="Times New Roman" w:hAnsi="Times New Roman" w:eastAsia="楷体"/>
          <w:sz w:val="30"/>
          <w:szCs w:val="30"/>
        </w:rPr>
      </w:pPr>
      <w:r>
        <w:rPr>
          <w:rFonts w:hint="eastAsia" w:ascii="Times New Roman" w:hAnsi="Times New Roman" w:eastAsia="仿宋_GB2312" w:cs="仿宋_GB2312"/>
          <w:sz w:val="30"/>
          <w:szCs w:val="30"/>
        </w:rPr>
        <w:t>天津市津南区市场监督管理局12315投诉举报中心2024年度无机关运行经费。</w:t>
      </w:r>
    </w:p>
    <w:p w14:paraId="15D0DF49">
      <w:pPr>
        <w:pStyle w:val="3"/>
        <w:spacing w:before="0" w:after="0" w:line="600" w:lineRule="exact"/>
        <w:ind w:firstLine="600" w:firstLineChars="200"/>
        <w:rPr>
          <w:rFonts w:ascii="Times New Roman" w:hAnsi="Times New Roman" w:eastAsia="黑体"/>
          <w:b w:val="0"/>
          <w:sz w:val="30"/>
          <w:szCs w:val="30"/>
        </w:rPr>
      </w:pPr>
      <w:bookmarkStart w:id="27" w:name="_Toc15010"/>
      <w:r>
        <w:rPr>
          <w:rFonts w:hint="eastAsia" w:ascii="Times New Roman" w:hAnsi="Times New Roman" w:eastAsia="黑体"/>
          <w:b w:val="0"/>
          <w:sz w:val="30"/>
          <w:szCs w:val="30"/>
        </w:rPr>
        <w:t>十一、</w:t>
      </w:r>
      <w:r>
        <w:rPr>
          <w:rFonts w:ascii="Times New Roman" w:hAnsi="Times New Roman" w:eastAsia="黑体"/>
          <w:b w:val="0"/>
          <w:sz w:val="30"/>
          <w:szCs w:val="30"/>
        </w:rPr>
        <w:t>政府采购</w:t>
      </w:r>
      <w:r>
        <w:rPr>
          <w:rFonts w:hint="eastAsia" w:ascii="Times New Roman" w:hAnsi="Times New Roman" w:eastAsia="黑体"/>
          <w:b w:val="0"/>
          <w:sz w:val="30"/>
          <w:szCs w:val="30"/>
        </w:rPr>
        <w:t>支出</w:t>
      </w:r>
      <w:r>
        <w:rPr>
          <w:rFonts w:ascii="Times New Roman" w:hAnsi="Times New Roman" w:eastAsia="黑体"/>
          <w:b w:val="0"/>
          <w:sz w:val="30"/>
          <w:szCs w:val="30"/>
        </w:rPr>
        <w:t>情况</w:t>
      </w:r>
      <w:r>
        <w:rPr>
          <w:rFonts w:hint="eastAsia" w:ascii="Times New Roman" w:hAnsi="Times New Roman" w:eastAsia="黑体"/>
          <w:b w:val="0"/>
          <w:bCs w:val="0"/>
          <w:sz w:val="30"/>
          <w:szCs w:val="30"/>
        </w:rPr>
        <w:t>说明</w:t>
      </w:r>
      <w:bookmarkEnd w:id="27"/>
    </w:p>
    <w:p w14:paraId="0912B83C">
      <w:pPr>
        <w:spacing w:line="600" w:lineRule="exact"/>
        <w:ind w:firstLine="600" w:firstLineChars="200"/>
        <w:jc w:val="both"/>
        <w:rPr>
          <w:rFonts w:ascii="Times New Roman" w:hAnsi="Times New Roman" w:eastAsia="楷体"/>
          <w:sz w:val="30"/>
          <w:szCs w:val="30"/>
        </w:rPr>
      </w:pPr>
      <w:r>
        <w:rPr>
          <w:rFonts w:hint="eastAsia" w:ascii="Times New Roman" w:hAnsi="Times New Roman" w:eastAsia="仿宋_GB2312" w:cs="仿宋_GB2312"/>
          <w:sz w:val="30"/>
          <w:szCs w:val="30"/>
        </w:rPr>
        <w:t>天津市津南区市场监督管理局12315投诉举报中心2024年度无政府采购支出。</w:t>
      </w:r>
    </w:p>
    <w:p w14:paraId="2E327891">
      <w:pPr>
        <w:pStyle w:val="3"/>
        <w:spacing w:before="0" w:after="0" w:line="600" w:lineRule="exact"/>
        <w:ind w:firstLine="600" w:firstLineChars="200"/>
        <w:rPr>
          <w:rFonts w:ascii="Times New Roman" w:hAnsi="Times New Roman" w:eastAsia="黑体"/>
          <w:b w:val="0"/>
          <w:sz w:val="30"/>
          <w:szCs w:val="30"/>
        </w:rPr>
      </w:pPr>
      <w:bookmarkStart w:id="28" w:name="_Toc32128"/>
      <w:r>
        <w:rPr>
          <w:rFonts w:hint="eastAsia" w:ascii="Times New Roman" w:hAnsi="Times New Roman" w:eastAsia="黑体"/>
          <w:b w:val="0"/>
          <w:sz w:val="30"/>
          <w:szCs w:val="30"/>
        </w:rPr>
        <w:t>十二、国有资产占有使用情况</w:t>
      </w:r>
      <w:r>
        <w:rPr>
          <w:rFonts w:hint="eastAsia" w:ascii="Times New Roman" w:hAnsi="Times New Roman" w:eastAsia="黑体"/>
          <w:b w:val="0"/>
          <w:bCs w:val="0"/>
          <w:sz w:val="30"/>
          <w:szCs w:val="30"/>
        </w:rPr>
        <w:t>说明</w:t>
      </w:r>
      <w:bookmarkEnd w:id="28"/>
    </w:p>
    <w:p w14:paraId="614810F1">
      <w:pPr>
        <w:spacing w:line="600" w:lineRule="exact"/>
        <w:ind w:firstLine="600" w:firstLineChars="200"/>
        <w:jc w:val="both"/>
        <w:rPr>
          <w:rFonts w:ascii="Times New Roman" w:hAnsi="Times New Roman" w:eastAsia="楷体"/>
          <w:sz w:val="30"/>
          <w:szCs w:val="30"/>
        </w:rPr>
      </w:pPr>
      <w:r>
        <w:rPr>
          <w:rFonts w:hint="eastAsia" w:ascii="Times New Roman" w:hAnsi="Times New Roman" w:eastAsia="仿宋_GB2312" w:cs="仿宋_GB2312"/>
          <w:sz w:val="30"/>
          <w:szCs w:val="30"/>
        </w:rPr>
        <w:t>天津市津南区市场监督管理局12315投诉举报中心2024年度无国有资产占有使用情况。</w:t>
      </w:r>
    </w:p>
    <w:p w14:paraId="24BEC538">
      <w:pPr>
        <w:pStyle w:val="3"/>
        <w:spacing w:before="0" w:after="0" w:line="540" w:lineRule="exact"/>
        <w:ind w:firstLine="600" w:firstLineChars="200"/>
        <w:rPr>
          <w:rFonts w:ascii="Times New Roman" w:hAnsi="Times New Roman" w:eastAsia="黑体"/>
          <w:b w:val="0"/>
          <w:bCs w:val="0"/>
          <w:sz w:val="30"/>
          <w:szCs w:val="30"/>
        </w:rPr>
      </w:pPr>
      <w:bookmarkStart w:id="29" w:name="_Toc31889"/>
      <w:r>
        <w:rPr>
          <w:rFonts w:hint="eastAsia" w:ascii="Times New Roman" w:hAnsi="Times New Roman" w:eastAsia="黑体"/>
          <w:b w:val="0"/>
          <w:bCs w:val="0"/>
          <w:sz w:val="30"/>
          <w:szCs w:val="30"/>
        </w:rPr>
        <w:t>十三、预算绩效情况说明</w:t>
      </w:r>
      <w:bookmarkEnd w:id="29"/>
    </w:p>
    <w:p w14:paraId="45A0BCC0">
      <w:pPr>
        <w:spacing w:line="600" w:lineRule="exact"/>
        <w:ind w:firstLine="600" w:firstLineChars="200"/>
        <w:jc w:val="both"/>
        <w:rPr>
          <w:rFonts w:ascii="Times New Roman" w:hAnsi="Times New Roman" w:eastAsia="仿宋_GB2312"/>
          <w:sz w:val="30"/>
          <w:szCs w:val="30"/>
          <w:highlight w:val="yellow"/>
        </w:rPr>
      </w:pPr>
      <w:r>
        <w:rPr>
          <w:rFonts w:hint="eastAsia" w:ascii="Times New Roman" w:hAnsi="Times New Roman" w:eastAsia="仿宋_GB2312" w:cs="仿宋_GB2312"/>
          <w:sz w:val="30"/>
          <w:szCs w:val="30"/>
        </w:rPr>
        <w:t>天津市津南区市场监督管理局12315投诉举报中心2024年度没有项目支出，无需开展绩效自评。</w:t>
      </w:r>
    </w:p>
    <w:p w14:paraId="4275EF8F">
      <w:pPr>
        <w:pStyle w:val="3"/>
        <w:spacing w:before="0" w:after="0" w:line="600" w:lineRule="exact"/>
        <w:ind w:firstLine="600" w:firstLineChars="200"/>
        <w:rPr>
          <w:rFonts w:ascii="Times New Roman" w:hAnsi="Times New Roman" w:eastAsia="黑体"/>
          <w:b w:val="0"/>
          <w:sz w:val="30"/>
          <w:szCs w:val="30"/>
        </w:rPr>
      </w:pPr>
      <w:bookmarkStart w:id="30" w:name="_Toc6543"/>
      <w:r>
        <w:rPr>
          <w:rFonts w:hint="eastAsia" w:ascii="Times New Roman" w:hAnsi="Times New Roman" w:eastAsia="黑体"/>
          <w:b w:val="0"/>
          <w:sz w:val="30"/>
          <w:szCs w:val="30"/>
        </w:rPr>
        <w:t>十四、</w:t>
      </w:r>
      <w:r>
        <w:rPr>
          <w:rFonts w:ascii="Times New Roman" w:hAnsi="Times New Roman" w:eastAsia="黑体"/>
          <w:b w:val="0"/>
          <w:sz w:val="30"/>
          <w:szCs w:val="30"/>
        </w:rPr>
        <w:t>教育、医疗卫生、社会保障和就业、住房保障、涉农补贴等民生支出情况</w:t>
      </w:r>
      <w:r>
        <w:rPr>
          <w:rFonts w:hint="eastAsia" w:ascii="Times New Roman" w:hAnsi="Times New Roman" w:eastAsia="黑体"/>
          <w:b w:val="0"/>
          <w:bCs w:val="0"/>
          <w:sz w:val="30"/>
          <w:szCs w:val="30"/>
        </w:rPr>
        <w:t>说明</w:t>
      </w:r>
      <w:bookmarkEnd w:id="30"/>
    </w:p>
    <w:p w14:paraId="7B1ECD1D">
      <w:pPr>
        <w:spacing w:line="600" w:lineRule="exact"/>
        <w:ind w:firstLine="600"/>
        <w:jc w:val="both"/>
        <w:rPr>
          <w:rFonts w:ascii="Times New Roman" w:hAnsi="Times New Roman" w:eastAsia="楷体"/>
          <w:b/>
          <w:bCs/>
          <w:sz w:val="30"/>
          <w:szCs w:val="30"/>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cs="仿宋_GB2312"/>
          <w:sz w:val="30"/>
          <w:szCs w:val="30"/>
        </w:rPr>
        <w:t>天津市津南区市场监督管理局12315投诉举报中心不属于乡、镇、街级单位，不涉及公开2024年度教育、医疗卫生、社会保障和就业、住房保障、涉农补贴等民生支出情况。</w:t>
      </w:r>
      <w:r>
        <w:rPr>
          <w:rFonts w:ascii="Times New Roman" w:hAnsi="Times New Roman" w:eastAsia="楷体"/>
          <w:b/>
          <w:bCs/>
          <w:sz w:val="30"/>
          <w:szCs w:val="30"/>
        </w:rPr>
        <w:t xml:space="preserve"> </w:t>
      </w:r>
    </w:p>
    <w:p w14:paraId="67AFD435">
      <w:pPr>
        <w:pStyle w:val="2"/>
        <w:spacing w:before="0" w:after="0" w:line="600" w:lineRule="exact"/>
        <w:jc w:val="center"/>
        <w:rPr>
          <w:rFonts w:ascii="Times New Roman" w:hAnsi="Times New Roman" w:eastAsia="方正小标宋简体" w:cs="方正小标宋简体"/>
          <w:b w:val="0"/>
        </w:rPr>
      </w:pPr>
      <w:bookmarkStart w:id="31" w:name="_Toc24691"/>
      <w:bookmarkStart w:id="32" w:name="_Toc17573"/>
      <w:r>
        <w:rPr>
          <w:rFonts w:hint="eastAsia" w:ascii="Times New Roman" w:hAnsi="Times New Roman" w:eastAsia="方正小标宋简体" w:cs="方正小标宋简体"/>
          <w:b w:val="0"/>
        </w:rPr>
        <w:t>第四部分  名词解释</w:t>
      </w:r>
      <w:bookmarkEnd w:id="31"/>
      <w:bookmarkEnd w:id="32"/>
    </w:p>
    <w:p w14:paraId="5F6CED10">
      <w:pPr>
        <w:spacing w:line="600" w:lineRule="exact"/>
        <w:ind w:firstLine="600" w:firstLineChars="200"/>
        <w:rPr>
          <w:rFonts w:ascii="Times New Roman" w:hAnsi="Times New Roman" w:eastAsia="仿宋_GB2312"/>
          <w:sz w:val="30"/>
          <w:szCs w:val="30"/>
        </w:rPr>
      </w:pPr>
    </w:p>
    <w:p w14:paraId="70CF69A8">
      <w:pPr>
        <w:numPr>
          <w:ilvl w:val="0"/>
          <w:numId w:val="2"/>
        </w:num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01552FB">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D1D5840">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14:paraId="360EE6DE">
      <w:pPr>
        <w:spacing w:line="600" w:lineRule="exact"/>
        <w:ind w:firstLine="600"/>
        <w:rPr>
          <w:rFonts w:ascii="Times New Roman" w:hAnsi="Times New Roman" w:eastAsia="仿宋_GB2312"/>
          <w:sz w:val="30"/>
          <w:szCs w:val="30"/>
        </w:rPr>
      </w:pPr>
    </w:p>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55A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01E2E">
    <w:pPr>
      <w:pStyle w:val="7"/>
    </w:pPr>
    <w:r>
      <mc:AlternateContent>
        <mc:Choice Requires="wps">
          <w:drawing>
            <wp:anchor distT="0" distB="0" distL="114300" distR="114300" simplePos="0" relativeHeight="251660288" behindDoc="0" locked="0" layoutInCell="1" allowOverlap="1">
              <wp:simplePos x="0" y="0"/>
              <wp:positionH relativeFrom="margin">
                <wp:posOffset>2632075</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D37644D">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10</w:t>
                          </w:r>
                          <w:r>
                            <w:rPr>
                              <w:rFonts w:hint="eastAsia"/>
                              <w:szCs w:val="24"/>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left:207.25pt;margin-top:0pt;height:144pt;width:144pt;mso-position-horizontal-relative:margin;mso-wrap-style:none;z-index:251660288;mso-width-relative:page;mso-height-relative:page;" filled="f" stroked="f" coordsize="21600,21600" o:gfxdata="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qXtf1wAAAAgBAAAPAAAAAAAAAAEAIAAAACIAAABkcnMv&#10;ZG93bnJldi54bWxQSwECFAAUAAAACACHTuJAbieJa8sBAACXAwAADgAAAAAAAAABACAAAAAmAQAA&#10;ZHJzL2Uyb0RvYy54bWxQSwUGAAAAAAYABgBZAQAAYwUAAAAA&#10;">
              <v:fill on="f" focussize="0,0"/>
              <v:stroke on="f" weight="1.25pt"/>
              <v:imagedata o:title=""/>
              <o:lock v:ext="edit" aspectratio="f"/>
              <v:textbox inset="0mm,0mm,0mm,0mm" style="mso-fit-shape-to-text:t;">
                <w:txbxContent>
                  <w:p w14:paraId="3D37644D">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10</w:t>
                    </w:r>
                    <w:r>
                      <w:rPr>
                        <w:rFonts w:hint="eastAsia"/>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CCE6D">
    <w:pPr>
      <w:pStyle w:val="7"/>
    </w:pPr>
    <w:r>
      <mc:AlternateContent>
        <mc:Choice Requires="wps">
          <w:drawing>
            <wp:anchor distT="0" distB="0" distL="114300" distR="114300" simplePos="0" relativeHeight="251659264" behindDoc="0" locked="0" layoutInCell="1" allowOverlap="1">
              <wp:simplePos x="0" y="0"/>
              <wp:positionH relativeFrom="margin">
                <wp:posOffset>2632075</wp:posOffset>
              </wp:positionH>
              <wp:positionV relativeFrom="paragraph">
                <wp:posOffset>0</wp:posOffset>
              </wp:positionV>
              <wp:extent cx="1828800" cy="1828800"/>
              <wp:effectExtent l="3175" t="0" r="0" b="0"/>
              <wp:wrapNone/>
              <wp:docPr id="1"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A507D2B">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11</w:t>
                          </w:r>
                          <w:r>
                            <w:rPr>
                              <w:rFonts w:hint="eastAsia"/>
                              <w:szCs w:val="24"/>
                            </w:rP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left:207.25pt;margin-top:0pt;height:144pt;width:144pt;mso-position-horizontal-relative:margin;mso-wrap-style:none;z-index:251659264;mso-width-relative:page;mso-height-relative:page;" filled="f" stroked="f" coordsize="21600,21600" o:gfxdata="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N0G2PUAAAACAEAAA8AAAAAAAAAAQAgAAAAIgAAAGRycy9kb3du&#10;cmV2LnhtbFBLAQIUABQAAAAIAIdO4kCY9oAQAwIAAAQEAAAOAAAAAAAAAAEAIAAAACMBAABkcnMv&#10;ZTJvRG9jLnhtbFBLBQYAAAAABgAGAFkBAACYBQAAAAA=&#10;">
              <v:fill on="f" focussize="0,0"/>
              <v:stroke on="f"/>
              <v:imagedata o:title=""/>
              <o:lock v:ext="edit" aspectratio="f"/>
              <v:textbox inset="0mm,0mm,0mm,0mm" style="mso-fit-shape-to-text:t;">
                <w:txbxContent>
                  <w:p w14:paraId="6A507D2B">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11</w:t>
                    </w:r>
                    <w:r>
                      <w:rPr>
                        <w:rFonts w:hint="eastAsia"/>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B79B7"/>
    <w:multiLevelType w:val="singleLevel"/>
    <w:tmpl w:val="62CB79B7"/>
    <w:lvl w:ilvl="0" w:tentative="0">
      <w:start w:val="3"/>
      <w:numFmt w:val="chineseCounting"/>
      <w:suff w:val="nothing"/>
      <w:lvlText w:val="（%1）"/>
      <w:lvlJc w:val="left"/>
    </w:lvl>
  </w:abstractNum>
  <w:abstractNum w:abstractNumId="1">
    <w:nsid w:val="62CB88B4"/>
    <w:multiLevelType w:val="singleLevel"/>
    <w:tmpl w:val="62CB88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yNzRjODIwNDMyMWFhMzA3ZWZkM2QwNzBjNmI1ZGYifQ=="/>
  </w:docVars>
  <w:rsids>
    <w:rsidRoot w:val="11D802DB"/>
    <w:rsid w:val="00015911"/>
    <w:rsid w:val="00046E1C"/>
    <w:rsid w:val="00053901"/>
    <w:rsid w:val="000864BF"/>
    <w:rsid w:val="00092AB8"/>
    <w:rsid w:val="000B4E39"/>
    <w:rsid w:val="000E2F8C"/>
    <w:rsid w:val="00100BE7"/>
    <w:rsid w:val="00112C55"/>
    <w:rsid w:val="001179AF"/>
    <w:rsid w:val="0012059C"/>
    <w:rsid w:val="00124993"/>
    <w:rsid w:val="0012531C"/>
    <w:rsid w:val="00126E2D"/>
    <w:rsid w:val="00132705"/>
    <w:rsid w:val="001829A0"/>
    <w:rsid w:val="00186ED8"/>
    <w:rsid w:val="001F0A7F"/>
    <w:rsid w:val="001F61CD"/>
    <w:rsid w:val="00203AAA"/>
    <w:rsid w:val="00241712"/>
    <w:rsid w:val="00243B89"/>
    <w:rsid w:val="002532F7"/>
    <w:rsid w:val="002566ED"/>
    <w:rsid w:val="00257643"/>
    <w:rsid w:val="00287148"/>
    <w:rsid w:val="002912A7"/>
    <w:rsid w:val="002952C1"/>
    <w:rsid w:val="002D2BBE"/>
    <w:rsid w:val="002E091E"/>
    <w:rsid w:val="002F00A9"/>
    <w:rsid w:val="003326FB"/>
    <w:rsid w:val="003365DD"/>
    <w:rsid w:val="003714D5"/>
    <w:rsid w:val="00381206"/>
    <w:rsid w:val="0038216E"/>
    <w:rsid w:val="003942CD"/>
    <w:rsid w:val="003A4529"/>
    <w:rsid w:val="003B47DF"/>
    <w:rsid w:val="003D48A6"/>
    <w:rsid w:val="004040D1"/>
    <w:rsid w:val="00432D37"/>
    <w:rsid w:val="00464079"/>
    <w:rsid w:val="00465602"/>
    <w:rsid w:val="004918AD"/>
    <w:rsid w:val="004A10D3"/>
    <w:rsid w:val="004A1361"/>
    <w:rsid w:val="0050332F"/>
    <w:rsid w:val="00503464"/>
    <w:rsid w:val="0052293E"/>
    <w:rsid w:val="00525F27"/>
    <w:rsid w:val="00532C4C"/>
    <w:rsid w:val="005438C2"/>
    <w:rsid w:val="00570354"/>
    <w:rsid w:val="005828D7"/>
    <w:rsid w:val="005B60DB"/>
    <w:rsid w:val="005C22AF"/>
    <w:rsid w:val="005F2510"/>
    <w:rsid w:val="00604094"/>
    <w:rsid w:val="006566FC"/>
    <w:rsid w:val="00676A5E"/>
    <w:rsid w:val="00684825"/>
    <w:rsid w:val="006A54BF"/>
    <w:rsid w:val="006D05B2"/>
    <w:rsid w:val="006D71B2"/>
    <w:rsid w:val="006E6D9E"/>
    <w:rsid w:val="00724386"/>
    <w:rsid w:val="00727434"/>
    <w:rsid w:val="00734D29"/>
    <w:rsid w:val="0077787E"/>
    <w:rsid w:val="00780DDB"/>
    <w:rsid w:val="0078399B"/>
    <w:rsid w:val="0079348B"/>
    <w:rsid w:val="007A3491"/>
    <w:rsid w:val="007B4B58"/>
    <w:rsid w:val="007F3679"/>
    <w:rsid w:val="007F448B"/>
    <w:rsid w:val="007F718E"/>
    <w:rsid w:val="00801B2B"/>
    <w:rsid w:val="00803B43"/>
    <w:rsid w:val="00817AE2"/>
    <w:rsid w:val="0085671E"/>
    <w:rsid w:val="00876FA4"/>
    <w:rsid w:val="00887A19"/>
    <w:rsid w:val="00893EAC"/>
    <w:rsid w:val="008A6092"/>
    <w:rsid w:val="008C3474"/>
    <w:rsid w:val="008C677C"/>
    <w:rsid w:val="008D2605"/>
    <w:rsid w:val="008D64CE"/>
    <w:rsid w:val="009142B8"/>
    <w:rsid w:val="00915276"/>
    <w:rsid w:val="00936468"/>
    <w:rsid w:val="009371C3"/>
    <w:rsid w:val="0094195A"/>
    <w:rsid w:val="00973659"/>
    <w:rsid w:val="0098387F"/>
    <w:rsid w:val="009E0EF5"/>
    <w:rsid w:val="009F18E1"/>
    <w:rsid w:val="009F6C2B"/>
    <w:rsid w:val="009F712F"/>
    <w:rsid w:val="00A026D9"/>
    <w:rsid w:val="00A03F1F"/>
    <w:rsid w:val="00A12C57"/>
    <w:rsid w:val="00A14B8A"/>
    <w:rsid w:val="00A41813"/>
    <w:rsid w:val="00A557F8"/>
    <w:rsid w:val="00A609A1"/>
    <w:rsid w:val="00AA676A"/>
    <w:rsid w:val="00B13870"/>
    <w:rsid w:val="00B14558"/>
    <w:rsid w:val="00B17258"/>
    <w:rsid w:val="00B210F5"/>
    <w:rsid w:val="00B44EDA"/>
    <w:rsid w:val="00B53416"/>
    <w:rsid w:val="00B70243"/>
    <w:rsid w:val="00B807AE"/>
    <w:rsid w:val="00BA3182"/>
    <w:rsid w:val="00BB0047"/>
    <w:rsid w:val="00BB051A"/>
    <w:rsid w:val="00BC1AE3"/>
    <w:rsid w:val="00BD343E"/>
    <w:rsid w:val="00BE511A"/>
    <w:rsid w:val="00BE682B"/>
    <w:rsid w:val="00C0672E"/>
    <w:rsid w:val="00C23867"/>
    <w:rsid w:val="00C33362"/>
    <w:rsid w:val="00C4105D"/>
    <w:rsid w:val="00C47864"/>
    <w:rsid w:val="00C50C4F"/>
    <w:rsid w:val="00C528B3"/>
    <w:rsid w:val="00C52B2B"/>
    <w:rsid w:val="00C53602"/>
    <w:rsid w:val="00C56340"/>
    <w:rsid w:val="00C77332"/>
    <w:rsid w:val="00C83F29"/>
    <w:rsid w:val="00CA5CD5"/>
    <w:rsid w:val="00CB5EF5"/>
    <w:rsid w:val="00CE4C80"/>
    <w:rsid w:val="00CE7A0E"/>
    <w:rsid w:val="00CF0671"/>
    <w:rsid w:val="00CF4ADE"/>
    <w:rsid w:val="00D20562"/>
    <w:rsid w:val="00D56FBF"/>
    <w:rsid w:val="00DA3A83"/>
    <w:rsid w:val="00DA7E95"/>
    <w:rsid w:val="00DB0D2B"/>
    <w:rsid w:val="00DC0D31"/>
    <w:rsid w:val="00E21DD7"/>
    <w:rsid w:val="00E412B5"/>
    <w:rsid w:val="00E42082"/>
    <w:rsid w:val="00E4337C"/>
    <w:rsid w:val="00E56EBF"/>
    <w:rsid w:val="00E56F06"/>
    <w:rsid w:val="00E576CC"/>
    <w:rsid w:val="00E61DF9"/>
    <w:rsid w:val="00E8285A"/>
    <w:rsid w:val="00E8795B"/>
    <w:rsid w:val="00EB277E"/>
    <w:rsid w:val="00EB7B3B"/>
    <w:rsid w:val="00EE2CA4"/>
    <w:rsid w:val="00F008E4"/>
    <w:rsid w:val="00F14DB8"/>
    <w:rsid w:val="00F3454D"/>
    <w:rsid w:val="00F3737B"/>
    <w:rsid w:val="00F6315A"/>
    <w:rsid w:val="00FF6CDB"/>
    <w:rsid w:val="01582EB3"/>
    <w:rsid w:val="01D92F4B"/>
    <w:rsid w:val="021D09AE"/>
    <w:rsid w:val="02317CA1"/>
    <w:rsid w:val="02C26D17"/>
    <w:rsid w:val="032B2B72"/>
    <w:rsid w:val="03633F1C"/>
    <w:rsid w:val="03877CF5"/>
    <w:rsid w:val="03971CD2"/>
    <w:rsid w:val="03A73B20"/>
    <w:rsid w:val="03AF5F26"/>
    <w:rsid w:val="04D27C6A"/>
    <w:rsid w:val="04DA6E85"/>
    <w:rsid w:val="054E0E8D"/>
    <w:rsid w:val="059D199E"/>
    <w:rsid w:val="065A73D7"/>
    <w:rsid w:val="068D56CD"/>
    <w:rsid w:val="068F1656"/>
    <w:rsid w:val="06CE3C39"/>
    <w:rsid w:val="070745F4"/>
    <w:rsid w:val="0750320D"/>
    <w:rsid w:val="080C427F"/>
    <w:rsid w:val="08496DC5"/>
    <w:rsid w:val="08601190"/>
    <w:rsid w:val="08610C17"/>
    <w:rsid w:val="08754C50"/>
    <w:rsid w:val="08AB76E6"/>
    <w:rsid w:val="08B17C7F"/>
    <w:rsid w:val="09794F69"/>
    <w:rsid w:val="09965884"/>
    <w:rsid w:val="09A97994"/>
    <w:rsid w:val="09BC7107"/>
    <w:rsid w:val="09C86481"/>
    <w:rsid w:val="09CD6F6A"/>
    <w:rsid w:val="0ABD2EA9"/>
    <w:rsid w:val="0AF02B7A"/>
    <w:rsid w:val="0B0C0657"/>
    <w:rsid w:val="0B2F7E6E"/>
    <w:rsid w:val="0B7057C8"/>
    <w:rsid w:val="0BF51CAC"/>
    <w:rsid w:val="0C327E5C"/>
    <w:rsid w:val="0C782ACE"/>
    <w:rsid w:val="0CD8398F"/>
    <w:rsid w:val="0D66464C"/>
    <w:rsid w:val="0DCA24E7"/>
    <w:rsid w:val="0E1905E8"/>
    <w:rsid w:val="0E3D2D31"/>
    <w:rsid w:val="0E6B081A"/>
    <w:rsid w:val="0E812A35"/>
    <w:rsid w:val="0F1A64E0"/>
    <w:rsid w:val="0F3A7BBE"/>
    <w:rsid w:val="0FB146BC"/>
    <w:rsid w:val="10D0376E"/>
    <w:rsid w:val="11D75F2F"/>
    <w:rsid w:val="11D802DB"/>
    <w:rsid w:val="121401BA"/>
    <w:rsid w:val="122136E2"/>
    <w:rsid w:val="122B009F"/>
    <w:rsid w:val="135D03D9"/>
    <w:rsid w:val="136D0116"/>
    <w:rsid w:val="13A17616"/>
    <w:rsid w:val="149264E6"/>
    <w:rsid w:val="14B05B25"/>
    <w:rsid w:val="14F31DE2"/>
    <w:rsid w:val="15127621"/>
    <w:rsid w:val="15147EEB"/>
    <w:rsid w:val="156A2C3E"/>
    <w:rsid w:val="157A3189"/>
    <w:rsid w:val="15E37C52"/>
    <w:rsid w:val="166938A9"/>
    <w:rsid w:val="169221B4"/>
    <w:rsid w:val="16EA0A1B"/>
    <w:rsid w:val="181D0AF6"/>
    <w:rsid w:val="18E12A26"/>
    <w:rsid w:val="1A2F34CF"/>
    <w:rsid w:val="1AEF4D78"/>
    <w:rsid w:val="1B0B6786"/>
    <w:rsid w:val="1C2E1750"/>
    <w:rsid w:val="1C8A5079"/>
    <w:rsid w:val="1D520C3E"/>
    <w:rsid w:val="1D886D0B"/>
    <w:rsid w:val="1DA340AC"/>
    <w:rsid w:val="1E2F4E67"/>
    <w:rsid w:val="1E506972"/>
    <w:rsid w:val="1E8146FC"/>
    <w:rsid w:val="1EC8639D"/>
    <w:rsid w:val="1EC97805"/>
    <w:rsid w:val="1EFB07B0"/>
    <w:rsid w:val="1F6101B7"/>
    <w:rsid w:val="1FABD71D"/>
    <w:rsid w:val="20505929"/>
    <w:rsid w:val="2093268B"/>
    <w:rsid w:val="21134B3E"/>
    <w:rsid w:val="228770CD"/>
    <w:rsid w:val="236906A5"/>
    <w:rsid w:val="23AA7995"/>
    <w:rsid w:val="23BA0D09"/>
    <w:rsid w:val="24BA0C0F"/>
    <w:rsid w:val="259F5563"/>
    <w:rsid w:val="25AD749C"/>
    <w:rsid w:val="25AE4162"/>
    <w:rsid w:val="261B2634"/>
    <w:rsid w:val="26872640"/>
    <w:rsid w:val="26C653DA"/>
    <w:rsid w:val="26EC5D21"/>
    <w:rsid w:val="27615821"/>
    <w:rsid w:val="27A13E6E"/>
    <w:rsid w:val="28863E70"/>
    <w:rsid w:val="288A6337"/>
    <w:rsid w:val="28994B2A"/>
    <w:rsid w:val="28CD1B01"/>
    <w:rsid w:val="290441D9"/>
    <w:rsid w:val="292E4395"/>
    <w:rsid w:val="29867FF5"/>
    <w:rsid w:val="29D72E63"/>
    <w:rsid w:val="29F01BC9"/>
    <w:rsid w:val="2A1248CB"/>
    <w:rsid w:val="2A24302B"/>
    <w:rsid w:val="2A7456B8"/>
    <w:rsid w:val="2CA270C4"/>
    <w:rsid w:val="2CB024EC"/>
    <w:rsid w:val="2CD45AC9"/>
    <w:rsid w:val="2CE61692"/>
    <w:rsid w:val="2D2B1A30"/>
    <w:rsid w:val="2D5BB7F4"/>
    <w:rsid w:val="2DA87FE3"/>
    <w:rsid w:val="2DAB1C1C"/>
    <w:rsid w:val="2E6455AA"/>
    <w:rsid w:val="2E6E5875"/>
    <w:rsid w:val="2EAA1E45"/>
    <w:rsid w:val="2EBA2F30"/>
    <w:rsid w:val="2F8573F4"/>
    <w:rsid w:val="2FFD4B55"/>
    <w:rsid w:val="31F32BCC"/>
    <w:rsid w:val="322D5537"/>
    <w:rsid w:val="32500429"/>
    <w:rsid w:val="32B00783"/>
    <w:rsid w:val="33987EA4"/>
    <w:rsid w:val="33E55770"/>
    <w:rsid w:val="343041E9"/>
    <w:rsid w:val="343E2C5A"/>
    <w:rsid w:val="347167BC"/>
    <w:rsid w:val="34AD4440"/>
    <w:rsid w:val="34E404B6"/>
    <w:rsid w:val="353874A5"/>
    <w:rsid w:val="356C4B0F"/>
    <w:rsid w:val="357756D0"/>
    <w:rsid w:val="35F83418"/>
    <w:rsid w:val="36433E0B"/>
    <w:rsid w:val="3685618C"/>
    <w:rsid w:val="36DF7E92"/>
    <w:rsid w:val="37210A48"/>
    <w:rsid w:val="37C605ED"/>
    <w:rsid w:val="37EC07D4"/>
    <w:rsid w:val="39054161"/>
    <w:rsid w:val="395157DA"/>
    <w:rsid w:val="39D81DB4"/>
    <w:rsid w:val="39DD1F63"/>
    <w:rsid w:val="3A875795"/>
    <w:rsid w:val="3B3A6848"/>
    <w:rsid w:val="3C7702D9"/>
    <w:rsid w:val="3C822FFF"/>
    <w:rsid w:val="3C987755"/>
    <w:rsid w:val="3D1712DB"/>
    <w:rsid w:val="3D6E4CFB"/>
    <w:rsid w:val="3DB948D9"/>
    <w:rsid w:val="3DED19CC"/>
    <w:rsid w:val="3E551C1D"/>
    <w:rsid w:val="3EAA16DD"/>
    <w:rsid w:val="3EE7006C"/>
    <w:rsid w:val="3F043070"/>
    <w:rsid w:val="3F397145"/>
    <w:rsid w:val="3F3C12AC"/>
    <w:rsid w:val="419141BF"/>
    <w:rsid w:val="41C01A6A"/>
    <w:rsid w:val="41C515FE"/>
    <w:rsid w:val="42C52D12"/>
    <w:rsid w:val="42EA0B90"/>
    <w:rsid w:val="436E1D48"/>
    <w:rsid w:val="442221E6"/>
    <w:rsid w:val="44FC0AD9"/>
    <w:rsid w:val="45C66F5A"/>
    <w:rsid w:val="464311BD"/>
    <w:rsid w:val="46762869"/>
    <w:rsid w:val="46800ECA"/>
    <w:rsid w:val="46C0784B"/>
    <w:rsid w:val="46D65DFF"/>
    <w:rsid w:val="46ED43C8"/>
    <w:rsid w:val="47655748"/>
    <w:rsid w:val="481F5D29"/>
    <w:rsid w:val="485B08F6"/>
    <w:rsid w:val="48CB3DCC"/>
    <w:rsid w:val="48E65506"/>
    <w:rsid w:val="49A95325"/>
    <w:rsid w:val="49C60D15"/>
    <w:rsid w:val="4A601190"/>
    <w:rsid w:val="4C72500A"/>
    <w:rsid w:val="4E470451"/>
    <w:rsid w:val="4E5A4E46"/>
    <w:rsid w:val="4E776E4B"/>
    <w:rsid w:val="4EBE5040"/>
    <w:rsid w:val="4EC635D4"/>
    <w:rsid w:val="4EF42DDE"/>
    <w:rsid w:val="4F021DFD"/>
    <w:rsid w:val="4F3F1441"/>
    <w:rsid w:val="4FA93361"/>
    <w:rsid w:val="50491464"/>
    <w:rsid w:val="50EB4351"/>
    <w:rsid w:val="516E5D30"/>
    <w:rsid w:val="519A61B8"/>
    <w:rsid w:val="529328AD"/>
    <w:rsid w:val="52A26688"/>
    <w:rsid w:val="52C3106D"/>
    <w:rsid w:val="532D1C0A"/>
    <w:rsid w:val="53583E88"/>
    <w:rsid w:val="54D72BF4"/>
    <w:rsid w:val="54F6709D"/>
    <w:rsid w:val="566138B1"/>
    <w:rsid w:val="56F540E8"/>
    <w:rsid w:val="57814C22"/>
    <w:rsid w:val="579303E0"/>
    <w:rsid w:val="57BD125F"/>
    <w:rsid w:val="59005937"/>
    <w:rsid w:val="596D5572"/>
    <w:rsid w:val="5A106A61"/>
    <w:rsid w:val="5B012DD6"/>
    <w:rsid w:val="5B4A303E"/>
    <w:rsid w:val="5B867F38"/>
    <w:rsid w:val="5BBF1EDC"/>
    <w:rsid w:val="5C0D5EDF"/>
    <w:rsid w:val="5CCB520D"/>
    <w:rsid w:val="5CDE5F6B"/>
    <w:rsid w:val="5CE729B2"/>
    <w:rsid w:val="5D072615"/>
    <w:rsid w:val="5D820B03"/>
    <w:rsid w:val="5DDC291B"/>
    <w:rsid w:val="5DE919D2"/>
    <w:rsid w:val="5DE96BF2"/>
    <w:rsid w:val="5E3B56D9"/>
    <w:rsid w:val="5E7F01AB"/>
    <w:rsid w:val="5E910416"/>
    <w:rsid w:val="5FC652D8"/>
    <w:rsid w:val="6043407E"/>
    <w:rsid w:val="605F74B4"/>
    <w:rsid w:val="607B68FE"/>
    <w:rsid w:val="617007B5"/>
    <w:rsid w:val="61E56E86"/>
    <w:rsid w:val="621870FC"/>
    <w:rsid w:val="62DA2A3D"/>
    <w:rsid w:val="637B3A8F"/>
    <w:rsid w:val="63A65E89"/>
    <w:rsid w:val="656453FF"/>
    <w:rsid w:val="65737FA2"/>
    <w:rsid w:val="65C02263"/>
    <w:rsid w:val="65D920E1"/>
    <w:rsid w:val="65D95650"/>
    <w:rsid w:val="65D9655D"/>
    <w:rsid w:val="6656630C"/>
    <w:rsid w:val="66EC0C69"/>
    <w:rsid w:val="67AD24B8"/>
    <w:rsid w:val="67F5DAB5"/>
    <w:rsid w:val="68261741"/>
    <w:rsid w:val="68817BAC"/>
    <w:rsid w:val="68B41451"/>
    <w:rsid w:val="693E2FAD"/>
    <w:rsid w:val="698062FC"/>
    <w:rsid w:val="69BD5EE8"/>
    <w:rsid w:val="6A740B43"/>
    <w:rsid w:val="6ABD46BF"/>
    <w:rsid w:val="6AF730BD"/>
    <w:rsid w:val="6B617BE2"/>
    <w:rsid w:val="6BA66029"/>
    <w:rsid w:val="6CA041B2"/>
    <w:rsid w:val="6CE11BF2"/>
    <w:rsid w:val="6DDD5EBF"/>
    <w:rsid w:val="6E2E2D6D"/>
    <w:rsid w:val="6E460B96"/>
    <w:rsid w:val="6EA82131"/>
    <w:rsid w:val="6F046708"/>
    <w:rsid w:val="6FB410D2"/>
    <w:rsid w:val="6FC54BEF"/>
    <w:rsid w:val="706921FA"/>
    <w:rsid w:val="70B22C23"/>
    <w:rsid w:val="71411B5D"/>
    <w:rsid w:val="719931E1"/>
    <w:rsid w:val="7240055A"/>
    <w:rsid w:val="728E0BA0"/>
    <w:rsid w:val="736064A7"/>
    <w:rsid w:val="73F71039"/>
    <w:rsid w:val="73F91498"/>
    <w:rsid w:val="74D975E2"/>
    <w:rsid w:val="754E52B9"/>
    <w:rsid w:val="756B7D6A"/>
    <w:rsid w:val="757C417D"/>
    <w:rsid w:val="759455DB"/>
    <w:rsid w:val="75D160D9"/>
    <w:rsid w:val="762914BB"/>
    <w:rsid w:val="773A73AB"/>
    <w:rsid w:val="775767BB"/>
    <w:rsid w:val="7779068F"/>
    <w:rsid w:val="77B92148"/>
    <w:rsid w:val="77FFE39F"/>
    <w:rsid w:val="781B1736"/>
    <w:rsid w:val="78F051A8"/>
    <w:rsid w:val="79EF18A6"/>
    <w:rsid w:val="7A903B21"/>
    <w:rsid w:val="7C646F9B"/>
    <w:rsid w:val="7CF2196B"/>
    <w:rsid w:val="7D2E7430"/>
    <w:rsid w:val="7D9A013D"/>
    <w:rsid w:val="7E9160CF"/>
    <w:rsid w:val="7EC635B1"/>
    <w:rsid w:val="7EC677D3"/>
    <w:rsid w:val="7FDC2489"/>
    <w:rsid w:val="7FFDEEFD"/>
    <w:rsid w:val="D74FDF30"/>
    <w:rsid w:val="DEAEE68D"/>
    <w:rsid w:val="F7F97754"/>
    <w:rsid w:val="FB7FC3E7"/>
    <w:rsid w:val="FF3F61B6"/>
    <w:rsid w:val="FFC7E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9"/>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4"/>
    <w:qFormat/>
    <w:uiPriority w:val="9"/>
    <w:pPr>
      <w:keepNext/>
      <w:keepLines/>
      <w:spacing w:before="260" w:after="260" w:line="416" w:lineRule="atLeast"/>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17"/>
    <w:unhideWhenUsed/>
    <w:qFormat/>
    <w:uiPriority w:val="99"/>
    <w:pPr>
      <w:spacing w:line="240" w:lineRule="auto"/>
    </w:pPr>
    <w:rPr>
      <w:sz w:val="18"/>
      <w:szCs w:val="18"/>
    </w:rPr>
  </w:style>
  <w:style w:type="paragraph" w:styleId="7">
    <w:name w:val="footer"/>
    <w:basedOn w:val="1"/>
    <w:link w:val="15"/>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character" w:styleId="13">
    <w:name w:val="Hyperlink"/>
    <w:unhideWhenUsed/>
    <w:qFormat/>
    <w:uiPriority w:val="99"/>
    <w:rPr>
      <w:color w:val="0000FF"/>
      <w:u w:val="single"/>
    </w:rPr>
  </w:style>
  <w:style w:type="character" w:customStyle="1" w:styleId="14">
    <w:name w:val="标题 3 字符"/>
    <w:link w:val="4"/>
    <w:semiHidden/>
    <w:qFormat/>
    <w:uiPriority w:val="9"/>
    <w:rPr>
      <w:b/>
      <w:bCs/>
      <w:sz w:val="32"/>
      <w:szCs w:val="32"/>
    </w:rPr>
  </w:style>
  <w:style w:type="character" w:customStyle="1" w:styleId="15">
    <w:name w:val="页脚 字符"/>
    <w:link w:val="7"/>
    <w:semiHidden/>
    <w:qFormat/>
    <w:uiPriority w:val="0"/>
    <w:rPr>
      <w:sz w:val="18"/>
      <w:szCs w:val="18"/>
    </w:rPr>
  </w:style>
  <w:style w:type="character" w:customStyle="1" w:styleId="16">
    <w:name w:val="页眉 字符"/>
    <w:link w:val="8"/>
    <w:semiHidden/>
    <w:uiPriority w:val="0"/>
    <w:rPr>
      <w:sz w:val="18"/>
      <w:szCs w:val="18"/>
    </w:rPr>
  </w:style>
  <w:style w:type="character" w:customStyle="1" w:styleId="17">
    <w:name w:val="批注框文本 字符"/>
    <w:link w:val="6"/>
    <w:semiHidden/>
    <w:qFormat/>
    <w:uiPriority w:val="99"/>
    <w:rPr>
      <w:sz w:val="18"/>
      <w:szCs w:val="18"/>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1 字符"/>
    <w:link w:val="2"/>
    <w:qFormat/>
    <w:uiPriority w:val="9"/>
    <w:rPr>
      <w:b/>
      <w:bCs/>
      <w:kern w:val="44"/>
      <w:sz w:val="44"/>
      <w:szCs w:val="44"/>
    </w:rPr>
  </w:style>
  <w:style w:type="paragraph" w:customStyle="1" w:styleId="20">
    <w:name w:val="TOC Heading"/>
    <w:basedOn w:val="2"/>
    <w:next w:val="1"/>
    <w:qFormat/>
    <w:uiPriority w:val="39"/>
    <w:pPr>
      <w:widowControl/>
      <w:adjustRightInd/>
      <w:spacing w:before="480" w:after="0" w:line="276" w:lineRule="auto"/>
      <w:textAlignment w:val="auto"/>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4549</Words>
  <Characters>5189</Characters>
  <Lines>24</Lines>
  <Paragraphs>7</Paragraphs>
  <TotalTime>131</TotalTime>
  <ScaleCrop>false</ScaleCrop>
  <LinksUpToDate>false</LinksUpToDate>
  <CharactersWithSpaces>5300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2025-09-05T02:36:00Z</dcterms:created>
  <dc:creator>Administrator</dc:creator>
  <cp:lastModifiedBy>Administrator</cp:lastModifiedBy>
  <cp:lastPrinted>2025-06-25T07:52:00Z</cp:lastPrinted>
  <dcterms:modified xsi:type="dcterms:W3CDTF">2025-09-26T09:58:00Z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45B29D27DA12464F966D89E11FB82948</vt:lpwstr>
  </property>
  <property fmtid="{D5CDD505-2E9C-101B-9397-08002B2CF9AE}" pid="3" name="KSOProductBuildVer">
    <vt:lpwstr>2052-12.1.0.22529</vt:lpwstr>
  </property>
  <property fmtid="{D5CDD505-2E9C-101B-9397-08002B2CF9AE}" pid="4" name="KSOTemplateDocerSaveRecord">
    <vt:lpwstr>eyJoZGlkIjoiYWY4OThhNTQwZGYyZTMxNzkyODQyYWM0YzIyMmY4YTIifQ==</vt:lpwstr>
  </property>
</Properties>
</file>