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ackground w:color="ffffff">
    <v:background id="_x0000_s1025" filled="t"/>
  </w:background>
  <w:body>
    <w:p w14:paraId="07A8E3C4">
      <w:pPr>
        <w:spacing w:line="580" w:lineRule="exact"/>
        <w:jc w:val="center"/>
        <w:rPr>
          <w:rFonts w:ascii="Times New Roman" w:eastAsia="黑体" w:hAnsi="Times New Roman"/>
          <w:w w:val="95"/>
          <w:sz w:val="44"/>
          <w:szCs w:val="44"/>
        </w:rPr>
      </w:pPr>
      <w:bookmarkStart w:id="0" w:name="_GoBack"/>
      <w:bookmarkEnd w:id="0"/>
    </w:p>
    <w:p w14:paraId="75368315">
      <w:pPr>
        <w:spacing w:line="580" w:lineRule="exact"/>
        <w:jc w:val="center"/>
        <w:rPr>
          <w:rFonts w:ascii="Times New Roman" w:eastAsia="黑体" w:hAnsi="Times New Roman"/>
          <w:w w:val="95"/>
          <w:sz w:val="44"/>
          <w:szCs w:val="44"/>
        </w:rPr>
      </w:pPr>
    </w:p>
    <w:p w14:paraId="474FB543">
      <w:pPr>
        <w:spacing w:line="580" w:lineRule="exact"/>
        <w:jc w:val="center"/>
        <w:rPr>
          <w:rFonts w:ascii="Times New Roman" w:eastAsia="黑体" w:hAnsi="Times New Roman"/>
          <w:w w:val="95"/>
          <w:sz w:val="44"/>
          <w:szCs w:val="44"/>
        </w:rPr>
      </w:pPr>
    </w:p>
    <w:p w14:paraId="57E9B643">
      <w:pPr>
        <w:spacing w:line="580" w:lineRule="exact"/>
        <w:jc w:val="center"/>
        <w:rPr>
          <w:rFonts w:ascii="Times New Roman" w:eastAsia="黑体" w:hAnsi="Times New Roman"/>
          <w:w w:val="95"/>
          <w:sz w:val="44"/>
          <w:szCs w:val="44"/>
        </w:rPr>
      </w:pPr>
    </w:p>
    <w:p w14:paraId="3C0209E6">
      <w:pPr>
        <w:spacing w:line="580" w:lineRule="exact"/>
        <w:jc w:val="center"/>
        <w:rPr>
          <w:rFonts w:ascii="Times New Roman" w:eastAsia="黑体" w:hAnsi="Times New Roman"/>
          <w:w w:val="95"/>
          <w:sz w:val="44"/>
          <w:szCs w:val="44"/>
        </w:rPr>
      </w:pPr>
    </w:p>
    <w:p w14:paraId="35428310">
      <w:pPr>
        <w:spacing w:line="580" w:lineRule="exact"/>
        <w:jc w:val="center"/>
        <w:rPr>
          <w:rFonts w:ascii="Times New Roman" w:eastAsia="黑体" w:hAnsi="Times New Roman"/>
          <w:w w:val="95"/>
          <w:sz w:val="44"/>
          <w:szCs w:val="44"/>
        </w:rPr>
      </w:pPr>
    </w:p>
    <w:p w14:paraId="53AAD3BA">
      <w:pPr>
        <w:spacing w:line="580" w:lineRule="exact"/>
        <w:jc w:val="center"/>
        <w:rPr>
          <w:rFonts w:ascii="Times New Roman" w:eastAsia="黑体" w:hAnsi="Times New Roman"/>
          <w:w w:val="95"/>
          <w:sz w:val="44"/>
          <w:szCs w:val="44"/>
        </w:rPr>
      </w:pPr>
    </w:p>
    <w:p w14:paraId="5B897B62">
      <w:pPr>
        <w:spacing w:line="580" w:lineRule="exact"/>
        <w:jc w:val="center"/>
        <w:rPr>
          <w:rFonts w:ascii="Times New Roman" w:eastAsia="黑体" w:hAnsi="Times New Roman"/>
          <w:w w:val="95"/>
          <w:sz w:val="44"/>
          <w:szCs w:val="44"/>
        </w:rPr>
      </w:pPr>
    </w:p>
    <w:p w14:paraId="444F3F42">
      <w:pPr>
        <w:spacing w:line="240" w:lineRule="auto"/>
        <w:jc w:val="center"/>
        <w:rPr>
          <w:rFonts w:ascii="Times New Roman" w:eastAsia="方正小标宋简体" w:hAnsi="Times New Roman" w:cs="方正小标宋简体"/>
          <w:sz w:val="48"/>
          <w:szCs w:val="48"/>
        </w:rPr>
      </w:pPr>
      <w:r>
        <w:rPr>
          <w:rFonts w:ascii="Times New Roman" w:eastAsia="方正小标宋简体" w:hAnsi="Times New Roman" w:cs="方正小标宋简体" w:hint="eastAsia"/>
          <w:sz w:val="48"/>
          <w:szCs w:val="48"/>
        </w:rPr>
        <w:t>天津市津南区产品质量监督检验所</w:t>
      </w:r>
    </w:p>
    <w:p w14:paraId="2F3AACF5">
      <w:pPr>
        <w:spacing w:line="240" w:lineRule="auto"/>
        <w:jc w:val="center"/>
        <w:rPr>
          <w:rFonts w:ascii="Times New Roman" w:eastAsia="方正小标宋简体" w:hAnsi="Times New Roman" w:cs="方正小标宋简体"/>
          <w:w w:val="95"/>
          <w:sz w:val="48"/>
          <w:szCs w:val="48"/>
        </w:rPr>
      </w:pPr>
      <w:r>
        <w:rPr>
          <w:rFonts w:ascii="Times New Roman" w:eastAsia="方正小标宋简体" w:hAnsi="Times New Roman" w:cs="方正小标宋简体" w:hint="eastAsia"/>
          <w:sz w:val="48"/>
          <w:szCs w:val="48"/>
        </w:rPr>
        <w:t>2024年度部门决算</w:t>
      </w:r>
    </w:p>
    <w:p w14:paraId="7909EEA5">
      <w:pPr>
        <w:spacing w:line="580" w:lineRule="exact"/>
        <w:jc w:val="center"/>
        <w:rPr>
          <w:rFonts w:ascii="Times New Roman" w:eastAsia="黑体" w:hAnsi="Times New Roman"/>
          <w:sz w:val="30"/>
          <w:szCs w:val="30"/>
        </w:rPr>
      </w:pPr>
    </w:p>
    <w:p w14:paraId="0D152043">
      <w:pPr>
        <w:spacing w:line="580" w:lineRule="exact"/>
        <w:jc w:val="center"/>
        <w:rPr>
          <w:rFonts w:ascii="Times New Roman" w:eastAsia="黑体" w:hAnsi="Times New Roman"/>
          <w:sz w:val="30"/>
          <w:szCs w:val="30"/>
        </w:rPr>
      </w:pPr>
    </w:p>
    <w:p w14:paraId="7E83689A">
      <w:pPr>
        <w:spacing w:line="580" w:lineRule="exact"/>
        <w:jc w:val="center"/>
        <w:rPr>
          <w:rFonts w:ascii="Times New Roman" w:eastAsia="黑体" w:hAnsi="Times New Roman"/>
          <w:sz w:val="30"/>
          <w:szCs w:val="30"/>
        </w:rPr>
      </w:pPr>
    </w:p>
    <w:p w14:paraId="1250D9FA">
      <w:pPr>
        <w:spacing w:line="580" w:lineRule="exact"/>
        <w:jc w:val="center"/>
        <w:rPr>
          <w:rFonts w:ascii="Times New Roman" w:eastAsia="黑体" w:hAnsi="Times New Roman"/>
          <w:sz w:val="30"/>
          <w:szCs w:val="30"/>
        </w:rPr>
      </w:pPr>
    </w:p>
    <w:p w14:paraId="42C71361">
      <w:pPr>
        <w:spacing w:line="580" w:lineRule="exact"/>
        <w:jc w:val="center"/>
        <w:rPr>
          <w:rFonts w:ascii="Times New Roman" w:eastAsia="黑体" w:hAnsi="Times New Roman"/>
          <w:sz w:val="30"/>
          <w:szCs w:val="30"/>
        </w:rPr>
      </w:pPr>
    </w:p>
    <w:p w14:paraId="6A3F359F">
      <w:pPr>
        <w:spacing w:line="580" w:lineRule="exact"/>
        <w:jc w:val="center"/>
        <w:rPr>
          <w:rFonts w:ascii="Times New Roman" w:eastAsia="黑体" w:hAnsi="Times New Roman"/>
          <w:sz w:val="30"/>
          <w:szCs w:val="30"/>
        </w:rPr>
      </w:pPr>
    </w:p>
    <w:p w14:paraId="15F8F63F">
      <w:pPr>
        <w:spacing w:line="580" w:lineRule="exact"/>
        <w:jc w:val="center"/>
        <w:rPr>
          <w:rFonts w:ascii="Times New Roman" w:eastAsia="黑体" w:hAnsi="Times New Roman"/>
          <w:sz w:val="30"/>
          <w:szCs w:val="30"/>
        </w:rPr>
      </w:pPr>
    </w:p>
    <w:p w14:paraId="0B0B8E6E">
      <w:pPr>
        <w:spacing w:line="580" w:lineRule="exact"/>
        <w:jc w:val="center"/>
        <w:rPr>
          <w:rFonts w:ascii="Times New Roman" w:eastAsia="黑体" w:hAnsi="Times New Roman"/>
          <w:sz w:val="30"/>
          <w:szCs w:val="30"/>
        </w:rPr>
      </w:pPr>
    </w:p>
    <w:p w14:paraId="5563C6A2">
      <w:pPr>
        <w:spacing w:line="580" w:lineRule="exact"/>
        <w:jc w:val="center"/>
        <w:rPr>
          <w:rFonts w:ascii="Times New Roman" w:eastAsia="黑体" w:hAnsi="Times New Roman"/>
          <w:sz w:val="30"/>
          <w:szCs w:val="30"/>
        </w:rPr>
      </w:pPr>
    </w:p>
    <w:p w14:paraId="6FC8294A">
      <w:pPr>
        <w:spacing w:line="580" w:lineRule="exact"/>
        <w:jc w:val="center"/>
        <w:rPr>
          <w:rFonts w:ascii="Times New Roman" w:eastAsia="黑体" w:hAnsi="Times New Roman"/>
          <w:sz w:val="30"/>
          <w:szCs w:val="30"/>
        </w:rPr>
      </w:pPr>
    </w:p>
    <w:p w14:paraId="6CE4E00F">
      <w:pPr>
        <w:spacing w:line="580" w:lineRule="exact"/>
        <w:jc w:val="center"/>
        <w:rPr>
          <w:rFonts w:ascii="Times New Roman" w:eastAsia="黑体" w:hAnsi="Times New Roman"/>
          <w:sz w:val="30"/>
          <w:szCs w:val="30"/>
        </w:rPr>
      </w:pPr>
    </w:p>
    <w:p w14:paraId="23749A1C">
      <w:pPr>
        <w:spacing w:line="580" w:lineRule="exact"/>
        <w:jc w:val="center"/>
        <w:rPr>
          <w:rFonts w:ascii="Times New Roman" w:eastAsia="黑体" w:hAnsi="Times New Roman"/>
          <w:sz w:val="44"/>
          <w:szCs w:val="44"/>
        </w:rPr>
      </w:pPr>
    </w:p>
    <w:p w14:paraId="4B48E4FC">
      <w:pPr>
        <w:spacing w:line="600" w:lineRule="exact"/>
        <w:jc w:val="center"/>
        <w:rPr>
          <w:rFonts w:ascii="Times New Roman" w:eastAsia="黑体" w:hAnsi="Times New Roman"/>
          <w:sz w:val="44"/>
          <w:szCs w:val="44"/>
        </w:rPr>
        <w:sectPr>
          <w:pgSz w:w="11906" w:h="16838"/>
          <w:pgMar w:top="1440" w:right="1800" w:bottom="1440" w:left="1800" w:header="851" w:footer="992" w:gutter="0"/>
          <w:pgNumType w:start="1"/>
          <w:cols w:num="1" w:space="720"/>
          <w:docGrid w:type="lines" w:linePitch="312" w:charSpace="0"/>
        </w:sectPr>
      </w:pPr>
    </w:p>
    <w:p w14:paraId="468575F5">
      <w:pPr>
        <w:spacing w:line="600" w:lineRule="exact"/>
        <w:jc w:val="center"/>
        <w:rPr>
          <w:rFonts w:ascii="Times New Roman" w:eastAsia="黑体" w:hAnsi="Times New Roman"/>
          <w:sz w:val="44"/>
          <w:szCs w:val="44"/>
        </w:rPr>
      </w:pPr>
    </w:p>
    <w:p w14:paraId="090B0CC0">
      <w:pPr>
        <w:spacing w:line="600" w:lineRule="exact"/>
        <w:jc w:val="center"/>
        <w:rPr>
          <w:rFonts w:ascii="Times New Roman" w:eastAsia="黑体" w:hAnsi="Times New Roman"/>
          <w:sz w:val="44"/>
          <w:szCs w:val="44"/>
        </w:rPr>
      </w:pPr>
      <w:r>
        <w:rPr>
          <w:rFonts w:ascii="Times New Roman" w:eastAsia="黑体" w:hAnsi="Times New Roman" w:hint="eastAsia"/>
          <w:sz w:val="44"/>
          <w:szCs w:val="44"/>
        </w:rPr>
        <w:t>目   录</w:t>
      </w:r>
    </w:p>
    <w:p w14:paraId="07F4E5F0">
      <w:pPr>
        <w:spacing w:line="600" w:lineRule="exact"/>
        <w:rPr>
          <w:rFonts w:ascii="Times New Roman" w:eastAsia="黑体" w:hAnsi="Times New Roman"/>
          <w:sz w:val="30"/>
          <w:szCs w:val="30"/>
        </w:rPr>
      </w:pPr>
    </w:p>
    <w:p w14:paraId="05BC2129">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TOC \o "1-3" \h \z \u </w:instrText>
      </w:r>
      <w:r>
        <w:rPr>
          <w:rFonts w:ascii="Times New Roman" w:eastAsia="仿宋_GB2312" w:hAnsi="Times New Roman" w:cs="Times New Roman"/>
          <w:sz w:val="30"/>
          <w:szCs w:val="30"/>
        </w:rPr>
        <w:fldChar w:fldCharType="separate"/>
      </w:r>
      <w:hyperlink w:anchor="_Toc15895" w:history="1">
        <w:r>
          <w:rPr>
            <w:rFonts w:ascii="Times New Roman" w:eastAsia="方正小标宋简体" w:hAnsi="Times New Roman" w:cs="方正小标宋简体" w:hint="eastAsia"/>
            <w:sz w:val="30"/>
            <w:szCs w:val="30"/>
          </w:rPr>
          <w:t>第一部分  概 况</w:t>
        </w:r>
      </w:hyperlink>
    </w:p>
    <w:p w14:paraId="4875053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8346" w:history="1">
        <w:r>
          <w:rPr>
            <w:rFonts w:ascii="Times New Roman" w:eastAsia="仿宋_GB2312" w:hAnsi="Times New Roman" w:cs="仿宋_GB2312" w:hint="eastAsia"/>
            <w:bCs w:val="0"/>
            <w:sz w:val="30"/>
            <w:szCs w:val="30"/>
          </w:rPr>
          <w:t>一、主要职责</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_Toc28346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14:paraId="7C0C551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5737" w:history="1">
        <w:r>
          <w:rPr>
            <w:rFonts w:ascii="Times New Roman" w:eastAsia="仿宋_GB2312" w:hAnsi="Times New Roman" w:cs="仿宋_GB2312" w:hint="eastAsia"/>
            <w:sz w:val="30"/>
            <w:szCs w:val="30"/>
          </w:rPr>
          <w:t>二、机构设置</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_Toc25737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14:paraId="67726531">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5448" w:history="1">
        <w:r>
          <w:rPr>
            <w:rFonts w:ascii="Times New Roman" w:eastAsia="方正小标宋简体" w:hAnsi="Times New Roman" w:cs="方正小标宋简体" w:hint="eastAsia"/>
            <w:sz w:val="30"/>
            <w:szCs w:val="30"/>
          </w:rPr>
          <w:t>第二部分  2024年度部门决算表</w:t>
        </w:r>
      </w:hyperlink>
    </w:p>
    <w:p w14:paraId="5E0B704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089" w:history="1">
        <w:r>
          <w:rPr>
            <w:rFonts w:ascii="Times New Roman" w:eastAsia="仿宋_GB2312" w:hAnsi="Times New Roman" w:cs="仿宋_GB2312" w:hint="eastAsia"/>
            <w:sz w:val="30"/>
            <w:szCs w:val="30"/>
          </w:rPr>
          <w:t>一、《收入支出决算总表》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_Toc8089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AB8958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9574" w:history="1">
        <w:r>
          <w:rPr>
            <w:rFonts w:ascii="Times New Roman" w:eastAsia="仿宋_GB2312" w:hAnsi="Times New Roman" w:cs="仿宋_GB2312" w:hint="eastAsia"/>
            <w:sz w:val="30"/>
            <w:szCs w:val="30"/>
          </w:rPr>
          <w:t>二、《收入决算表（按功能分类列示）》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_Toc29574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0F5581BE">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392" w:history="1">
        <w:r>
          <w:rPr>
            <w:rFonts w:ascii="Times New Roman" w:eastAsia="仿宋_GB2312" w:hAnsi="Times New Roman" w:cs="仿宋_GB2312" w:hint="eastAsia"/>
            <w:sz w:val="30"/>
            <w:szCs w:val="30"/>
          </w:rPr>
          <w:t>三、《收入决算表（按单位列示）》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_Toc1392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116F26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8946" w:history="1">
        <w:r>
          <w:rPr>
            <w:rFonts w:ascii="Times New Roman" w:eastAsia="仿宋_GB2312" w:hAnsi="Times New Roman" w:cs="仿宋_GB2312" w:hint="eastAsia"/>
            <w:sz w:val="30"/>
            <w:szCs w:val="30"/>
          </w:rPr>
          <w:t>四、《支出决算表》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_Toc28946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5162AD2C">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0939" w:history="1">
        <w:r>
          <w:rPr>
            <w:rFonts w:ascii="Times New Roman" w:eastAsia="仿宋_GB2312" w:hAnsi="Times New Roman" w:cs="仿宋_GB2312" w:hint="eastAsia"/>
            <w:sz w:val="30"/>
            <w:szCs w:val="30"/>
          </w:rPr>
          <w:t>五、《财政拨款收入支出决算总表》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_Toc10939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7E341B0F">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9732" w:history="1">
        <w:r>
          <w:rPr>
            <w:rFonts w:ascii="Times New Roman" w:eastAsia="仿宋_GB2312" w:hAnsi="Times New Roman" w:cs="仿宋_GB2312" w:hint="eastAsia"/>
            <w:sz w:val="30"/>
            <w:szCs w:val="30"/>
          </w:rPr>
          <w:t>六、《一般公共预算财政拨款支出决算表》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_Toc9732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52D7B52F">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588" w:history="1">
        <w:r>
          <w:rPr>
            <w:rFonts w:ascii="Times New Roman" w:eastAsia="仿宋_GB2312" w:hAnsi="Times New Roman" w:cs="仿宋_GB2312" w:hint="eastAsia"/>
            <w:sz w:val="30"/>
            <w:szCs w:val="30"/>
          </w:rPr>
          <w:t>七、《一般公共预算财政拨款基本支出决算表》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_Toc8588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2FEDC61">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9750" w:history="1">
        <w:r>
          <w:rPr>
            <w:rFonts w:ascii="Times New Roman" w:eastAsia="仿宋_GB2312" w:hAnsi="Times New Roman" w:cs="仿宋_GB2312" w:hint="eastAsia"/>
            <w:sz w:val="30"/>
            <w:szCs w:val="30"/>
          </w:rPr>
          <w:t>八、《政府性基金预算财政拨款收入支出决算表》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_Toc29750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03A3D75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7443" w:history="1">
        <w:r>
          <w:rPr>
            <w:rFonts w:ascii="Times New Roman" w:eastAsia="仿宋_GB2312" w:hAnsi="Times New Roman" w:cs="仿宋_GB2312" w:hint="eastAsia"/>
            <w:sz w:val="30"/>
            <w:szCs w:val="30"/>
          </w:rPr>
          <w:t>九、《国有资本经营预算财政拨款收入支出决算表》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_Toc17443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6381113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0096" w:history="1">
        <w:r>
          <w:rPr>
            <w:rFonts w:ascii="Times New Roman" w:eastAsia="仿宋_GB2312" w:hAnsi="Times New Roman" w:cs="仿宋_GB2312" w:hint="eastAsia"/>
            <w:sz w:val="30"/>
            <w:szCs w:val="30"/>
          </w:rPr>
          <w:t>十、《财政拨款“三公”经费支出决算表》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_Toc30096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365E219A">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1214" w:history="1">
        <w:r>
          <w:rPr>
            <w:rFonts w:ascii="Times New Roman" w:eastAsia="仿宋_GB2312" w:hAnsi="Times New Roman" w:cs="仿宋_GB2312" w:hint="eastAsia"/>
            <w:sz w:val="30"/>
            <w:szCs w:val="30"/>
          </w:rPr>
          <w:t>十一、《项目支出决算表》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_Toc21214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5A8B4F7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9893" w:history="1">
        <w:r>
          <w:rPr>
            <w:rFonts w:ascii="Times New Roman" w:eastAsia="仿宋_GB2312" w:hAnsi="Times New Roman" w:cs="仿宋_GB2312" w:hint="eastAsia"/>
            <w:sz w:val="30"/>
            <w:szCs w:val="30"/>
          </w:rPr>
          <w:t>十二、关于空表的说明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_Toc9893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14:paraId="24A6FB77">
      <w:pPr>
        <w:rPr>
          <w:rFonts w:ascii="Times New Roman" w:eastAsia="仿宋_GB2312" w:hAnsi="Times New Roman" w:cs="仿宋_GB2312" w:hint="eastAsia"/>
          <w:sz w:val="30"/>
          <w:szCs w:val="30"/>
        </w:rPr>
      </w:pPr>
      <w:r>
        <w:rPr>
          <w:rFonts w:ascii="Times New Roman" w:eastAsia="仿宋_GB2312" w:hAnsi="Times New Roman" w:cs="仿宋_GB2312" w:hint="eastAsia"/>
          <w:sz w:val="30"/>
          <w:szCs w:val="30"/>
        </w:rPr>
        <w:br w:type="page"/>
      </w:r>
    </w:p>
    <w:p w14:paraId="3EE5A6A3">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6351" w:history="1">
        <w:r>
          <w:rPr>
            <w:rFonts w:ascii="Times New Roman" w:eastAsia="方正小标宋简体" w:hAnsi="Times New Roman" w:cs="方正小标宋简体" w:hint="eastAsia"/>
            <w:sz w:val="30"/>
            <w:szCs w:val="30"/>
          </w:rPr>
          <w:t>第三部分  2024年度部门决算情况说明</w:t>
        </w:r>
        <w:r>
          <w:rPr>
            <w:rFonts w:ascii="Times New Roman" w:eastAsia="方正小标宋简体" w:hAnsi="Times New Roman" w:cs="方正小标宋简体" w:hint="eastAsia"/>
            <w:sz w:val="30"/>
            <w:szCs w:val="30"/>
          </w:rPr>
          <w:tab/>
        </w:r>
        <w:r>
          <w:rPr>
            <w:rFonts w:ascii="Times New Roman" w:eastAsia="方正小标宋简体" w:hAnsi="Times New Roman" w:cs="方正小标宋简体" w:hint="eastAsia"/>
            <w:sz w:val="30"/>
            <w:szCs w:val="30"/>
          </w:rPr>
          <w:fldChar w:fldCharType="begin"/>
        </w:r>
        <w:r>
          <w:rPr>
            <w:rFonts w:ascii="Times New Roman" w:eastAsia="方正小标宋简体" w:hAnsi="Times New Roman" w:cs="方正小标宋简体" w:hint="eastAsia"/>
            <w:sz w:val="30"/>
            <w:szCs w:val="30"/>
          </w:rPr>
          <w:instrText xml:space="preserve"> PAGEREF _Toc26351 \h </w:instrText>
        </w:r>
        <w:r>
          <w:rPr>
            <w:rFonts w:ascii="Times New Roman" w:eastAsia="方正小标宋简体" w:hAnsi="Times New Roman" w:cs="方正小标宋简体" w:hint="eastAsia"/>
            <w:sz w:val="30"/>
            <w:szCs w:val="30"/>
          </w:rPr>
          <w:fldChar w:fldCharType="separate"/>
        </w:r>
        <w:r>
          <w:rPr>
            <w:rFonts w:ascii="Times New Roman" w:eastAsia="方正小标宋简体" w:hAnsi="Times New Roman" w:cs="方正小标宋简体" w:hint="eastAsia"/>
            <w:sz w:val="30"/>
            <w:szCs w:val="30"/>
          </w:rPr>
          <w:t>4</w:t>
        </w:r>
        <w:r>
          <w:rPr>
            <w:rFonts w:ascii="Times New Roman" w:eastAsia="方正小标宋简体" w:hAnsi="Times New Roman" w:cs="方正小标宋简体" w:hint="eastAsia"/>
            <w:sz w:val="30"/>
            <w:szCs w:val="30"/>
          </w:rPr>
          <w:fldChar w:fldCharType="end"/>
        </w:r>
      </w:hyperlink>
    </w:p>
    <w:p w14:paraId="503008F7">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4113" w:history="1">
        <w:r>
          <w:rPr>
            <w:rFonts w:ascii="Times New Roman" w:eastAsia="仿宋_GB2312" w:hAnsi="Times New Roman" w:cs="仿宋_GB2312" w:hint="eastAsia"/>
            <w:sz w:val="30"/>
            <w:szCs w:val="30"/>
          </w:rPr>
          <w:t>一、收入支出决算总体情况说明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_Toc14113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14:paraId="4785F69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31" w:history="1">
        <w:r>
          <w:rPr>
            <w:rFonts w:ascii="Times New Roman" w:eastAsia="仿宋_GB2312" w:hAnsi="Times New Roman" w:cs="仿宋_GB2312" w:hint="eastAsia"/>
            <w:sz w:val="30"/>
            <w:szCs w:val="30"/>
          </w:rPr>
          <w:t>二、收入决算情况说明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_Toc1931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14:paraId="08222A3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4007" w:history="1">
        <w:r>
          <w:rPr>
            <w:rFonts w:ascii="Times New Roman" w:eastAsia="仿宋_GB2312" w:hAnsi="Times New Roman" w:cs="仿宋_GB2312" w:hint="eastAsia"/>
            <w:sz w:val="30"/>
            <w:szCs w:val="30"/>
          </w:rPr>
          <w:t>三、支出决算情况说明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_Toc14007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14:paraId="2A0776A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3974" w:history="1">
        <w:r>
          <w:rPr>
            <w:rFonts w:ascii="Times New Roman" w:eastAsia="仿宋_GB2312" w:hAnsi="Times New Roman" w:cs="仿宋_GB2312" w:hint="eastAsia"/>
            <w:sz w:val="30"/>
            <w:szCs w:val="30"/>
          </w:rPr>
          <w:t>四、财政拨款收支决算总体情况说明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_Toc23974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14:paraId="1354EBB3">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057" w:history="1">
        <w:r>
          <w:rPr>
            <w:rFonts w:ascii="Times New Roman" w:eastAsia="仿宋_GB2312" w:hAnsi="Times New Roman" w:cs="仿宋_GB2312" w:hint="eastAsia"/>
            <w:sz w:val="30"/>
            <w:szCs w:val="30"/>
          </w:rPr>
          <w:t>五、一般公共预算财政拨款支出决算情况说明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_Toc19057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14:paraId="75850C8A">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826" w:history="1">
        <w:r>
          <w:rPr>
            <w:rFonts w:ascii="Times New Roman" w:eastAsia="仿宋_GB2312" w:hAnsi="Times New Roman" w:cs="仿宋_GB2312" w:hint="eastAsia"/>
            <w:sz w:val="30"/>
            <w:szCs w:val="30"/>
          </w:rPr>
          <w:t>六、一般公共预算财政拨款基本支出决算情况说明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_Toc8826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fldChar w:fldCharType="end"/>
        </w:r>
      </w:hyperlink>
    </w:p>
    <w:p w14:paraId="7C562DC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3712" w:history="1">
        <w:r>
          <w:rPr>
            <w:rFonts w:ascii="Times New Roman" w:eastAsia="仿宋_GB2312" w:hAnsi="Times New Roman" w:cs="仿宋_GB2312" w:hint="eastAsia"/>
            <w:sz w:val="30"/>
            <w:szCs w:val="30"/>
          </w:rPr>
          <w:t>七、政府性基金预算财政拨款收支决算情况说明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_Toc13712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fldChar w:fldCharType="end"/>
        </w:r>
      </w:hyperlink>
    </w:p>
    <w:p w14:paraId="6F9CCB7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02" w:history="1">
        <w:r>
          <w:rPr>
            <w:rFonts w:ascii="Times New Roman" w:eastAsia="仿宋_GB2312" w:hAnsi="Times New Roman" w:cs="仿宋_GB2312" w:hint="eastAsia"/>
            <w:sz w:val="30"/>
            <w:szCs w:val="30"/>
          </w:rPr>
          <w:t>八、国有资本经营预算财政拨款收支决算情况说明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14:paraId="44E6D1B7">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6751" w:history="1">
        <w:r>
          <w:rPr>
            <w:rFonts w:ascii="Times New Roman" w:eastAsia="仿宋_GB2312" w:hAnsi="Times New Roman" w:cs="仿宋_GB2312" w:hint="eastAsia"/>
            <w:sz w:val="30"/>
            <w:szCs w:val="30"/>
          </w:rPr>
          <w:t>九、财政拨款“三公”经费支出决算情况说明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_Toc6751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14:paraId="0F0307D8">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589" w:history="1">
        <w:r>
          <w:rPr>
            <w:rFonts w:ascii="Times New Roman" w:eastAsia="仿宋_GB2312" w:hAnsi="Times New Roman" w:cs="仿宋_GB2312" w:hint="eastAsia"/>
            <w:sz w:val="30"/>
            <w:szCs w:val="30"/>
          </w:rPr>
          <w:t>十、机关运行经费支出情况说明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14:paraId="264E1CF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5010" w:history="1">
        <w:r>
          <w:rPr>
            <w:rFonts w:ascii="Times New Roman" w:eastAsia="仿宋_GB2312" w:hAnsi="Times New Roman" w:cs="仿宋_GB2312" w:hint="eastAsia"/>
            <w:sz w:val="30"/>
            <w:szCs w:val="30"/>
          </w:rPr>
          <w:t>十一、政府采购支出情况说明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_Toc15010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14:paraId="27B9C90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2128" w:history="1">
        <w:r>
          <w:rPr>
            <w:rFonts w:ascii="Times New Roman" w:eastAsia="仿宋_GB2312" w:hAnsi="Times New Roman" w:cs="仿宋_GB2312" w:hint="eastAsia"/>
            <w:sz w:val="30"/>
            <w:szCs w:val="30"/>
          </w:rPr>
          <w:t>十二、国有资产占有使用情况说明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_Toc32128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fldChar w:fldCharType="end"/>
        </w:r>
      </w:hyperlink>
    </w:p>
    <w:p w14:paraId="7831AB7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1889" w:history="1">
        <w:r>
          <w:rPr>
            <w:rFonts w:ascii="Times New Roman" w:eastAsia="仿宋_GB2312" w:hAnsi="Times New Roman" w:cs="仿宋_GB2312" w:hint="eastAsia"/>
            <w:sz w:val="30"/>
            <w:szCs w:val="30"/>
          </w:rPr>
          <w:t>十三、预算绩效情况说明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_Toc31889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fldChar w:fldCharType="end"/>
        </w:r>
      </w:hyperlink>
    </w:p>
    <w:p w14:paraId="1EBFC414">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bCs w:val="0"/>
          <w:sz w:val="30"/>
          <w:szCs w:val="30"/>
        </w:rPr>
      </w:pPr>
      <w:hyperlink w:anchor="_Toc6543" w:history="1">
        <w:r>
          <w:rPr>
            <w:rFonts w:ascii="Times New Roman"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_Toc6543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fldChar w:fldCharType="end"/>
        </w:r>
      </w:hyperlink>
    </w:p>
    <w:p w14:paraId="753340AD">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4691" w:history="1">
        <w:r>
          <w:rPr>
            <w:rFonts w:ascii="Times New Roman" w:eastAsia="方正小标宋简体" w:hAnsi="Times New Roman" w:cs="方正小标宋简体" w:hint="eastAsia"/>
            <w:sz w:val="30"/>
            <w:szCs w:val="30"/>
          </w:rPr>
          <w:t>第四部分  名词解释</w:t>
        </w:r>
        <w:r>
          <w:rPr>
            <w:rFonts w:ascii="Times New Roman" w:eastAsia="方正小标宋简体" w:hAnsi="Times New Roman" w:cs="方正小标宋简体" w:hint="eastAsia"/>
            <w:sz w:val="30"/>
            <w:szCs w:val="30"/>
          </w:rPr>
          <w:tab/>
        </w:r>
        <w:r>
          <w:rPr>
            <w:rFonts w:ascii="Times New Roman" w:eastAsia="方正小标宋简体" w:hAnsi="Times New Roman" w:cs="方正小标宋简体" w:hint="eastAsia"/>
            <w:sz w:val="30"/>
            <w:szCs w:val="30"/>
          </w:rPr>
          <w:fldChar w:fldCharType="begin"/>
        </w:r>
        <w:r>
          <w:rPr>
            <w:rFonts w:ascii="Times New Roman" w:eastAsia="方正小标宋简体" w:hAnsi="Times New Roman" w:cs="方正小标宋简体" w:hint="eastAsia"/>
            <w:sz w:val="30"/>
            <w:szCs w:val="30"/>
          </w:rPr>
          <w:instrText xml:space="preserve"> PAGEREF _Toc24691 \h </w:instrText>
        </w:r>
        <w:r>
          <w:rPr>
            <w:rFonts w:ascii="Times New Roman" w:eastAsia="方正小标宋简体" w:hAnsi="Times New Roman" w:cs="方正小标宋简体" w:hint="eastAsia"/>
            <w:sz w:val="30"/>
            <w:szCs w:val="30"/>
          </w:rPr>
          <w:fldChar w:fldCharType="separate"/>
        </w:r>
        <w:r>
          <w:rPr>
            <w:rFonts w:ascii="Times New Roman" w:eastAsia="方正小标宋简体" w:hAnsi="Times New Roman" w:cs="方正小标宋简体" w:hint="eastAsia"/>
            <w:sz w:val="30"/>
            <w:szCs w:val="30"/>
          </w:rPr>
          <w:t>12</w:t>
        </w:r>
        <w:r>
          <w:rPr>
            <w:rFonts w:ascii="Times New Roman" w:eastAsia="方正小标宋简体" w:hAnsi="Times New Roman" w:cs="方正小标宋简体" w:hint="eastAsia"/>
            <w:sz w:val="30"/>
            <w:szCs w:val="30"/>
          </w:rPr>
          <w:fldChar w:fldCharType="end"/>
        </w:r>
      </w:hyperlink>
    </w:p>
    <w:p w14:paraId="50AE1AC7">
      <w:pPr>
        <w:pStyle w:val="TOC2"/>
        <w:keepNext w:val="0"/>
        <w:keepLines w:val="0"/>
        <w:pageBreakBefore w:val="0"/>
        <w:widowControl/>
        <w:tabs>
          <w:tab w:val="right" w:leader="dot" w:pos="8296"/>
        </w:tabs>
        <w:kinsoku/>
        <w:wordWrap/>
        <w:overflowPunct/>
        <w:topLinePunct w:val="0"/>
        <w:autoSpaceDE/>
        <w:autoSpaceDN/>
        <w:bidi w:val="0"/>
        <w:adjustRightInd/>
        <w:snapToGrid/>
        <w:spacing w:after="0" w:line="700" w:lineRule="exact"/>
        <w:textAlignment w:val="auto"/>
        <w:rPr>
          <w:rFonts w:ascii="Times New Roman" w:eastAsia="仿宋_GB2312" w:hAnsi="Times New Roman"/>
          <w:sz w:val="32"/>
          <w:szCs w:val="32"/>
        </w:rPr>
        <w:sectPr>
          <w:footerReference w:type="default" r:id="rId5"/>
          <w:pgSz w:w="11906" w:h="16838"/>
          <w:pgMar w:top="1440" w:right="1800" w:bottom="1440" w:left="1800" w:header="851" w:footer="992" w:gutter="0"/>
          <w:pgNumType w:start="1"/>
          <w:cols w:num="1" w:space="720"/>
          <w:docGrid w:type="lines" w:linePitch="312" w:charSpace="0"/>
        </w:sectPr>
      </w:pPr>
      <w:r>
        <w:rPr>
          <w:rFonts w:ascii="Times New Roman" w:eastAsia="仿宋_GB2312" w:hAnsi="Times New Roman"/>
          <w:szCs w:val="30"/>
        </w:rPr>
        <w:fldChar w:fldCharType="end"/>
      </w:r>
    </w:p>
    <w:p w14:paraId="42462793">
      <w:pPr>
        <w:rPr>
          <w:rFonts w:ascii="Times New Roman" w:hAnsi="Times New Roman"/>
        </w:rPr>
      </w:pPr>
    </w:p>
    <w:p w14:paraId="1868FFBB">
      <w:pPr>
        <w:pStyle w:val="Heading1"/>
        <w:spacing w:before="0" w:after="0" w:line="600" w:lineRule="exact"/>
        <w:jc w:val="center"/>
        <w:rPr>
          <w:rFonts w:ascii="Times New Roman" w:eastAsia="方正小标宋简体" w:hAnsi="Times New Roman" w:cs="方正小标宋简体"/>
          <w:b w:val="0"/>
          <w:sz w:val="48"/>
          <w:szCs w:val="48"/>
        </w:rPr>
      </w:pPr>
    </w:p>
    <w:p w14:paraId="0F276DCC">
      <w:pPr>
        <w:pStyle w:val="Heading1"/>
        <w:spacing w:before="0" w:after="0" w:line="600" w:lineRule="exact"/>
        <w:jc w:val="center"/>
        <w:rPr>
          <w:rFonts w:ascii="Times New Roman" w:eastAsia="方正小标宋简体" w:hAnsi="Times New Roman" w:cs="方正小标宋简体"/>
          <w:b w:val="0"/>
        </w:rPr>
      </w:pPr>
      <w:bookmarkStart w:id="1" w:name="_Toc15895"/>
      <w:r>
        <w:rPr>
          <w:rFonts w:ascii="Times New Roman" w:eastAsia="方正小标宋简体" w:hAnsi="Times New Roman" w:cs="方正小标宋简体" w:hint="eastAsia"/>
          <w:b w:val="0"/>
        </w:rPr>
        <w:t>第一部分  概 况</w:t>
      </w:r>
      <w:bookmarkEnd w:id="1"/>
    </w:p>
    <w:p w14:paraId="76ABDBCF">
      <w:pPr>
        <w:spacing w:line="600" w:lineRule="exact"/>
        <w:rPr>
          <w:rFonts w:ascii="Times New Roman" w:hAnsi="Times New Roman"/>
        </w:rPr>
      </w:pPr>
    </w:p>
    <w:p w14:paraId="3A1C96F3">
      <w:pPr>
        <w:pStyle w:val="Heading2"/>
        <w:spacing w:before="0" w:after="0" w:line="600" w:lineRule="exact"/>
        <w:ind w:firstLine="600" w:firstLineChars="200"/>
        <w:rPr>
          <w:rFonts w:ascii="Times New Roman" w:eastAsia="黑体" w:hAnsi="Times New Roman"/>
          <w:b w:val="0"/>
          <w:bCs w:val="0"/>
          <w:sz w:val="30"/>
          <w:szCs w:val="30"/>
        </w:rPr>
      </w:pPr>
      <w:bookmarkStart w:id="2" w:name="_Toc28346"/>
      <w:r>
        <w:rPr>
          <w:rFonts w:ascii="Times New Roman" w:eastAsia="黑体" w:hAnsi="Times New Roman" w:hint="eastAsia"/>
          <w:b w:val="0"/>
          <w:bCs w:val="0"/>
          <w:sz w:val="30"/>
          <w:szCs w:val="30"/>
        </w:rPr>
        <w:t>一、主要职责</w:t>
      </w:r>
      <w:bookmarkEnd w:id="2"/>
    </w:p>
    <w:p w14:paraId="75D7C0C4">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hint="eastAsia"/>
          <w:sz w:val="30"/>
          <w:szCs w:val="30"/>
        </w:rPr>
        <w:t>天津市津南区产品质量监督检验所为公益二类事业单位。主要职责为：为保证产品质量提供检验保障，授权范围产品质量监督检验，授权范围产品质量仲裁检验与鉴定，授权范围产品质量生产许可检验，相关委托检验，政府委托产品安全检查；在职责范围内为安全生产工作提供支持保障；完成上级部门交办的其他任务。</w:t>
      </w:r>
    </w:p>
    <w:p w14:paraId="710B0CE5">
      <w:pPr>
        <w:pStyle w:val="Heading2"/>
        <w:spacing w:before="0" w:after="0" w:line="600" w:lineRule="exact"/>
        <w:ind w:firstLine="600" w:firstLineChars="200"/>
        <w:rPr>
          <w:rFonts w:ascii="Times New Roman" w:eastAsia="黑体" w:hAnsi="Times New Roman"/>
          <w:b w:val="0"/>
          <w:bCs w:val="0"/>
          <w:sz w:val="30"/>
          <w:szCs w:val="30"/>
        </w:rPr>
      </w:pPr>
      <w:bookmarkStart w:id="3" w:name="_Toc25737"/>
      <w:r>
        <w:rPr>
          <w:rFonts w:ascii="Times New Roman" w:eastAsia="黑体" w:hAnsi="Times New Roman" w:hint="eastAsia"/>
          <w:b w:val="0"/>
          <w:bCs w:val="0"/>
          <w:sz w:val="30"/>
          <w:szCs w:val="30"/>
        </w:rPr>
        <w:t>二、机构设置</w:t>
      </w:r>
      <w:bookmarkEnd w:id="3"/>
    </w:p>
    <w:p w14:paraId="4FFAAA65">
      <w:pPr>
        <w:spacing w:line="600" w:lineRule="exact"/>
        <w:ind w:firstLine="600" w:firstLineChars="200"/>
        <w:rPr>
          <w:rFonts w:ascii="Times New Roman" w:eastAsia="楷体_GB2312" w:hAnsi="Times New Roman"/>
          <w:b/>
          <w:sz w:val="30"/>
          <w:szCs w:val="30"/>
        </w:rPr>
      </w:pPr>
      <w:r>
        <w:rPr>
          <w:rFonts w:ascii="Times New Roman" w:eastAsia="仿宋_GB2312" w:hAnsi="Times New Roman" w:hint="eastAsia"/>
          <w:sz w:val="30"/>
          <w:szCs w:val="30"/>
        </w:rPr>
        <w:t xml:space="preserve">天津市津南区产品质量监督检验所内设3个职能科室。 </w:t>
      </w:r>
      <w:r>
        <w:rPr>
          <w:rFonts w:ascii="Times New Roman" w:eastAsia="楷体_GB2312" w:hAnsi="Times New Roman"/>
          <w:b/>
          <w:sz w:val="30"/>
          <w:szCs w:val="30"/>
        </w:rPr>
        <w:br w:type="page"/>
      </w:r>
    </w:p>
    <w:p w14:paraId="5E67D29C">
      <w:pPr>
        <w:pStyle w:val="Heading1"/>
        <w:spacing w:before="0" w:after="0" w:line="600" w:lineRule="exact"/>
        <w:jc w:val="center"/>
        <w:rPr>
          <w:rFonts w:ascii="Times New Roman" w:eastAsia="方正小标宋简体" w:hAnsi="Times New Roman" w:cs="方正小标宋简体"/>
          <w:b w:val="0"/>
        </w:rPr>
      </w:pPr>
      <w:bookmarkStart w:id="4" w:name="_Toc25448"/>
      <w:r>
        <w:rPr>
          <w:rFonts w:ascii="Times New Roman" w:eastAsia="方正小标宋简体" w:hAnsi="Times New Roman" w:cs="方正小标宋简体"/>
          <w:b w:val="0"/>
        </w:rPr>
        <w:t>第</w:t>
      </w:r>
      <w:r>
        <w:rPr>
          <w:rFonts w:ascii="Times New Roman" w:eastAsia="方正小标宋简体" w:hAnsi="Times New Roman" w:cs="方正小标宋简体" w:hint="eastAsia"/>
          <w:b w:val="0"/>
        </w:rPr>
        <w:t>二</w:t>
      </w:r>
      <w:r>
        <w:rPr>
          <w:rFonts w:ascii="Times New Roman" w:eastAsia="方正小标宋简体" w:hAnsi="Times New Roman" w:cs="方正小标宋简体"/>
          <w:b w:val="0"/>
        </w:rPr>
        <w:t xml:space="preserve">部分  </w:t>
      </w:r>
      <w:r>
        <w:rPr>
          <w:rFonts w:ascii="Times New Roman" w:eastAsia="方正小标宋简体" w:hAnsi="Times New Roman" w:cs="方正小标宋简体" w:hint="eastAsia"/>
          <w:b w:val="0"/>
        </w:rPr>
        <w:t>2024</w:t>
      </w:r>
      <w:r>
        <w:rPr>
          <w:rFonts w:ascii="Times New Roman" w:eastAsia="方正小标宋简体" w:hAnsi="Times New Roman" w:cs="方正小标宋简体"/>
          <w:b w:val="0"/>
        </w:rPr>
        <w:t>年度部门决算</w:t>
      </w:r>
      <w:r>
        <w:rPr>
          <w:rFonts w:ascii="Times New Roman" w:eastAsia="方正小标宋简体" w:hAnsi="Times New Roman" w:cs="方正小标宋简体" w:hint="eastAsia"/>
          <w:b w:val="0"/>
        </w:rPr>
        <w:t>表</w:t>
      </w:r>
      <w:bookmarkEnd w:id="4"/>
    </w:p>
    <w:p w14:paraId="5007966B">
      <w:pPr>
        <w:spacing w:line="600" w:lineRule="exact"/>
        <w:rPr>
          <w:rFonts w:ascii="Times New Roman" w:hAnsi="Times New Roman"/>
        </w:rPr>
      </w:pPr>
    </w:p>
    <w:p w14:paraId="4E22685A">
      <w:pPr>
        <w:pStyle w:val="Heading2"/>
        <w:spacing w:before="0" w:after="0" w:line="800" w:lineRule="exact"/>
        <w:ind w:firstLine="600" w:firstLineChars="200"/>
        <w:rPr>
          <w:rFonts w:ascii="Times New Roman" w:eastAsia="黑体" w:hAnsi="Times New Roman"/>
          <w:b w:val="0"/>
          <w:sz w:val="30"/>
          <w:szCs w:val="30"/>
        </w:rPr>
      </w:pPr>
      <w:bookmarkStart w:id="5" w:name="_Toc8089"/>
      <w:r>
        <w:rPr>
          <w:rFonts w:ascii="Times New Roman" w:eastAsia="黑体" w:hAnsi="Times New Roman"/>
          <w:b w:val="0"/>
          <w:sz w:val="30"/>
          <w:szCs w:val="30"/>
        </w:rPr>
        <w:t>一</w:t>
      </w:r>
      <w:r>
        <w:rPr>
          <w:rFonts w:ascii="Times New Roman" w:eastAsia="黑体" w:hAnsi="Times New Roman" w:hint="eastAsia"/>
          <w:b w:val="0"/>
          <w:sz w:val="30"/>
          <w:szCs w:val="30"/>
        </w:rPr>
        <w:t>、</w:t>
      </w:r>
      <w:r>
        <w:rPr>
          <w:rFonts w:ascii="Times New Roman" w:eastAsia="黑体" w:hAnsi="Times New Roman"/>
          <w:b w:val="0"/>
          <w:sz w:val="30"/>
          <w:szCs w:val="30"/>
        </w:rPr>
        <w:t>《</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5"/>
    </w:p>
    <w:p w14:paraId="190A2A9A">
      <w:pPr>
        <w:pStyle w:val="Heading2"/>
        <w:spacing w:before="0" w:after="0" w:line="800" w:lineRule="exact"/>
        <w:ind w:firstLine="600" w:firstLineChars="200"/>
        <w:rPr>
          <w:rFonts w:ascii="Times New Roman" w:eastAsia="黑体" w:hAnsi="Times New Roman"/>
          <w:b w:val="0"/>
          <w:sz w:val="30"/>
          <w:szCs w:val="30"/>
        </w:rPr>
      </w:pPr>
      <w:bookmarkStart w:id="6" w:name="_Toc29574"/>
      <w:r>
        <w:rPr>
          <w:rFonts w:ascii="Times New Roman" w:eastAsia="黑体" w:hAnsi="Times New Roman"/>
          <w:b w:val="0"/>
          <w:sz w:val="30"/>
          <w:szCs w:val="30"/>
        </w:rPr>
        <w:t>二、《收入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（按功能分类列示）</w:t>
      </w:r>
      <w:r>
        <w:rPr>
          <w:rFonts w:ascii="Times New Roman" w:eastAsia="黑体" w:hAnsi="Times New Roman"/>
          <w:b w:val="0"/>
          <w:sz w:val="30"/>
          <w:szCs w:val="30"/>
        </w:rPr>
        <w:t>》</w:t>
      </w:r>
      <w:bookmarkEnd w:id="6"/>
    </w:p>
    <w:p w14:paraId="36110A9F">
      <w:pPr>
        <w:pStyle w:val="Heading2"/>
        <w:spacing w:before="0" w:after="0" w:line="800" w:lineRule="exact"/>
        <w:ind w:firstLine="600" w:firstLineChars="200"/>
        <w:rPr>
          <w:rFonts w:ascii="Times New Roman" w:eastAsia="黑体" w:hAnsi="Times New Roman"/>
          <w:b w:val="0"/>
          <w:sz w:val="30"/>
          <w:szCs w:val="30"/>
        </w:rPr>
      </w:pPr>
      <w:bookmarkStart w:id="7" w:name="_Toc1392"/>
      <w:r>
        <w:rPr>
          <w:rFonts w:ascii="Times New Roman" w:eastAsia="黑体" w:hAnsi="Times New Roman" w:hint="eastAsia"/>
          <w:b w:val="0"/>
          <w:sz w:val="30"/>
          <w:szCs w:val="30"/>
        </w:rPr>
        <w:t>三</w:t>
      </w:r>
      <w:r>
        <w:rPr>
          <w:rFonts w:ascii="Times New Roman" w:eastAsia="黑体" w:hAnsi="Times New Roman"/>
          <w:b w:val="0"/>
          <w:sz w:val="30"/>
          <w:szCs w:val="30"/>
        </w:rPr>
        <w:t>、《收入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（按单位列示）</w:t>
      </w:r>
      <w:r>
        <w:rPr>
          <w:rFonts w:ascii="Times New Roman" w:eastAsia="黑体" w:hAnsi="Times New Roman"/>
          <w:b w:val="0"/>
          <w:sz w:val="30"/>
          <w:szCs w:val="30"/>
        </w:rPr>
        <w:t>》</w:t>
      </w:r>
      <w:bookmarkEnd w:id="7"/>
    </w:p>
    <w:p w14:paraId="46D143D6">
      <w:pPr>
        <w:pStyle w:val="Heading2"/>
        <w:spacing w:before="0" w:after="0" w:line="800" w:lineRule="exact"/>
        <w:ind w:firstLine="600" w:firstLineChars="200"/>
        <w:rPr>
          <w:rFonts w:ascii="Times New Roman" w:eastAsia="黑体" w:hAnsi="Times New Roman"/>
          <w:b w:val="0"/>
          <w:sz w:val="30"/>
          <w:szCs w:val="30"/>
        </w:rPr>
      </w:pPr>
      <w:bookmarkStart w:id="8" w:name="_Toc28946"/>
      <w:r>
        <w:rPr>
          <w:rFonts w:ascii="Times New Roman" w:eastAsia="黑体" w:hAnsi="Times New Roman" w:hint="eastAsia"/>
          <w:b w:val="0"/>
          <w:sz w:val="30"/>
          <w:szCs w:val="30"/>
        </w:rPr>
        <w:t>四、</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8"/>
    </w:p>
    <w:p w14:paraId="65244CEB">
      <w:pPr>
        <w:pStyle w:val="Heading2"/>
        <w:spacing w:before="0" w:after="0" w:line="800" w:lineRule="exact"/>
        <w:ind w:firstLine="600" w:firstLineChars="200"/>
        <w:rPr>
          <w:rFonts w:ascii="Times New Roman" w:eastAsia="黑体" w:hAnsi="Times New Roman"/>
          <w:b w:val="0"/>
          <w:sz w:val="30"/>
          <w:szCs w:val="30"/>
        </w:rPr>
      </w:pPr>
      <w:bookmarkStart w:id="9" w:name="_Toc10939"/>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9"/>
    </w:p>
    <w:p w14:paraId="3CA7CDF4">
      <w:pPr>
        <w:pStyle w:val="Heading2"/>
        <w:spacing w:before="0" w:after="0" w:line="800" w:lineRule="exact"/>
        <w:ind w:firstLine="600" w:firstLineChars="200"/>
        <w:rPr>
          <w:rFonts w:ascii="Times New Roman" w:eastAsia="黑体" w:hAnsi="Times New Roman"/>
          <w:b w:val="0"/>
          <w:sz w:val="30"/>
          <w:szCs w:val="30"/>
        </w:rPr>
      </w:pPr>
      <w:bookmarkStart w:id="10" w:name="_Toc9732"/>
      <w:r>
        <w:rPr>
          <w:rFonts w:ascii="Times New Roman" w:eastAsia="黑体" w:hAnsi="Times New Roman"/>
          <w:b w:val="0"/>
          <w:sz w:val="30"/>
          <w:szCs w:val="30"/>
        </w:rPr>
        <w:t>六</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0"/>
    </w:p>
    <w:p w14:paraId="0C94E9C7">
      <w:pPr>
        <w:pStyle w:val="Heading2"/>
        <w:spacing w:before="0" w:after="0" w:line="800" w:lineRule="exact"/>
        <w:ind w:firstLine="600" w:firstLineChars="200"/>
        <w:rPr>
          <w:rFonts w:ascii="Times New Roman" w:eastAsia="黑体" w:hAnsi="Times New Roman"/>
          <w:b w:val="0"/>
          <w:sz w:val="30"/>
          <w:szCs w:val="30"/>
        </w:rPr>
      </w:pPr>
      <w:bookmarkStart w:id="11" w:name="_Toc8588"/>
      <w:r>
        <w:rPr>
          <w:rFonts w:ascii="Times New Roman" w:eastAsia="黑体" w:hAnsi="Times New Roman"/>
          <w:b w:val="0"/>
          <w:sz w:val="30"/>
          <w:szCs w:val="30"/>
        </w:rPr>
        <w:t>七</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《一般公共预算财政拨款基本支出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1"/>
    </w:p>
    <w:p w14:paraId="47D92C7E">
      <w:pPr>
        <w:pStyle w:val="Heading2"/>
        <w:spacing w:before="0" w:after="0" w:line="800" w:lineRule="exact"/>
        <w:ind w:firstLine="600" w:firstLineChars="200"/>
        <w:rPr>
          <w:rFonts w:ascii="Times New Roman" w:eastAsia="黑体" w:hAnsi="Times New Roman"/>
          <w:b w:val="0"/>
          <w:sz w:val="30"/>
          <w:szCs w:val="30"/>
        </w:rPr>
      </w:pPr>
      <w:bookmarkStart w:id="12" w:name="_Toc29750"/>
      <w:r>
        <w:rPr>
          <w:rFonts w:ascii="Times New Roman" w:eastAsia="黑体" w:hAnsi="Times New Roman" w:hint="eastAsia"/>
          <w:b w:val="0"/>
          <w:sz w:val="30"/>
          <w:szCs w:val="30"/>
        </w:rPr>
        <w:t>八、</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2"/>
    </w:p>
    <w:p w14:paraId="718CB643">
      <w:pPr>
        <w:pStyle w:val="Heading2"/>
        <w:spacing w:before="0" w:after="0" w:line="800" w:lineRule="exact"/>
        <w:ind w:firstLine="600" w:firstLineChars="200"/>
        <w:rPr>
          <w:rFonts w:ascii="Times New Roman" w:eastAsia="黑体" w:hAnsi="Times New Roman"/>
          <w:b w:val="0"/>
          <w:sz w:val="30"/>
          <w:szCs w:val="30"/>
        </w:rPr>
      </w:pPr>
      <w:bookmarkStart w:id="13" w:name="_Toc17443"/>
      <w:r>
        <w:rPr>
          <w:rFonts w:ascii="Times New Roman" w:eastAsia="黑体" w:hAnsi="Times New Roman" w:hint="eastAsia"/>
          <w:b w:val="0"/>
          <w:sz w:val="30"/>
          <w:szCs w:val="30"/>
        </w:rPr>
        <w:t>九、</w:t>
      </w:r>
      <w:r>
        <w:rPr>
          <w:rFonts w:ascii="Times New Roman" w:eastAsia="黑体" w:hAnsi="Times New Roman"/>
          <w:b w:val="0"/>
          <w:sz w:val="30"/>
          <w:szCs w:val="30"/>
        </w:rPr>
        <w:t>《国有资本经营预算财政拨款</w:t>
      </w:r>
      <w:r>
        <w:rPr>
          <w:rFonts w:ascii="Times New Roman" w:eastAsia="黑体" w:hAnsi="Times New Roman" w:hint="eastAsia"/>
          <w:b w:val="0"/>
          <w:sz w:val="30"/>
          <w:szCs w:val="30"/>
        </w:rPr>
        <w:t>收入支出决算</w:t>
      </w:r>
      <w:r>
        <w:rPr>
          <w:rFonts w:ascii="Times New Roman" w:eastAsia="黑体" w:hAnsi="Times New Roman"/>
          <w:b w:val="0"/>
          <w:sz w:val="30"/>
          <w:szCs w:val="30"/>
        </w:rPr>
        <w:t>表》</w:t>
      </w:r>
      <w:bookmarkEnd w:id="13"/>
    </w:p>
    <w:p w14:paraId="3E391609">
      <w:pPr>
        <w:pStyle w:val="Heading2"/>
        <w:spacing w:before="0" w:after="0" w:line="800" w:lineRule="exact"/>
        <w:ind w:firstLine="600" w:firstLineChars="200"/>
        <w:rPr>
          <w:rFonts w:ascii="Times New Roman" w:eastAsia="黑体" w:hAnsi="Times New Roman"/>
          <w:b w:val="0"/>
          <w:sz w:val="30"/>
          <w:szCs w:val="30"/>
        </w:rPr>
      </w:pPr>
      <w:bookmarkStart w:id="14" w:name="_Toc30096"/>
      <w:r>
        <w:rPr>
          <w:rFonts w:ascii="Times New Roman" w:eastAsia="黑体" w:hAnsi="Times New Roman" w:hint="eastAsia"/>
          <w:b w:val="0"/>
          <w:sz w:val="30"/>
          <w:szCs w:val="30"/>
        </w:rPr>
        <w:t>十、</w:t>
      </w:r>
      <w:r>
        <w:rPr>
          <w:rFonts w:ascii="Times New Roman" w:eastAsia="黑体" w:hAnsi="Times New Roman"/>
          <w:b w:val="0"/>
          <w:sz w:val="30"/>
          <w:szCs w:val="30"/>
        </w:rPr>
        <w:t>《财政拨款“三公”经费支出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4"/>
    </w:p>
    <w:p w14:paraId="2F0F2E1D">
      <w:pPr>
        <w:pStyle w:val="Heading2"/>
        <w:spacing w:before="0" w:after="0" w:line="800" w:lineRule="exact"/>
        <w:ind w:firstLine="600" w:firstLineChars="200"/>
        <w:rPr>
          <w:rFonts w:ascii="Times New Roman" w:eastAsia="黑体" w:hAnsi="Times New Roman"/>
          <w:b w:val="0"/>
          <w:sz w:val="30"/>
          <w:szCs w:val="30"/>
        </w:rPr>
      </w:pPr>
      <w:bookmarkStart w:id="15" w:name="_Toc21214"/>
      <w:r>
        <w:rPr>
          <w:rFonts w:ascii="Times New Roman" w:eastAsia="黑体" w:hAnsi="Times New Roman"/>
          <w:b w:val="0"/>
          <w:sz w:val="30"/>
          <w:szCs w:val="30"/>
        </w:rPr>
        <w:t>十</w:t>
      </w:r>
      <w:r>
        <w:rPr>
          <w:rFonts w:ascii="Times New Roman" w:eastAsia="黑体" w:hAnsi="Times New Roman" w:hint="eastAsia"/>
          <w:b w:val="0"/>
          <w:sz w:val="30"/>
          <w:szCs w:val="30"/>
        </w:rPr>
        <w:t>一、</w:t>
      </w:r>
      <w:r>
        <w:rPr>
          <w:rFonts w:ascii="Times New Roman" w:eastAsia="黑体" w:hAnsi="Times New Roman"/>
          <w:b w:val="0"/>
          <w:sz w:val="30"/>
          <w:szCs w:val="30"/>
        </w:rPr>
        <w:t>《项目支出决算表》</w:t>
      </w:r>
      <w:bookmarkEnd w:id="15"/>
    </w:p>
    <w:p w14:paraId="2794261F">
      <w:pPr>
        <w:spacing w:line="800" w:lineRule="exact"/>
        <w:ind w:left="600" w:hanging="600" w:hangingChars="200"/>
        <w:rPr>
          <w:rFonts w:ascii="Times New Roman" w:eastAsia="楷体" w:hAnsi="Times New Roman" w:hint="eastAsia"/>
          <w:sz w:val="30"/>
          <w:szCs w:val="30"/>
        </w:rPr>
      </w:pPr>
      <w:r>
        <w:rPr>
          <w:rFonts w:ascii="Times New Roman" w:eastAsia="楷体" w:hAnsi="Times New Roman" w:hint="eastAsia"/>
          <w:sz w:val="30"/>
          <w:szCs w:val="30"/>
        </w:rPr>
        <w:t>注：以上决算公开表均作为附表，附于决算公开说明文档后。</w:t>
      </w:r>
    </w:p>
    <w:p w14:paraId="01D37A2E">
      <w:pPr>
        <w:pStyle w:val="Heading2"/>
        <w:spacing w:before="0" w:after="0" w:line="800" w:lineRule="exact"/>
        <w:ind w:firstLine="600" w:firstLineChars="200"/>
        <w:rPr>
          <w:rFonts w:ascii="Times New Roman" w:eastAsia="黑体" w:hAnsi="Times New Roman"/>
          <w:b w:val="0"/>
          <w:sz w:val="30"/>
          <w:szCs w:val="30"/>
        </w:rPr>
      </w:pPr>
      <w:bookmarkStart w:id="16" w:name="_Toc9893"/>
      <w:r>
        <w:rPr>
          <w:rFonts w:ascii="Times New Roman" w:eastAsia="黑体" w:hAnsi="Times New Roman" w:hint="eastAsia"/>
          <w:b w:val="0"/>
          <w:sz w:val="30"/>
          <w:szCs w:val="30"/>
        </w:rPr>
        <w:t>十二、关于空表的说明</w:t>
      </w:r>
      <w:bookmarkEnd w:id="16"/>
    </w:p>
    <w:p w14:paraId="2902ECD0">
      <w:pPr>
        <w:spacing w:line="600" w:lineRule="exact"/>
        <w:ind w:firstLine="600" w:firstLineChars="200"/>
        <w:jc w:val="both"/>
        <w:rPr>
          <w:rFonts w:ascii="Times New Roman" w:eastAsia="仿宋_GB2312" w:hAnsi="Times New Roman"/>
          <w:sz w:val="30"/>
          <w:szCs w:val="30"/>
        </w:rPr>
        <w:sectPr>
          <w:footerReference w:type="default" r:id="rId6"/>
          <w:pgSz w:w="11906" w:h="16838"/>
          <w:pgMar w:top="1440" w:right="1800" w:bottom="1440" w:left="1800" w:header="851" w:footer="992" w:gutter="0"/>
          <w:pgNumType w:start="1"/>
          <w:cols w:num="1" w:space="720"/>
          <w:docGrid w:type="lines" w:linePitch="312" w:charSpace="0"/>
        </w:sectPr>
      </w:pPr>
      <w:r>
        <w:rPr>
          <w:rFonts w:ascii="Times New Roman" w:eastAsia="仿宋_GB2312" w:hAnsi="Times New Roman" w:hint="eastAsia"/>
          <w:sz w:val="30"/>
          <w:szCs w:val="30"/>
        </w:rPr>
        <w:t>1.天津市津南区产品质量监督检验所2024年度政府性基金预算财政拨款收入支出决算表为空表。</w:t>
        <w:br/>
        <w:t>　　2.天津市津南区产品质量监督检验所2024年度国有资本经营预算财政拨款收入支出决算表为空表。</w:t>
      </w:r>
    </w:p>
    <w:p w14:paraId="65FE891C">
      <w:pPr>
        <w:spacing w:line="600" w:lineRule="exact"/>
        <w:rPr>
          <w:rFonts w:ascii="Times New Roman" w:eastAsia="仿宋_GB2312" w:hAnsi="Times New Roman"/>
          <w:sz w:val="30"/>
          <w:szCs w:val="30"/>
        </w:rPr>
      </w:pPr>
    </w:p>
    <w:p w14:paraId="70DEE3BE">
      <w:pPr>
        <w:pStyle w:val="Heading1"/>
        <w:spacing w:before="0" w:after="0" w:line="600" w:lineRule="exact"/>
        <w:jc w:val="center"/>
        <w:rPr>
          <w:rFonts w:ascii="Times New Roman" w:eastAsia="方正小标宋简体" w:hAnsi="Times New Roman" w:cs="方正小标宋简体"/>
          <w:b w:val="0"/>
        </w:rPr>
      </w:pPr>
      <w:bookmarkStart w:id="17" w:name="_Toc26351"/>
      <w:r>
        <w:rPr>
          <w:rFonts w:ascii="Times New Roman" w:eastAsia="方正小标宋简体" w:hAnsi="Times New Roman" w:cs="方正小标宋简体"/>
          <w:b w:val="0"/>
        </w:rPr>
        <w:t>第</w:t>
      </w:r>
      <w:r>
        <w:rPr>
          <w:rFonts w:ascii="Times New Roman" w:eastAsia="方正小标宋简体" w:hAnsi="Times New Roman" w:cs="方正小标宋简体" w:hint="eastAsia"/>
          <w:b w:val="0"/>
        </w:rPr>
        <w:t>三</w:t>
      </w:r>
      <w:r>
        <w:rPr>
          <w:rFonts w:ascii="Times New Roman" w:eastAsia="方正小标宋简体" w:hAnsi="Times New Roman" w:cs="方正小标宋简体"/>
          <w:b w:val="0"/>
        </w:rPr>
        <w:t xml:space="preserve">部分  </w:t>
      </w:r>
      <w:r>
        <w:rPr>
          <w:rFonts w:ascii="Times New Roman" w:eastAsia="方正小标宋简体" w:hAnsi="Times New Roman" w:cs="方正小标宋简体" w:hint="eastAsia"/>
          <w:b w:val="0"/>
        </w:rPr>
        <w:t>2024</w:t>
      </w:r>
      <w:r>
        <w:rPr>
          <w:rFonts w:ascii="Times New Roman" w:eastAsia="方正小标宋简体" w:hAnsi="Times New Roman" w:cs="方正小标宋简体"/>
          <w:b w:val="0"/>
        </w:rPr>
        <w:t>年度部门决算</w:t>
      </w:r>
      <w:r>
        <w:rPr>
          <w:rFonts w:ascii="Times New Roman" w:eastAsia="方正小标宋简体" w:hAnsi="Times New Roman" w:cs="方正小标宋简体" w:hint="eastAsia"/>
          <w:b w:val="0"/>
        </w:rPr>
        <w:t>情况</w:t>
      </w:r>
      <w:r>
        <w:rPr>
          <w:rFonts w:ascii="Times New Roman" w:eastAsia="方正小标宋简体" w:hAnsi="Times New Roman" w:cs="方正小标宋简体"/>
          <w:b w:val="0"/>
        </w:rPr>
        <w:t>说明</w:t>
      </w:r>
      <w:bookmarkEnd w:id="17"/>
    </w:p>
    <w:p w14:paraId="31D3D16E">
      <w:pPr>
        <w:spacing w:line="600" w:lineRule="exact"/>
        <w:ind w:firstLine="600" w:firstLineChars="200"/>
        <w:rPr>
          <w:rFonts w:ascii="Times New Roman" w:eastAsia="黑体" w:hAnsi="Times New Roman"/>
          <w:sz w:val="30"/>
          <w:szCs w:val="30"/>
        </w:rPr>
      </w:pPr>
    </w:p>
    <w:p w14:paraId="261647E6">
      <w:pPr>
        <w:pStyle w:val="Heading2"/>
        <w:spacing w:before="0" w:after="0" w:line="600" w:lineRule="exact"/>
        <w:ind w:firstLine="600" w:firstLineChars="200"/>
        <w:rPr>
          <w:rFonts w:ascii="Times New Roman" w:eastAsia="黑体" w:hAnsi="Times New Roman"/>
          <w:b w:val="0"/>
          <w:sz w:val="30"/>
          <w:szCs w:val="30"/>
        </w:rPr>
      </w:pPr>
      <w:bookmarkStart w:id="18" w:name="_Toc14113"/>
      <w:r>
        <w:rPr>
          <w:rFonts w:ascii="Times New Roman" w:eastAsia="黑体" w:hAnsi="Times New Roman" w:hint="eastAsia"/>
          <w:b w:val="0"/>
          <w:sz w:val="30"/>
          <w:szCs w:val="30"/>
        </w:rPr>
        <w:t>一、收入支出决算总体情况说明</w:t>
      </w:r>
      <w:bookmarkEnd w:id="18"/>
    </w:p>
    <w:p w14:paraId="3FD0FB5A">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产品质量监督检验所2024年度收入、支出决算总计4,646,088.1元。与2023年度相比，收、支总计各减少1,020,971.21元，下降18%，主要原因是我单位有1人离职，各项经费减少，且受市场大环境影响经营收入减少，因此当年决算收入减少；为应对收入减少，适当压减支出，决算支出相应减少。</w:t>
        <w:br/>
        <w:t>　　收入包括：一般公共预算财政拨款收入3,061,013.1元、事业单位经营收入1,585,075元。</w:t>
        <w:br/>
        <w:t>　　支出包括：一般公共服务支出（类）支出3,061,886.21元、社会保障和就业支出（类）支出245,699.52元、卫生健康支出（类）支出118,475.88元、住房保障支出（类）支出158,434元。</w:t>
      </w:r>
    </w:p>
    <w:p w14:paraId="4F477965">
      <w:pPr>
        <w:pStyle w:val="Heading2"/>
        <w:spacing w:before="0" w:after="0" w:line="600" w:lineRule="exact"/>
        <w:ind w:firstLine="600" w:firstLineChars="200"/>
        <w:rPr>
          <w:rFonts w:ascii="Times New Roman" w:eastAsia="黑体" w:hAnsi="Times New Roman" w:cs="仿宋_GB2312"/>
          <w:b w:val="0"/>
          <w:sz w:val="30"/>
          <w:szCs w:val="30"/>
        </w:rPr>
      </w:pPr>
      <w:bookmarkStart w:id="19" w:name="_Toc1931"/>
      <w:r>
        <w:rPr>
          <w:rFonts w:ascii="Times New Roman" w:eastAsia="黑体" w:hAnsi="Times New Roman" w:cs="仿宋_GB2312" w:hint="eastAsia"/>
          <w:b w:val="0"/>
          <w:sz w:val="30"/>
          <w:szCs w:val="30"/>
        </w:rPr>
        <w:t>二、收入决算情况说明</w:t>
      </w:r>
      <w:bookmarkEnd w:id="19"/>
    </w:p>
    <w:p w14:paraId="0408FF65">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产品质量监督检验所2024年度本年收入合计4,646,088.1元。与2023年度相比减少518,397.33元，主要原因是受市场大环境影响，经营收入减少。其中：一般公共预算财政拨款收入3,061,013.1元，占65.9%；事业单位经营收入1,585,075元，占34.1%。</w:t>
      </w:r>
    </w:p>
    <w:p w14:paraId="683A8827">
      <w:pPr>
        <w:pStyle w:val="Heading2"/>
        <w:spacing w:before="0" w:after="0" w:line="600" w:lineRule="exact"/>
        <w:ind w:firstLine="600" w:firstLineChars="200"/>
        <w:rPr>
          <w:rFonts w:ascii="Times New Roman" w:eastAsia="黑体" w:hAnsi="Times New Roman" w:cs="仿宋_GB2312"/>
          <w:b w:val="0"/>
          <w:sz w:val="30"/>
          <w:szCs w:val="30"/>
        </w:rPr>
      </w:pPr>
      <w:bookmarkStart w:id="20" w:name="_Toc14007"/>
      <w:r>
        <w:rPr>
          <w:rFonts w:ascii="Times New Roman" w:eastAsia="黑体" w:hAnsi="Times New Roman" w:cs="仿宋_GB2312" w:hint="eastAsia"/>
          <w:b w:val="0"/>
          <w:sz w:val="30"/>
          <w:szCs w:val="30"/>
        </w:rPr>
        <w:t>三、</w:t>
      </w:r>
      <w:r>
        <w:rPr>
          <w:rFonts w:ascii="Times New Roman" w:eastAsia="黑体" w:hAnsi="Times New Roman" w:cs="仿宋_GB2312"/>
          <w:b w:val="0"/>
          <w:sz w:val="30"/>
          <w:szCs w:val="30"/>
        </w:rPr>
        <w:t>支出</w:t>
      </w:r>
      <w:r>
        <w:rPr>
          <w:rFonts w:ascii="Times New Roman" w:eastAsia="黑体" w:hAnsi="Times New Roman" w:cs="仿宋_GB2312" w:hint="eastAsia"/>
          <w:b w:val="0"/>
          <w:sz w:val="30"/>
          <w:szCs w:val="30"/>
        </w:rPr>
        <w:t>决算</w:t>
      </w:r>
      <w:r>
        <w:rPr>
          <w:rFonts w:ascii="Times New Roman" w:eastAsia="黑体" w:hAnsi="Times New Roman" w:cs="仿宋_GB2312"/>
          <w:b w:val="0"/>
          <w:sz w:val="30"/>
          <w:szCs w:val="30"/>
        </w:rPr>
        <w:t>情况</w:t>
      </w:r>
      <w:r>
        <w:rPr>
          <w:rFonts w:ascii="Times New Roman" w:eastAsia="黑体" w:hAnsi="Times New Roman" w:cs="仿宋_GB2312" w:hint="eastAsia"/>
          <w:b w:val="0"/>
          <w:sz w:val="30"/>
          <w:szCs w:val="30"/>
        </w:rPr>
        <w:t>说明</w:t>
      </w:r>
      <w:bookmarkEnd w:id="20"/>
    </w:p>
    <w:p w14:paraId="28861E6E">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产品质量监督检验所2024年度本年支出合计3,584,495.61元。与2023年度相比减少752,025.75元，主要原因是本年有1人离职各项支出减少，且压减经营支出，未进行设备更新，全年支出总体减少。其中：基本支出2,681,659.85元，占74.8%；项目支出379,149.72元，占10.6%；经营支出523,686.04元，占14.6%。</w:t>
      </w:r>
    </w:p>
    <w:p w14:paraId="3C4A28C5">
      <w:pPr>
        <w:pStyle w:val="Heading2"/>
        <w:spacing w:before="0" w:after="0" w:line="600" w:lineRule="exact"/>
        <w:ind w:firstLine="600" w:firstLineChars="200"/>
        <w:rPr>
          <w:rFonts w:ascii="Times New Roman" w:eastAsia="黑体" w:hAnsi="Times New Roman"/>
          <w:b w:val="0"/>
          <w:sz w:val="30"/>
          <w:szCs w:val="30"/>
        </w:rPr>
      </w:pPr>
      <w:bookmarkStart w:id="21" w:name="_Toc23974"/>
      <w:r>
        <w:rPr>
          <w:rFonts w:ascii="Times New Roman" w:eastAsia="黑体" w:hAnsi="Times New Roman" w:hint="eastAsia"/>
          <w:b w:val="0"/>
          <w:sz w:val="30"/>
          <w:szCs w:val="30"/>
        </w:rPr>
        <w:t>四、财政拨款收支决算总体情况说明</w:t>
      </w:r>
      <w:bookmarkEnd w:id="21"/>
    </w:p>
    <w:p w14:paraId="040AD9FF">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天津市津南区产品质量监督检验所2024年度财政拨款收入、支出决算总计3,061,013.1元。与2023年度相比，财政拨款收、支总计各减少210,236.48元，下降6.4%，主要原因是本年有1人离职。</w:t>
        <w:br/>
        <w:t>　　收入包括：一般公共预算财政拨款收入3,061,013.1元。</w:t>
        <w:br/>
        <w:t>　　支出包括：一般公共服务支出（类）支出2,538,200.17元、社会保障和就业支出（类）支出245,699.52元、卫生健康支出（类）支出118,475.88元、住房保障支出（类）支出158,434元。</w:t>
      </w:r>
    </w:p>
    <w:p w14:paraId="2F59C99B">
      <w:pPr>
        <w:pStyle w:val="Heading2"/>
        <w:spacing w:before="0" w:after="0" w:line="600" w:lineRule="exact"/>
        <w:ind w:firstLine="600" w:firstLineChars="200"/>
        <w:rPr>
          <w:rFonts w:ascii="Times New Roman" w:eastAsia="黑体" w:hAnsi="Times New Roman"/>
          <w:b w:val="0"/>
          <w:sz w:val="30"/>
          <w:szCs w:val="30"/>
        </w:rPr>
      </w:pPr>
      <w:bookmarkStart w:id="22" w:name="_Toc19057"/>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一般公共预算财政拨款支出决算情况</w:t>
      </w:r>
      <w:r>
        <w:rPr>
          <w:rFonts w:ascii="Times New Roman" w:eastAsia="黑体" w:hAnsi="Times New Roman" w:hint="eastAsia"/>
          <w:b w:val="0"/>
          <w:sz w:val="30"/>
          <w:szCs w:val="30"/>
        </w:rPr>
        <w:t>说明</w:t>
      </w:r>
      <w:bookmarkEnd w:id="22"/>
    </w:p>
    <w:p w14:paraId="2297FB1A">
      <w:pPr>
        <w:keepNext w:val="0"/>
        <w:keepLines w:val="0"/>
        <w:pageBreakBefore w:val="0"/>
        <w:widowControl w:val="0"/>
        <w:kinsoku/>
        <w:wordWrap/>
        <w:overflowPunct/>
        <w:topLinePunct w:val="0"/>
        <w:autoSpaceDE/>
        <w:autoSpaceDN/>
        <w:bidi w:val="0"/>
        <w:adjustRightInd w:val="0"/>
        <w:snapToGrid/>
        <w:spacing w:line="600" w:lineRule="exact"/>
        <w:ind w:left="0" w:firstLine="600" w:leftChars="0" w:firstLineChars="200"/>
        <w:textAlignment w:val="baseline"/>
        <w:rPr>
          <w:rFonts w:ascii="Times New Roman" w:eastAsia="楷体" w:hAnsi="Times New Roman" w:cs="仿宋_GB2312"/>
          <w:b/>
          <w:sz w:val="30"/>
          <w:szCs w:val="30"/>
        </w:rPr>
      </w:pPr>
      <w:r>
        <w:rPr>
          <w:rFonts w:ascii="Times New Roman" w:eastAsia="楷体" w:hAnsi="Times New Roman" w:cs="仿宋_GB2312" w:hint="eastAsia"/>
          <w:b/>
          <w:sz w:val="30"/>
          <w:szCs w:val="30"/>
        </w:rPr>
        <w:t>（一）总体情况</w:t>
      </w:r>
    </w:p>
    <w:p w14:paraId="3B88EC56">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产品质量监督检验所2024年度部门决算一般公共预算财政拨款支出合计3,060,809.57元，占本年支出合计的100%。与2023年度相比，一般公共预算财政拨款支出减少193,940.91元，下降6%，主要原因是本年有1人离职，财政拨款支出减少。</w:t>
      </w:r>
    </w:p>
    <w:p w14:paraId="0EDF7B8F">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2E93C80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2024年度一般公共预算财政拨款支出3,060,809.57元，主要用于以下方面：</w:t>
        <w:br/>
        <w:t>　　一般公共服务支出（类）支出2,538,200.17元，占82.9%；</w:t>
        <w:br/>
        <w:t>　　社会保障和就业支出（类）支出245,699.52元，占8%；</w:t>
        <w:br/>
        <w:t>　　卫生健康支出（类）支出118,475.88元，占3.9%；</w:t>
        <w:br/>
        <w:t>　　住房保障支出（类）支出158,434元，占5.2%。</w:t>
      </w:r>
    </w:p>
    <w:p w14:paraId="766DC5C0">
      <w:pPr>
        <w:numPr>
          <w:ilvl w:val="0"/>
          <w:numId w:val="1"/>
        </w:num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b/>
          <w:sz w:val="30"/>
          <w:szCs w:val="30"/>
        </w:rPr>
        <w:t>具体情况</w:t>
      </w:r>
    </w:p>
    <w:p w14:paraId="6C4857B3">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2024年度一般公共预算财政拨款支出年初预算为3,094,801.48元，支出决算为3,060,809.57元，完成年初预算的98.9%。其中：</w:t>
        <w:br/>
        <w:t>　　1.一般公共服务支出（类）市场监督管理事务（款）事业运行（项）年初预算为2,544,342.16元，支出决算为2,538,200.17元，完成年初预算的99.8%，决算数小于年初预算数的主要原因是单位人员减少。</w:t>
        <w:br/>
        <w:t>　　2.社会保障和就业支出（类）行政事业单位养老支出（款）机关事业单位基本养老保险缴费支出（项）年初预算为173,003.52元，支出决算为163,799.68元，完成年初预算的94.7%，决算数小于年初预算数的主要原因是单位人员减少。</w:t>
        <w:br/>
        <w:t>　　3.社会保障和就业支出（类）行政事业单位养老支出（款）机关事业单位职业年金缴费支出（项）年初预算为86,501.76元，支出决算为81,899.84元，完成年初预算的94.7%，决算数小于年初预算数的主要原因是单位人员减少。</w:t>
        <w:br/>
        <w:t>　　4.卫生健康支出（类）行政事业单位医疗（款）事业单位医疗（项）年初预算为113,534.04元，支出决算为102,375.88元，完成年初预算的90.2%，决算数小于年初预算数的主要原因是单位人员减少。</w:t>
        <w:br/>
        <w:t>　　5.卫生健康支出（类）行政事业单位医疗（款）其他行政事业单位医疗支出（项）年初预算为16,800元，支出决算为16,100元，完成年初预算的95.8%，决算数小于年初预算数的主要原因是中国人民健康保险股份有限公司天津分公司有优惠。</w:t>
        <w:br/>
        <w:t>　　6.住房保障支出（类）住房改革支出（款）住房公积金（项）年初预算为160,620元，支出决算为158,434元，完成年初预算的98.6%，决算数小于年初预算数的主要原因是单位人员减少。</w:t>
      </w:r>
    </w:p>
    <w:p w14:paraId="2E595F18">
      <w:pPr>
        <w:pStyle w:val="Heading2"/>
        <w:spacing w:before="0" w:after="0" w:line="600" w:lineRule="exact"/>
        <w:ind w:firstLine="600" w:firstLineChars="200"/>
        <w:rPr>
          <w:rFonts w:ascii="Times New Roman" w:eastAsia="黑体" w:hAnsi="Times New Roman"/>
          <w:b w:val="0"/>
          <w:sz w:val="30"/>
          <w:szCs w:val="30"/>
        </w:rPr>
      </w:pPr>
      <w:bookmarkStart w:id="23" w:name="_Toc8826"/>
      <w:r>
        <w:rPr>
          <w:rFonts w:ascii="Times New Roman" w:eastAsia="黑体" w:hAnsi="Times New Roman"/>
          <w:b w:val="0"/>
          <w:sz w:val="30"/>
          <w:szCs w:val="30"/>
        </w:rPr>
        <w:t>六、一般公共预算财政拨款基本支出决算情况</w:t>
      </w:r>
      <w:r>
        <w:rPr>
          <w:rFonts w:ascii="Times New Roman" w:eastAsia="黑体" w:hAnsi="Times New Roman" w:hint="eastAsia"/>
          <w:b w:val="0"/>
          <w:sz w:val="30"/>
          <w:szCs w:val="30"/>
        </w:rPr>
        <w:t>说明</w:t>
      </w:r>
      <w:bookmarkEnd w:id="23"/>
    </w:p>
    <w:p w14:paraId="35A1F94E">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天津市津南区产品质量监督检验所2024年度部门决算一般公共预算财政拨款基本支出合计2,681,659.85元，与2023年度相比减少211,852.1元，主要原因是本年有1人离职，财政拨款支出减少。其中：</w:t>
        <w:br/>
        <w:t>　　人员经费2,348,279.92元，主要包括基本工资、津贴补贴、奖金、绩效工资、机关事业单位养老保险缴费、职业年金缴费、职工基本医疗保险缴费、其他社会保障缴费、住房公积金、其他工资福利支出、退休费；</w:t>
        <w:br/>
        <w:t>　　公用经费333,379.93元，主要包括办公费、水费、电费、邮电费、取暖费、物业管理费、差旅费、维修（护）费、培训费、劳务费、工会经费、福利费、公务用车运行维护费、其他商品和服务支出、办公设备购置。</w:t>
      </w:r>
    </w:p>
    <w:p w14:paraId="21E5FA28">
      <w:pPr>
        <w:pStyle w:val="Heading2"/>
        <w:spacing w:before="0" w:after="0" w:line="600" w:lineRule="exact"/>
        <w:ind w:firstLine="600" w:firstLineChars="200"/>
        <w:rPr>
          <w:rFonts w:ascii="Times New Roman" w:eastAsia="楷体" w:hAnsi="Times New Roman" w:cs="仿宋_GB2312"/>
          <w:b w:val="0"/>
          <w:sz w:val="30"/>
          <w:szCs w:val="30"/>
        </w:rPr>
      </w:pPr>
      <w:bookmarkStart w:id="24" w:name="_Toc13712"/>
      <w:r>
        <w:rPr>
          <w:rFonts w:ascii="Times New Roman" w:eastAsia="黑体" w:hAnsi="Times New Roman" w:hint="eastAsia"/>
          <w:b w:val="0"/>
          <w:sz w:val="30"/>
          <w:szCs w:val="30"/>
        </w:rPr>
        <w:t>七</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收支决算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4"/>
    </w:p>
    <w:p w14:paraId="0EBA9BB0">
      <w:pPr>
        <w:keepNext w:val="0"/>
        <w:keepLines w:val="0"/>
        <w:pageBreakBefore w:val="0"/>
        <w:widowControl w:val="0"/>
        <w:kinsoku/>
        <w:wordWrap/>
        <w:overflowPunct/>
        <w:topLinePunct w:val="0"/>
        <w:autoSpaceDE/>
        <w:autoSpaceDN/>
        <w:bidi w:val="0"/>
        <w:adjustRightInd w:val="0"/>
        <w:snapToGrid/>
        <w:spacing w:line="600" w:lineRule="exact"/>
        <w:ind w:left="0" w:firstLine="600" w:leftChars="0" w:firstLineChars="200"/>
        <w:textAlignment w:val="baseline"/>
        <w:rPr>
          <w:rFonts w:ascii="Times New Roman" w:eastAsia="楷体" w:hAnsi="Times New Roman" w:cs="仿宋_GB2312"/>
          <w:b/>
          <w:sz w:val="30"/>
          <w:szCs w:val="30"/>
        </w:rPr>
      </w:pPr>
      <w:r>
        <w:rPr>
          <w:rFonts w:ascii="Times New Roman" w:eastAsia="楷体" w:hAnsi="Times New Roman" w:cs="仿宋_GB2312" w:hint="eastAsia"/>
          <w:b/>
          <w:sz w:val="30"/>
          <w:szCs w:val="30"/>
        </w:rPr>
        <w:t>（一）总体情况</w:t>
      </w:r>
    </w:p>
    <w:p w14:paraId="27F3698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天津市津南区产品质量监督检验所2024年度无政府性基金预算财政拨款收入、支出和结转结余。</w:t>
      </w:r>
    </w:p>
    <w:p w14:paraId="402461E5">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4ECC5FB6">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1180BAF0">
      <w:pPr>
        <w:spacing w:line="600" w:lineRule="exact"/>
        <w:rPr>
          <w:rFonts w:ascii="Times New Roman" w:eastAsia="楷体" w:hAnsi="Times New Roman" w:cs="仿宋_GB2312"/>
          <w:b/>
          <w:sz w:val="30"/>
          <w:szCs w:val="30"/>
        </w:rPr>
      </w:pPr>
      <w:r>
        <w:rPr>
          <w:rFonts w:ascii="Times New Roman" w:eastAsia="楷体" w:hAnsi="Times New Roman" w:cs="仿宋_GB2312" w:hint="eastAsia"/>
          <w:b/>
          <w:sz w:val="30"/>
          <w:szCs w:val="30"/>
        </w:rPr>
        <w:t xml:space="preserve">    （三）</w:t>
      </w:r>
      <w:r>
        <w:rPr>
          <w:rFonts w:ascii="Times New Roman" w:eastAsia="楷体" w:hAnsi="Times New Roman" w:cs="仿宋_GB2312"/>
          <w:b/>
          <w:sz w:val="30"/>
          <w:szCs w:val="30"/>
        </w:rPr>
        <w:t>具体情况</w:t>
      </w:r>
    </w:p>
    <w:p w14:paraId="1290394B">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41F2BD40">
      <w:pPr>
        <w:pStyle w:val="Heading2"/>
        <w:spacing w:before="0" w:after="0" w:line="600" w:lineRule="exact"/>
        <w:ind w:firstLine="600" w:firstLineChars="200"/>
        <w:rPr>
          <w:rFonts w:ascii="Times New Roman" w:eastAsia="黑体" w:hAnsi="Times New Roman"/>
          <w:b w:val="0"/>
          <w:sz w:val="30"/>
          <w:szCs w:val="30"/>
        </w:rPr>
      </w:pPr>
      <w:bookmarkStart w:id="25" w:name="_Toc1902"/>
      <w:r>
        <w:rPr>
          <w:rFonts w:ascii="Times New Roman" w:eastAsia="黑体" w:hAnsi="Times New Roman" w:hint="eastAsia"/>
          <w:b w:val="0"/>
          <w:sz w:val="30"/>
          <w:szCs w:val="30"/>
        </w:rPr>
        <w:t>八、国有资本经营预算财政拨款收支决算情况</w:t>
      </w:r>
      <w:r>
        <w:rPr>
          <w:rFonts w:ascii="Times New Roman" w:eastAsia="黑体" w:hAnsi="Times New Roman" w:hint="eastAsia"/>
          <w:b w:val="0"/>
          <w:bCs w:val="0"/>
          <w:sz w:val="30"/>
          <w:szCs w:val="30"/>
        </w:rPr>
        <w:t>说明</w:t>
      </w:r>
      <w:bookmarkEnd w:id="25"/>
    </w:p>
    <w:p w14:paraId="18531346">
      <w:pPr>
        <w:spacing w:line="600" w:lineRule="exact"/>
        <w:ind w:firstLine="600" w:firstLineChars="200"/>
        <w:rPr>
          <w:rFonts w:ascii="Times New Roman" w:eastAsia="仿宋_GB2312" w:hAnsi="Times New Roman"/>
          <w:sz w:val="30"/>
          <w:szCs w:val="30"/>
        </w:rPr>
      </w:pPr>
      <w:r>
        <w:rPr>
          <w:rFonts w:ascii="Times New Roman" w:eastAsia="楷体" w:hAnsi="Times New Roman" w:cs="仿宋_GB2312" w:hint="eastAsia"/>
          <w:b/>
          <w:sz w:val="30"/>
          <w:szCs w:val="30"/>
        </w:rPr>
        <w:t>（一）总体情况</w:t>
      </w:r>
    </w:p>
    <w:p w14:paraId="461721CC">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天津市津南区产品质量监督检验所2024年度无国有资本经营预算财政拨款收入、支出和结转结余。</w:t>
      </w:r>
    </w:p>
    <w:p w14:paraId="00785FE3">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2503339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06DF4DE7">
      <w:pPr>
        <w:spacing w:line="600" w:lineRule="exact"/>
        <w:rPr>
          <w:rFonts w:ascii="Times New Roman" w:eastAsia="楷体" w:hAnsi="Times New Roman" w:cs="仿宋_GB2312"/>
          <w:b/>
          <w:sz w:val="30"/>
          <w:szCs w:val="30"/>
        </w:rPr>
      </w:pPr>
      <w:r>
        <w:rPr>
          <w:rFonts w:ascii="Times New Roman" w:eastAsia="楷体" w:hAnsi="Times New Roman" w:cs="仿宋_GB2312" w:hint="eastAsia"/>
          <w:b/>
          <w:sz w:val="30"/>
          <w:szCs w:val="30"/>
        </w:rPr>
        <w:t xml:space="preserve">    （三）</w:t>
      </w:r>
      <w:r>
        <w:rPr>
          <w:rFonts w:ascii="Times New Roman" w:eastAsia="楷体" w:hAnsi="Times New Roman" w:cs="仿宋_GB2312"/>
          <w:b/>
          <w:sz w:val="30"/>
          <w:szCs w:val="30"/>
        </w:rPr>
        <w:t>具体情况</w:t>
      </w:r>
    </w:p>
    <w:p w14:paraId="3FBC4350">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346F3296">
      <w:pPr>
        <w:pStyle w:val="Heading2"/>
        <w:spacing w:before="0" w:after="0" w:line="600" w:lineRule="exact"/>
        <w:ind w:firstLine="600" w:firstLineChars="200"/>
        <w:rPr>
          <w:rFonts w:ascii="Times New Roman" w:eastAsia="黑体" w:hAnsi="Times New Roman"/>
          <w:b w:val="0"/>
          <w:sz w:val="30"/>
          <w:szCs w:val="30"/>
        </w:rPr>
      </w:pPr>
      <w:bookmarkStart w:id="26" w:name="_Toc6751"/>
      <w:r>
        <w:rPr>
          <w:rFonts w:ascii="Times New Roman" w:eastAsia="黑体" w:hAnsi="Times New Roman" w:hint="eastAsia"/>
          <w:b w:val="0"/>
          <w:sz w:val="30"/>
          <w:szCs w:val="30"/>
        </w:rPr>
        <w:t>九、</w:t>
      </w:r>
      <w:r>
        <w:rPr>
          <w:rFonts w:ascii="Times New Roman" w:eastAsia="黑体" w:hAnsi="Times New Roman"/>
          <w:b w:val="0"/>
          <w:sz w:val="30"/>
          <w:szCs w:val="30"/>
        </w:rPr>
        <w:t>财政拨款“三公”经费</w:t>
      </w:r>
      <w:r>
        <w:rPr>
          <w:rFonts w:ascii="Times New Roman" w:eastAsia="黑体" w:hAnsi="Times New Roman" w:hint="eastAsia"/>
          <w:b w:val="0"/>
          <w:sz w:val="30"/>
          <w:szCs w:val="30"/>
        </w:rPr>
        <w:t>支出决算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6"/>
    </w:p>
    <w:p w14:paraId="28F47079">
      <w:pPr>
        <w:spacing w:line="600" w:lineRule="exact"/>
        <w:ind w:firstLine="600" w:firstLineChars="200"/>
        <w:rPr>
          <w:rFonts w:ascii="Times New Roman" w:eastAsia="楷体" w:hAnsi="Times New Roman" w:cs="楷体"/>
          <w:b/>
          <w:bCs/>
          <w:sz w:val="30"/>
          <w:szCs w:val="30"/>
        </w:rPr>
      </w:pPr>
      <w:r>
        <w:rPr>
          <w:rFonts w:ascii="Times New Roman" w:eastAsia="楷体" w:hAnsi="Times New Roman" w:cs="楷体" w:hint="eastAsia"/>
          <w:b/>
          <w:bCs/>
          <w:sz w:val="30"/>
          <w:szCs w:val="30"/>
        </w:rPr>
        <w:t>（一）总体情况</w:t>
      </w:r>
    </w:p>
    <w:p w14:paraId="448B8C7A">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财政拨款“三公”经费预算20,620.67元，支出决算20,620.67元（去年同期74,823.29元），支出决算与2024年预算相比持平，完成预算的100%；支出决算较上年减少54,202.62元，下降72.4%。决算数与预算数相比持平的主要原因是年内未执行完的“三公”经费预算在年末核减。决算数较上年减少的主要原因是落实过紧日子要求，从严控制各项支出，“三公”经费支出减少。</w:t>
      </w:r>
    </w:p>
    <w:p w14:paraId="3898F8D7">
      <w:pPr>
        <w:spacing w:line="600" w:lineRule="exact"/>
        <w:ind w:firstLine="600" w:firstLineChars="200"/>
        <w:rPr>
          <w:rFonts w:ascii="Times New Roman" w:eastAsia="楷体" w:hAnsi="Times New Roman" w:cs="楷体"/>
          <w:b/>
          <w:bCs/>
          <w:sz w:val="30"/>
          <w:szCs w:val="30"/>
        </w:rPr>
      </w:pPr>
      <w:r>
        <w:rPr>
          <w:rFonts w:ascii="Times New Roman" w:eastAsia="楷体" w:hAnsi="Times New Roman" w:cs="楷体" w:hint="eastAsia"/>
          <w:b/>
          <w:bCs/>
          <w:sz w:val="30"/>
          <w:szCs w:val="30"/>
        </w:rPr>
        <w:t>（二）具体情况</w:t>
      </w:r>
    </w:p>
    <w:p w14:paraId="5F8F25BF">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br/>
        <w:t>　　2024年本单位组织的出国团组0个，出国0人次。</w:t>
      </w:r>
    </w:p>
    <w:p w14:paraId="11A801D5">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2.公务用车购置及运行维护费预算20,620.67元，支出决算20,620.67元（去年同期74,823.29元），支出决算与2024年预算相比持平，完成预算的100%；支出决算较上年减少54,202.62元，下降72.4%。决算数与预算数相比持平的主要原因是年内未执行完的公务用车运行维护费预算在年末核减。决算数较上年减少的主要原因是落实过紧日子要求，从严控制各项支出，公务用车购置及运行维护费支出减少。其中：</w:t>
        <w:br/>
        <w:t>　　公务用车运行维护费预算20,620.67元，支出决算20,620.67元（去年同期74,823.29元），支出决算与2024年预算相比持平，完成预算的100%；支出决算较上年减少54,202.62元，下降72.4%。决算数与预算数相比持平的主要原因是年内未执行完的公务用车运行维护费预算在年末核减。决算数较上年减少的主要原因是落实过紧日子要求，从严控制各项支出，公务用车运行维护费支出减少。</w:t>
        <w:br/>
        <w:t>　　截至2024年12月31日，使用财政拨款开支运行维护费的公务用车保有量为3辆。</w:t>
        <w:br/>
        <w:t>　　公务用车购置费预算0元，支出决算0元（去年同期0元），支出决算与2024年预算相比持平；支出决算较上年持平。因本年及去年同期均未使用财政拨款列支公务用车购置费，故本年支出决算与本年预算、上年支出决算均持平为0。</w:t>
        <w:br/>
        <w:t>　　2024年购置公务用车0辆。</w:t>
      </w:r>
    </w:p>
    <w:p w14:paraId="755AFC00">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br/>
        <w:t>　　2024年本单位国内公务接待0批次，0人次；其中，外事接待0批次，0人次。</w:t>
      </w:r>
    </w:p>
    <w:p w14:paraId="3E8291F9">
      <w:pPr>
        <w:pStyle w:val="Heading2"/>
        <w:spacing w:before="0" w:after="0" w:line="600" w:lineRule="exact"/>
        <w:ind w:firstLine="600" w:firstLineChars="200"/>
        <w:rPr>
          <w:rFonts w:ascii="Times New Roman" w:eastAsia="黑体" w:hAnsi="Times New Roman"/>
          <w:b w:val="0"/>
          <w:sz w:val="30"/>
          <w:szCs w:val="30"/>
        </w:rPr>
      </w:pPr>
      <w:bookmarkStart w:id="27" w:name="_Toc2589"/>
      <w:r>
        <w:rPr>
          <w:rFonts w:ascii="Times New Roman" w:eastAsia="黑体" w:hAnsi="Times New Roman" w:hint="eastAsia"/>
          <w:b w:val="0"/>
          <w:sz w:val="30"/>
          <w:szCs w:val="30"/>
        </w:rPr>
        <w:t>十、</w:t>
      </w:r>
      <w:r>
        <w:rPr>
          <w:rFonts w:ascii="Times New Roman" w:eastAsia="黑体" w:hAnsi="Times New Roman"/>
          <w:b w:val="0"/>
          <w:sz w:val="30"/>
          <w:szCs w:val="30"/>
        </w:rPr>
        <w:t>机关运行经费</w:t>
      </w:r>
      <w:r>
        <w:rPr>
          <w:rFonts w:ascii="Times New Roman" w:eastAsia="黑体" w:hAnsi="Times New Roman" w:hint="eastAsia"/>
          <w:b w:val="0"/>
          <w:sz w:val="30"/>
          <w:szCs w:val="30"/>
        </w:rPr>
        <w:t>支出情况</w:t>
      </w:r>
      <w:r>
        <w:rPr>
          <w:rFonts w:ascii="Times New Roman" w:eastAsia="黑体" w:hAnsi="Times New Roman" w:hint="eastAsia"/>
          <w:b w:val="0"/>
          <w:bCs w:val="0"/>
          <w:sz w:val="30"/>
          <w:szCs w:val="30"/>
        </w:rPr>
        <w:t>说明</w:t>
      </w:r>
      <w:bookmarkEnd w:id="27"/>
    </w:p>
    <w:p w14:paraId="3226CE9B">
      <w:pPr>
        <w:spacing w:line="600" w:lineRule="exact"/>
        <w:ind w:firstLine="600"/>
        <w:jc w:val="both"/>
        <w:rPr>
          <w:rFonts w:ascii="Times New Roman" w:eastAsia="楷体" w:hAnsi="Times New Roman"/>
          <w:sz w:val="30"/>
          <w:szCs w:val="30"/>
        </w:rPr>
      </w:pPr>
      <w:r>
        <w:rPr>
          <w:rFonts w:ascii="Times New Roman" w:eastAsia="仿宋_GB2312" w:hAnsi="Times New Roman" w:cs="仿宋_GB2312" w:hint="eastAsia"/>
          <w:sz w:val="30"/>
          <w:szCs w:val="30"/>
        </w:rPr>
        <w:t>天津市津南区产品质量监督检验所2024年度无机关运行经费。</w:t>
      </w:r>
    </w:p>
    <w:p w14:paraId="15D0DF49">
      <w:pPr>
        <w:pStyle w:val="Heading2"/>
        <w:spacing w:before="0" w:after="0" w:line="600" w:lineRule="exact"/>
        <w:ind w:firstLine="600" w:firstLineChars="200"/>
        <w:rPr>
          <w:rFonts w:ascii="Times New Roman" w:eastAsia="黑体" w:hAnsi="Times New Roman"/>
          <w:b w:val="0"/>
          <w:sz w:val="30"/>
          <w:szCs w:val="30"/>
        </w:rPr>
      </w:pPr>
      <w:bookmarkStart w:id="28" w:name="_Toc15010"/>
      <w:r>
        <w:rPr>
          <w:rFonts w:ascii="Times New Roman" w:eastAsia="黑体" w:hAnsi="Times New Roman" w:hint="eastAsia"/>
          <w:b w:val="0"/>
          <w:sz w:val="30"/>
          <w:szCs w:val="30"/>
        </w:rPr>
        <w:t>十一、</w:t>
      </w:r>
      <w:r>
        <w:rPr>
          <w:rFonts w:ascii="Times New Roman" w:eastAsia="黑体" w:hAnsi="Times New Roman"/>
          <w:b w:val="0"/>
          <w:sz w:val="30"/>
          <w:szCs w:val="30"/>
        </w:rPr>
        <w:t>政府采购</w:t>
      </w:r>
      <w:r>
        <w:rPr>
          <w:rFonts w:ascii="Times New Roman" w:eastAsia="黑体" w:hAnsi="Times New Roman" w:hint="eastAsia"/>
          <w:b w:val="0"/>
          <w:sz w:val="30"/>
          <w:szCs w:val="30"/>
        </w:rPr>
        <w:t>支出</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8"/>
    </w:p>
    <w:p w14:paraId="0912B83C">
      <w:pPr>
        <w:spacing w:line="600" w:lineRule="exact"/>
        <w:ind w:firstLine="600" w:firstLineChars="200"/>
        <w:jc w:val="both"/>
        <w:rPr>
          <w:rFonts w:ascii="Times New Roman" w:eastAsia="楷体" w:hAnsi="Times New Roman"/>
          <w:sz w:val="30"/>
          <w:szCs w:val="30"/>
        </w:rPr>
      </w:pPr>
      <w:r>
        <w:rPr>
          <w:rFonts w:ascii="Times New Roman" w:eastAsia="仿宋_GB2312" w:hAnsi="Times New Roman" w:cs="仿宋_GB2312" w:hint="eastAsia"/>
          <w:sz w:val="30"/>
          <w:szCs w:val="30"/>
        </w:rPr>
        <w:t>天津市津南区产品质量监督检验所2024年政府采购支出总额7,962元，其中：政府采购货物支出7,962元、政府采购工程支出0元、政府采购服务支出0元。授予中小企业合同金额7,962元，占政府采购支出总额的100%，其中：授予小微企业合同金额7,962元，占政府采购支出总额的100%；货物采购授予中小企业合同金额占货物支出金额的100%，工程采购授予中小企业合同金额占工程支出金额的0%，服务采购授予中小企业合同金额占服务支出金额的0%。</w:t>
      </w:r>
    </w:p>
    <w:p w14:paraId="2E327891">
      <w:pPr>
        <w:pStyle w:val="Heading2"/>
        <w:spacing w:before="0" w:after="0" w:line="600" w:lineRule="exact"/>
        <w:ind w:firstLine="600" w:firstLineChars="200"/>
        <w:rPr>
          <w:rFonts w:ascii="Times New Roman" w:eastAsia="黑体" w:hAnsi="Times New Roman"/>
          <w:b w:val="0"/>
          <w:sz w:val="30"/>
          <w:szCs w:val="30"/>
        </w:rPr>
      </w:pPr>
      <w:bookmarkStart w:id="29" w:name="_Toc32128"/>
      <w:r>
        <w:rPr>
          <w:rFonts w:ascii="Times New Roman" w:eastAsia="黑体" w:hAnsi="Times New Roman" w:hint="eastAsia"/>
          <w:b w:val="0"/>
          <w:sz w:val="30"/>
          <w:szCs w:val="30"/>
        </w:rPr>
        <w:t>十二、国有资产占有使用情况</w:t>
      </w:r>
      <w:r>
        <w:rPr>
          <w:rFonts w:ascii="Times New Roman" w:eastAsia="黑体" w:hAnsi="Times New Roman" w:hint="eastAsia"/>
          <w:b w:val="0"/>
          <w:bCs w:val="0"/>
          <w:sz w:val="30"/>
          <w:szCs w:val="30"/>
        </w:rPr>
        <w:t>说明</w:t>
      </w:r>
      <w:bookmarkEnd w:id="29"/>
    </w:p>
    <w:p w14:paraId="614810F1">
      <w:pPr>
        <w:spacing w:line="600" w:lineRule="exact"/>
        <w:ind w:firstLine="600" w:firstLineChars="200"/>
        <w:jc w:val="both"/>
        <w:rPr>
          <w:rFonts w:ascii="Times New Roman" w:eastAsia="楷体" w:hAnsi="Times New Roman"/>
          <w:sz w:val="30"/>
          <w:szCs w:val="30"/>
        </w:rPr>
      </w:pPr>
      <w:r>
        <w:rPr>
          <w:rFonts w:ascii="Times New Roman" w:eastAsia="仿宋_GB2312" w:hAnsi="Times New Roman" w:cs="仿宋_GB2312" w:hint="eastAsia"/>
          <w:sz w:val="30"/>
          <w:szCs w:val="30"/>
        </w:rPr>
        <w:t>截至2024年12月31日，天津市津南区产品质量监督检验所共有车辆6辆，其中：副部（省）级及以上领导用车0辆、主要负责人用车0辆、机要通信用车0辆、应急保障用车0辆、执法执勤用车0辆、特种专业技术用车0辆、离退休干部用车0辆、其他用车6辆，其他用车主要包括业务用车6辆。单价100万元以上的设备1台（套）。</w:t>
      </w:r>
    </w:p>
    <w:p w14:paraId="24BEC538">
      <w:pPr>
        <w:pStyle w:val="Heading2"/>
        <w:spacing w:before="0" w:after="0" w:line="540" w:lineRule="exact"/>
        <w:ind w:firstLine="600" w:firstLineChars="200"/>
        <w:rPr>
          <w:rFonts w:ascii="Times New Roman" w:eastAsia="黑体" w:hAnsi="Times New Roman"/>
          <w:b w:val="0"/>
          <w:bCs w:val="0"/>
          <w:sz w:val="30"/>
          <w:szCs w:val="30"/>
        </w:rPr>
      </w:pPr>
      <w:bookmarkStart w:id="30" w:name="_Toc31889"/>
      <w:r>
        <w:rPr>
          <w:rFonts w:ascii="Times New Roman" w:eastAsia="黑体" w:hAnsi="Times New Roman" w:hint="eastAsia"/>
          <w:b w:val="0"/>
          <w:bCs w:val="0"/>
          <w:sz w:val="30"/>
          <w:szCs w:val="30"/>
        </w:rPr>
        <w:t>十三、预算绩效情况说明</w:t>
      </w:r>
      <w:bookmarkEnd w:id="30"/>
    </w:p>
    <w:p w14:paraId="45A0BCC0">
      <w:pPr>
        <w:spacing w:line="600" w:lineRule="exact"/>
        <w:ind w:firstLine="600" w:firstLineChars="200"/>
        <w:jc w:val="both"/>
        <w:rPr>
          <w:rFonts w:ascii="Times New Roman" w:eastAsia="仿宋_GB2312" w:hAnsi="Times New Roman"/>
          <w:sz w:val="30"/>
          <w:szCs w:val="30"/>
          <w:highlight w:val="yellow"/>
        </w:rPr>
      </w:pPr>
      <w:r>
        <w:rPr>
          <w:rFonts w:ascii="Times New Roman" w:eastAsia="仿宋_GB2312" w:hAnsi="Times New Roman" w:cs="仿宋_GB2312" w:hint="eastAsia"/>
          <w:sz w:val="30"/>
          <w:szCs w:val="30"/>
        </w:rPr>
        <w:t>根据预算绩效管理要求，天津市津南区产品质量监督检验所2024年度已对1个区级项目开展绩效自评，涉及金额379149.72元，自评结果已随部门决算一并公开。</w:t>
      </w:r>
    </w:p>
    <w:p w14:paraId="4275EF8F">
      <w:pPr>
        <w:pStyle w:val="Heading2"/>
        <w:spacing w:before="0" w:after="0" w:line="600" w:lineRule="exact"/>
        <w:ind w:firstLine="600" w:firstLineChars="200"/>
        <w:rPr>
          <w:rFonts w:ascii="Times New Roman" w:eastAsia="黑体" w:hAnsi="Times New Roman"/>
          <w:b w:val="0"/>
          <w:sz w:val="30"/>
          <w:szCs w:val="30"/>
        </w:rPr>
      </w:pPr>
      <w:bookmarkStart w:id="31" w:name="_Toc6543"/>
      <w:r>
        <w:rPr>
          <w:rFonts w:ascii="Times New Roman" w:eastAsia="黑体" w:hAnsi="Times New Roman" w:hint="eastAsia"/>
          <w:b w:val="0"/>
          <w:sz w:val="30"/>
          <w:szCs w:val="30"/>
        </w:rPr>
        <w:t>十四、</w:t>
      </w:r>
      <w:r>
        <w:rPr>
          <w:rFonts w:ascii="Times New Roman" w:eastAsia="黑体" w:hAnsi="Times New Roman"/>
          <w:b w:val="0"/>
          <w:sz w:val="30"/>
          <w:szCs w:val="30"/>
        </w:rPr>
        <w:t>教育、医疗卫生、社会保障和就业、住房保障、涉农补贴等民生支出情况</w:t>
      </w:r>
      <w:r>
        <w:rPr>
          <w:rFonts w:ascii="Times New Roman" w:eastAsia="黑体" w:hAnsi="Times New Roman" w:hint="eastAsia"/>
          <w:b w:val="0"/>
          <w:bCs w:val="0"/>
          <w:sz w:val="30"/>
          <w:szCs w:val="30"/>
        </w:rPr>
        <w:t>说明</w:t>
      </w:r>
      <w:bookmarkEnd w:id="31"/>
    </w:p>
    <w:p w14:paraId="7B1ECD1D">
      <w:pPr>
        <w:spacing w:line="600" w:lineRule="exact"/>
        <w:ind w:firstLine="600"/>
        <w:jc w:val="both"/>
        <w:rPr>
          <w:rFonts w:ascii="Times New Roman" w:eastAsia="楷体" w:hAnsi="Times New Roman"/>
          <w:b/>
          <w:bCs/>
          <w:sz w:val="30"/>
          <w:szCs w:val="30"/>
        </w:rPr>
        <w:sectPr>
          <w:pgSz w:w="11906" w:h="16838"/>
          <w:pgMar w:top="1440" w:right="1800" w:bottom="1440" w:left="1800" w:header="851" w:footer="992" w:gutter="0"/>
          <w:cols w:num="1" w:space="720"/>
          <w:docGrid w:type="lines" w:linePitch="312" w:charSpace="0"/>
        </w:sectPr>
      </w:pPr>
      <w:r>
        <w:rPr>
          <w:rFonts w:ascii="Times New Roman" w:eastAsia="仿宋_GB2312" w:hAnsi="Times New Roman" w:cs="仿宋_GB2312" w:hint="eastAsia"/>
          <w:sz w:val="30"/>
          <w:szCs w:val="30"/>
        </w:rPr>
        <w:t>天津市津南区产品质量监督检验所不属于乡、镇、街级单位，不涉及公开2024年度教育、医疗卫生、社会保障和就业、住房保障、涉农补贴等民生支出情况。</w:t>
      </w:r>
      <w:r>
        <w:rPr>
          <w:rFonts w:ascii="Times New Roman" w:eastAsia="楷体" w:hAnsi="Times New Roman"/>
          <w:b/>
          <w:bCs/>
          <w:sz w:val="30"/>
          <w:szCs w:val="30"/>
        </w:rPr>
        <w:t xml:space="preserve"> </w:t>
      </w:r>
    </w:p>
    <w:p w14:paraId="67AFD435">
      <w:pPr>
        <w:pStyle w:val="Heading1"/>
        <w:spacing w:before="0" w:after="0" w:line="600" w:lineRule="exact"/>
        <w:jc w:val="center"/>
        <w:rPr>
          <w:rFonts w:ascii="Times New Roman" w:eastAsia="方正小标宋简体" w:hAnsi="Times New Roman" w:cs="方正小标宋简体"/>
          <w:b w:val="0"/>
        </w:rPr>
      </w:pPr>
      <w:bookmarkStart w:id="32" w:name="_Toc24691"/>
      <w:bookmarkStart w:id="33" w:name="_Toc17573"/>
      <w:r>
        <w:rPr>
          <w:rFonts w:ascii="Times New Roman" w:eastAsia="方正小标宋简体" w:hAnsi="Times New Roman" w:cs="方正小标宋简体" w:hint="eastAsia"/>
          <w:b w:val="0"/>
        </w:rPr>
        <w:t>第四部分  名词解释</w:t>
      </w:r>
      <w:bookmarkEnd w:id="32"/>
      <w:bookmarkEnd w:id="33"/>
    </w:p>
    <w:p w14:paraId="5F6CED10">
      <w:pPr>
        <w:spacing w:line="600" w:lineRule="exact"/>
        <w:ind w:firstLine="600" w:firstLineChars="200"/>
        <w:rPr>
          <w:rFonts w:ascii="Times New Roman" w:eastAsia="仿宋_GB2312" w:hAnsi="Times New Roman"/>
          <w:sz w:val="30"/>
          <w:szCs w:val="30"/>
        </w:rPr>
      </w:pPr>
    </w:p>
    <w:p w14:paraId="70CF69A8">
      <w:pPr>
        <w:numPr>
          <w:ilvl w:val="0"/>
          <w:numId w:val="2"/>
        </w:num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01552FB">
      <w:p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D1D5840">
      <w:p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360EE6DE">
      <w:pPr>
        <w:spacing w:line="600" w:lineRule="exact"/>
        <w:ind w:firstLine="600"/>
        <w:rPr>
          <w:rFonts w:ascii="Times New Roman" w:eastAsia="仿宋_GB2312" w:hAnsi="Times New Roman"/>
          <w:sz w:val="30"/>
          <w:szCs w:val="30"/>
        </w:rPr>
      </w:pPr>
    </w:p>
    <w:sectPr>
      <w:footerReference w:type="default" r:id="rId7"/>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B3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C601E2E">
    <w:pPr>
      <w:pStyle w:val="Footer"/>
    </w:pPr>
    <w:r>
      <mc:AlternateContent>
        <mc:Choice Requires="wps">
          <w:drawing>
            <wp:anchor distT="0" distB="0" distL="114300" distR="114300" simplePos="0" relativeHeight="251661312"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49" type="#_x0000_t202" style="width:2in;height:2in;margin-top:0;margin-left:207.25pt;mso-position-horizontal-relative:margin;mso-wrap-distance-bottom:0;mso-wrap-distance-left:9pt;mso-wrap-distance-right:9pt;mso-wrap-distance-top:0;mso-wrap-style:none;position:absolute;v-text-anchor:top;z-index:251660288" filled="f" fillcolor="this" stroked="f" strokeweight="1.25pt">
              <v:textbox style="mso-fit-shape-to-text:t" inset="0,0,0,0">
                <w:txbxContent>
                  <w:p w14:paraId="6D746DBC">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C4CCE6D">
    <w:pPr>
      <w:pStyle w:val="Footer"/>
    </w:pPr>
    <w: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0" type="#_x0000_t202" style="width:2in;height:2in;margin-top:0;margin-left:207.25pt;mso-position-horizontal-relative:margin;mso-wrap-distance-bottom:0;mso-wrap-distance-left:9pt;mso-wrap-distance-right:9pt;mso-wrap-distance-top:0;mso-wrap-style:none;position:absolute;v-text-anchor:top;z-index:251658240" filled="f" fillcolor="this" stroked="f">
              <v:textbox style="mso-fit-shape-to-text:t" inset="0,0,0,0">
                <w:txbxContent>
                  <w:p w14:paraId="3E944889">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CB79B7"/>
    <w:multiLevelType w:val="singleLevel"/>
    <w:tmpl w:val="62CB79B7"/>
    <w:lvl w:ilvl="0">
      <w:start w:val="3"/>
      <w:numFmt w:val="chineseCounting"/>
      <w:suff w:val="nothing"/>
      <w:lvlText w:val="（%1）"/>
      <w:lvlJc w:val="left"/>
    </w:lvl>
  </w:abstractNum>
  <w:abstractNum w:abstractNumId="1">
    <w:nsid w:val="62CB88B4"/>
    <w:multiLevelType w:val="singleLevel"/>
    <w:tmpl w:val="62CB88B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802DB"/>
    <w:rsid w:val="D74FDF30"/>
    <w:rsid w:val="DEAEE68D"/>
    <w:rsid w:val="F7F97754"/>
    <w:rsid w:val="FB7FC3E7"/>
    <w:rsid w:val="FF3F61B6"/>
    <w:rsid w:val="FFC7ECE8"/>
    <w:rsid w:val="00015911"/>
    <w:rsid w:val="00046E1C"/>
    <w:rsid w:val="00053901"/>
    <w:rsid w:val="000864BF"/>
    <w:rsid w:val="00092AB8"/>
    <w:rsid w:val="000B4E39"/>
    <w:rsid w:val="000E2F8C"/>
    <w:rsid w:val="00100B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s>
  <w:docVars>
    <w:docVar w:name="commondata" w:val="eyJoZGlkIjoiMDYyNzRjODIwNDMyMWFhMzA3ZWZkM2QwNzBjNmI1ZG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1"/>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2"/>
    <w:uiPriority w:val="9"/>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3"/>
    <w:uiPriority w:val="9"/>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a1"/>
    <w:uiPriority w:val="99"/>
    <w:unhideWhenUsed/>
    <w:qFormat/>
    <w:pPr>
      <w:spacing w:line="240" w:lineRule="auto"/>
    </w:pPr>
    <w:rPr>
      <w:sz w:val="18"/>
      <w:szCs w:val="18"/>
    </w:rPr>
  </w:style>
  <w:style w:type="paragraph" w:styleId="Footer">
    <w:name w:val="footer"/>
    <w:basedOn w:val="Normal"/>
    <w:link w:val="a"/>
    <w:unhideWhenUsed/>
    <w:qFormat/>
    <w:pPr>
      <w:tabs>
        <w:tab w:val="center" w:pos="4153"/>
        <w:tab w:val="right" w:pos="8306"/>
      </w:tabs>
      <w:snapToGrid w:val="0"/>
      <w:spacing w:line="240" w:lineRule="atLeast"/>
    </w:pPr>
    <w:rPr>
      <w:sz w:val="18"/>
      <w:szCs w:val="18"/>
    </w:rPr>
  </w:style>
  <w:style w:type="paragraph" w:styleId="Header">
    <w:name w:val="header"/>
    <w:basedOn w:val="Normal"/>
    <w:link w:val="a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character" w:styleId="Hyperlink">
    <w:name w:val="Hyperlink"/>
    <w:uiPriority w:val="99"/>
    <w:unhideWhenUsed/>
    <w:rPr>
      <w:color w:val="0000FF"/>
      <w:u w:val="single"/>
    </w:rPr>
  </w:style>
  <w:style w:type="character" w:customStyle="1" w:styleId="3">
    <w:name w:val="标题 3 字符"/>
    <w:link w:val="Heading3"/>
    <w:uiPriority w:val="9"/>
    <w:semiHidden/>
    <w:qFormat/>
    <w:rPr>
      <w:b/>
      <w:bCs/>
      <w:sz w:val="32"/>
      <w:szCs w:val="32"/>
    </w:rPr>
  </w:style>
  <w:style w:type="character" w:customStyle="1" w:styleId="a">
    <w:name w:val="页脚 字符"/>
    <w:link w:val="Footer"/>
    <w:semiHidden/>
    <w:qFormat/>
    <w:rPr>
      <w:sz w:val="18"/>
      <w:szCs w:val="18"/>
    </w:rPr>
  </w:style>
  <w:style w:type="character" w:customStyle="1" w:styleId="a0">
    <w:name w:val="页眉 字符"/>
    <w:link w:val="Header"/>
    <w:semiHidden/>
    <w:rPr>
      <w:sz w:val="18"/>
      <w:szCs w:val="18"/>
    </w:rPr>
  </w:style>
  <w:style w:type="character" w:customStyle="1" w:styleId="a1">
    <w:name w:val="批注框文本 字符"/>
    <w:link w:val="BalloonText"/>
    <w:uiPriority w:val="99"/>
    <w:semiHidden/>
    <w:qFormat/>
    <w:rPr>
      <w:sz w:val="18"/>
      <w:szCs w:val="18"/>
    </w:rPr>
  </w:style>
  <w:style w:type="character" w:customStyle="1" w:styleId="2">
    <w:name w:val="标题 2 字符"/>
    <w:link w:val="Heading2"/>
    <w:uiPriority w:val="9"/>
    <w:semiHidden/>
    <w:rPr>
      <w:rFonts w:ascii="Cambria" w:eastAsia="宋体" w:hAnsi="Cambria" w:cs="Times New Roman"/>
      <w:b/>
      <w:bCs/>
      <w:sz w:val="32"/>
      <w:szCs w:val="32"/>
    </w:rPr>
  </w:style>
  <w:style w:type="character" w:customStyle="1" w:styleId="1">
    <w:name w:val="标题 1 字符"/>
    <w:link w:val="Heading1"/>
    <w:uiPriority w:val="9"/>
    <w:qFormat/>
    <w:rPr>
      <w:b/>
      <w:bCs/>
      <w:kern w:val="44"/>
      <w:sz w:val="44"/>
      <w:szCs w:val="44"/>
    </w:rPr>
  </w:style>
  <w:style w:type="paragraph" w:customStyle="1" w:styleId="TOCHeading">
    <w:name w:val="TOC Heading"/>
    <w:basedOn w:val="Heading1"/>
    <w:next w:val="Normal"/>
    <w:uiPriority w:val="39"/>
    <w:qFormat/>
    <w:pPr>
      <w:widowControl/>
      <w:adjustRightInd/>
      <w:spacing w:before="480" w:after="0" w:line="276" w:lineRule="auto"/>
      <w:textAlignment w:val="auto"/>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15</Pages>
  <Words>1589</Words>
  <Characters>1795</Characters>
  <Application>Microsoft Office Word</Application>
  <DocSecurity>0</DocSecurity>
  <Lines>24</Lines>
  <Paragraphs>7</Paragraphs>
  <ScaleCrop>false</ScaleCrop>
  <Company>Microsoft</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WPS_1602396612</cp:lastModifiedBy>
  <cp:revision>5</cp:revision>
  <cp:lastPrinted>2025-06-25T07:52:00Z</cp:lastPrinted>
  <dcterms:created xsi:type="dcterms:W3CDTF">2025-09-05T02:36:00Z</dcterms:created>
  <dcterms:modified xsi:type="dcterms:W3CDTF">2025-09-23T02:17:34Z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2052-12.1.0.22529</vt:lpwstr>
  </property>
  <property fmtid="{D5CDD505-2E9C-101B-9397-08002B2CF9AE}" pid="4" name="KSOTemplateDocerSaveRecord">
    <vt:lpwstr>eyJoZGlkIjoiMWE3MzhjZTJhNmRiZjRhZTk5OGNlZTAzZTMxZDJlNTkiLCJ1c2VySWQiOiIxMTI5ODg0NTQ0In0=</vt:lpwstr>
  </property>
</Properties>
</file>