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1.0 -->
  <w:background w:color="ffffff">
    <v:background id="_x0000_s1025" filled="t"/>
  </w:background>
  <w:body>
    <w:p w14:paraId="07A8E3C4">
      <w:pPr>
        <w:spacing w:line="580" w:lineRule="exact"/>
        <w:jc w:val="center"/>
        <w:rPr>
          <w:rFonts w:ascii="Times New Roman" w:eastAsia="黑体" w:hAnsi="Times New Roman"/>
          <w:w w:val="95"/>
          <w:sz w:val="44"/>
          <w:szCs w:val="44"/>
        </w:rPr>
      </w:pPr>
      <w:bookmarkStart w:id="0" w:name="_GoBack"/>
      <w:bookmarkEnd w:id="0"/>
    </w:p>
    <w:p w14:paraId="75368315">
      <w:pPr>
        <w:spacing w:line="580" w:lineRule="exact"/>
        <w:jc w:val="center"/>
        <w:rPr>
          <w:rFonts w:ascii="Times New Roman" w:eastAsia="黑体" w:hAnsi="Times New Roman"/>
          <w:w w:val="95"/>
          <w:sz w:val="44"/>
          <w:szCs w:val="44"/>
        </w:rPr>
      </w:pPr>
    </w:p>
    <w:p w14:paraId="474FB543">
      <w:pPr>
        <w:spacing w:line="580" w:lineRule="exact"/>
        <w:jc w:val="center"/>
        <w:rPr>
          <w:rFonts w:ascii="Times New Roman" w:eastAsia="黑体" w:hAnsi="Times New Roman"/>
          <w:w w:val="95"/>
          <w:sz w:val="44"/>
          <w:szCs w:val="44"/>
        </w:rPr>
      </w:pPr>
    </w:p>
    <w:p w14:paraId="57E9B643">
      <w:pPr>
        <w:spacing w:line="580" w:lineRule="exact"/>
        <w:jc w:val="center"/>
        <w:rPr>
          <w:rFonts w:ascii="Times New Roman" w:eastAsia="黑体" w:hAnsi="Times New Roman"/>
          <w:w w:val="95"/>
          <w:sz w:val="44"/>
          <w:szCs w:val="44"/>
        </w:rPr>
      </w:pPr>
    </w:p>
    <w:p w14:paraId="3C0209E6">
      <w:pPr>
        <w:spacing w:line="580" w:lineRule="exact"/>
        <w:jc w:val="center"/>
        <w:rPr>
          <w:rFonts w:ascii="Times New Roman" w:eastAsia="黑体" w:hAnsi="Times New Roman"/>
          <w:w w:val="95"/>
          <w:sz w:val="44"/>
          <w:szCs w:val="44"/>
        </w:rPr>
      </w:pPr>
    </w:p>
    <w:p w14:paraId="35428310">
      <w:pPr>
        <w:spacing w:line="580" w:lineRule="exact"/>
        <w:jc w:val="center"/>
        <w:rPr>
          <w:rFonts w:ascii="Times New Roman" w:eastAsia="黑体" w:hAnsi="Times New Roman"/>
          <w:w w:val="95"/>
          <w:sz w:val="44"/>
          <w:szCs w:val="44"/>
        </w:rPr>
      </w:pPr>
    </w:p>
    <w:p w14:paraId="53AAD3BA">
      <w:pPr>
        <w:spacing w:line="580" w:lineRule="exact"/>
        <w:jc w:val="center"/>
        <w:rPr>
          <w:rFonts w:ascii="Times New Roman" w:eastAsia="黑体" w:hAnsi="Times New Roman"/>
          <w:w w:val="95"/>
          <w:sz w:val="44"/>
          <w:szCs w:val="44"/>
        </w:rPr>
      </w:pPr>
    </w:p>
    <w:p w14:paraId="5B897B62">
      <w:pPr>
        <w:spacing w:line="580" w:lineRule="exact"/>
        <w:jc w:val="center"/>
        <w:rPr>
          <w:rFonts w:ascii="Times New Roman" w:eastAsia="黑体" w:hAnsi="Times New Roman"/>
          <w:w w:val="95"/>
          <w:sz w:val="44"/>
          <w:szCs w:val="44"/>
        </w:rPr>
      </w:pPr>
    </w:p>
    <w:p w14:paraId="444F3F42">
      <w:pPr>
        <w:spacing w:line="240" w:lineRule="auto"/>
        <w:jc w:val="center"/>
        <w:rPr>
          <w:rFonts w:ascii="Times New Roman" w:eastAsia="方正小标宋简体" w:hAnsi="Times New Roman" w:cs="方正小标宋简体"/>
          <w:sz w:val="48"/>
          <w:szCs w:val="48"/>
        </w:rPr>
      </w:pPr>
      <w:r>
        <w:rPr>
          <w:rFonts w:ascii="Times New Roman" w:eastAsia="方正小标宋简体" w:hAnsi="Times New Roman" w:cs="方正小标宋简体" w:hint="eastAsia"/>
          <w:sz w:val="48"/>
          <w:szCs w:val="48"/>
        </w:rPr>
        <w:t>天津市津南区市场监督管理局（本级）</w:t>
      </w:r>
    </w:p>
    <w:p w14:paraId="2F3AACF5">
      <w:pPr>
        <w:spacing w:line="240" w:lineRule="auto"/>
        <w:jc w:val="center"/>
        <w:rPr>
          <w:rFonts w:ascii="Times New Roman" w:eastAsia="方正小标宋简体" w:hAnsi="Times New Roman" w:cs="方正小标宋简体"/>
          <w:w w:val="95"/>
          <w:sz w:val="48"/>
          <w:szCs w:val="48"/>
        </w:rPr>
      </w:pPr>
      <w:r>
        <w:rPr>
          <w:rFonts w:ascii="Times New Roman" w:eastAsia="方正小标宋简体" w:hAnsi="Times New Roman" w:cs="方正小标宋简体" w:hint="eastAsia"/>
          <w:sz w:val="48"/>
          <w:szCs w:val="48"/>
        </w:rPr>
        <w:t>2024年度部门决算</w:t>
      </w:r>
    </w:p>
    <w:p w14:paraId="7909EEA5">
      <w:pPr>
        <w:spacing w:line="580" w:lineRule="exact"/>
        <w:jc w:val="center"/>
        <w:rPr>
          <w:rFonts w:ascii="Times New Roman" w:eastAsia="黑体" w:hAnsi="Times New Roman"/>
          <w:sz w:val="30"/>
          <w:szCs w:val="30"/>
        </w:rPr>
      </w:pPr>
    </w:p>
    <w:p w14:paraId="0D152043">
      <w:pPr>
        <w:spacing w:line="580" w:lineRule="exact"/>
        <w:jc w:val="center"/>
        <w:rPr>
          <w:rFonts w:ascii="Times New Roman" w:eastAsia="黑体" w:hAnsi="Times New Roman"/>
          <w:sz w:val="30"/>
          <w:szCs w:val="30"/>
        </w:rPr>
      </w:pPr>
    </w:p>
    <w:p w14:paraId="7E83689A">
      <w:pPr>
        <w:spacing w:line="580" w:lineRule="exact"/>
        <w:jc w:val="center"/>
        <w:rPr>
          <w:rFonts w:ascii="Times New Roman" w:eastAsia="黑体" w:hAnsi="Times New Roman"/>
          <w:sz w:val="30"/>
          <w:szCs w:val="30"/>
        </w:rPr>
      </w:pPr>
    </w:p>
    <w:p w14:paraId="1250D9FA">
      <w:pPr>
        <w:spacing w:line="580" w:lineRule="exact"/>
        <w:jc w:val="center"/>
        <w:rPr>
          <w:rFonts w:ascii="Times New Roman" w:eastAsia="黑体" w:hAnsi="Times New Roman"/>
          <w:sz w:val="30"/>
          <w:szCs w:val="30"/>
        </w:rPr>
      </w:pPr>
    </w:p>
    <w:p w14:paraId="42C71361">
      <w:pPr>
        <w:spacing w:line="580" w:lineRule="exact"/>
        <w:jc w:val="center"/>
        <w:rPr>
          <w:rFonts w:ascii="Times New Roman" w:eastAsia="黑体" w:hAnsi="Times New Roman"/>
          <w:sz w:val="30"/>
          <w:szCs w:val="30"/>
        </w:rPr>
      </w:pPr>
    </w:p>
    <w:p w14:paraId="6A3F359F">
      <w:pPr>
        <w:spacing w:line="580" w:lineRule="exact"/>
        <w:jc w:val="center"/>
        <w:rPr>
          <w:rFonts w:ascii="Times New Roman" w:eastAsia="黑体" w:hAnsi="Times New Roman"/>
          <w:sz w:val="30"/>
          <w:szCs w:val="30"/>
        </w:rPr>
      </w:pPr>
    </w:p>
    <w:p w14:paraId="15F8F63F">
      <w:pPr>
        <w:spacing w:line="580" w:lineRule="exact"/>
        <w:jc w:val="center"/>
        <w:rPr>
          <w:rFonts w:ascii="Times New Roman" w:eastAsia="黑体" w:hAnsi="Times New Roman"/>
          <w:sz w:val="30"/>
          <w:szCs w:val="30"/>
        </w:rPr>
      </w:pPr>
    </w:p>
    <w:p w14:paraId="0B0B8E6E">
      <w:pPr>
        <w:spacing w:line="580" w:lineRule="exact"/>
        <w:jc w:val="center"/>
        <w:rPr>
          <w:rFonts w:ascii="Times New Roman" w:eastAsia="黑体" w:hAnsi="Times New Roman"/>
          <w:sz w:val="30"/>
          <w:szCs w:val="30"/>
        </w:rPr>
      </w:pPr>
    </w:p>
    <w:p w14:paraId="5563C6A2">
      <w:pPr>
        <w:spacing w:line="580" w:lineRule="exact"/>
        <w:jc w:val="center"/>
        <w:rPr>
          <w:rFonts w:ascii="Times New Roman" w:eastAsia="黑体" w:hAnsi="Times New Roman"/>
          <w:sz w:val="30"/>
          <w:szCs w:val="30"/>
        </w:rPr>
      </w:pPr>
    </w:p>
    <w:p w14:paraId="6FC8294A">
      <w:pPr>
        <w:spacing w:line="580" w:lineRule="exact"/>
        <w:jc w:val="center"/>
        <w:rPr>
          <w:rFonts w:ascii="Times New Roman" w:eastAsia="黑体" w:hAnsi="Times New Roman"/>
          <w:sz w:val="30"/>
          <w:szCs w:val="30"/>
        </w:rPr>
      </w:pPr>
    </w:p>
    <w:p w14:paraId="6CE4E00F">
      <w:pPr>
        <w:spacing w:line="580" w:lineRule="exact"/>
        <w:jc w:val="center"/>
        <w:rPr>
          <w:rFonts w:ascii="Times New Roman" w:eastAsia="黑体" w:hAnsi="Times New Roman"/>
          <w:sz w:val="30"/>
          <w:szCs w:val="30"/>
        </w:rPr>
      </w:pPr>
    </w:p>
    <w:p w14:paraId="23749A1C">
      <w:pPr>
        <w:spacing w:line="580" w:lineRule="exact"/>
        <w:jc w:val="center"/>
        <w:rPr>
          <w:rFonts w:ascii="Times New Roman" w:eastAsia="黑体" w:hAnsi="Times New Roman"/>
          <w:sz w:val="44"/>
          <w:szCs w:val="44"/>
        </w:rPr>
      </w:pPr>
    </w:p>
    <w:p w14:paraId="4B48E4FC">
      <w:pPr>
        <w:spacing w:line="600" w:lineRule="exact"/>
        <w:jc w:val="center"/>
        <w:rPr>
          <w:rFonts w:ascii="Times New Roman" w:eastAsia="黑体" w:hAnsi="Times New Roman"/>
          <w:sz w:val="44"/>
          <w:szCs w:val="44"/>
        </w:rPr>
        <w:sectPr>
          <w:pgSz w:w="11906" w:h="16838"/>
          <w:pgMar w:top="1440" w:right="1800" w:bottom="1440" w:left="1800" w:header="851" w:footer="992" w:gutter="0"/>
          <w:pgNumType w:start="1"/>
          <w:cols w:num="1" w:space="720"/>
          <w:docGrid w:type="lines" w:linePitch="312" w:charSpace="0"/>
        </w:sectPr>
      </w:pPr>
    </w:p>
    <w:p w14:paraId="468575F5">
      <w:pPr>
        <w:spacing w:line="600" w:lineRule="exact"/>
        <w:jc w:val="center"/>
        <w:rPr>
          <w:rFonts w:ascii="Times New Roman" w:eastAsia="黑体" w:hAnsi="Times New Roman"/>
          <w:sz w:val="44"/>
          <w:szCs w:val="44"/>
        </w:rPr>
      </w:pPr>
    </w:p>
    <w:p w14:paraId="090B0CC0">
      <w:pPr>
        <w:spacing w:line="600" w:lineRule="exact"/>
        <w:jc w:val="center"/>
        <w:rPr>
          <w:rFonts w:ascii="Times New Roman" w:eastAsia="黑体" w:hAnsi="Times New Roman"/>
          <w:sz w:val="44"/>
          <w:szCs w:val="44"/>
        </w:rPr>
      </w:pPr>
      <w:r>
        <w:rPr>
          <w:rFonts w:ascii="Times New Roman" w:eastAsia="黑体" w:hAnsi="Times New Roman" w:hint="eastAsia"/>
          <w:sz w:val="44"/>
          <w:szCs w:val="44"/>
        </w:rPr>
        <w:t>目   录</w:t>
      </w:r>
    </w:p>
    <w:p w14:paraId="07F4E5F0">
      <w:pPr>
        <w:spacing w:line="600" w:lineRule="exact"/>
        <w:rPr>
          <w:rFonts w:ascii="Times New Roman" w:eastAsia="黑体" w:hAnsi="Times New Roman"/>
          <w:sz w:val="30"/>
          <w:szCs w:val="30"/>
        </w:rPr>
      </w:pPr>
    </w:p>
    <w:p w14:paraId="05BC2129">
      <w:pPr>
        <w:pStyle w:val="TOC1"/>
        <w:keepNext w:val="0"/>
        <w:keepLines w:val="0"/>
        <w:pageBreakBefore w:val="0"/>
        <w:widowControl/>
        <w:tabs>
          <w:tab w:val="clear" w:pos="8296"/>
          <w:tab w:val="right" w:leader="dot" w:pos="8306"/>
        </w:tabs>
        <w:kinsoku/>
        <w:wordWrap/>
        <w:overflowPunct/>
        <w:topLinePunct w:val="0"/>
        <w:autoSpaceDE/>
        <w:autoSpaceDN/>
        <w:bidi w:val="0"/>
        <w:adjustRightInd/>
        <w:snapToGrid/>
        <w:spacing w:after="0" w:line="700" w:lineRule="exact"/>
        <w:textAlignment w:val="auto"/>
        <w:rPr>
          <w:rFonts w:ascii="Times New Roman" w:eastAsia="方正小标宋简体" w:hAnsi="Times New Roman" w:cs="方正小标宋简体" w:hint="eastAsia"/>
          <w:sz w:val="30"/>
          <w:szCs w:val="30"/>
        </w:rPr>
      </w:pPr>
      <w:r>
        <w:rPr>
          <w:rFonts w:ascii="Times New Roman" w:eastAsia="仿宋_GB2312" w:hAnsi="Times New Roman" w:cs="Times New Roman"/>
          <w:sz w:val="30"/>
          <w:szCs w:val="30"/>
        </w:rPr>
        <w:fldChar w:fldCharType="begin"/>
      </w:r>
      <w:r>
        <w:rPr>
          <w:rFonts w:ascii="Times New Roman" w:eastAsia="仿宋_GB2312" w:hAnsi="Times New Roman" w:cs="Times New Roman"/>
          <w:sz w:val="30"/>
          <w:szCs w:val="30"/>
        </w:rPr>
        <w:instrText xml:space="preserve"> TOC \o "1-3" \h \z \u </w:instrText>
      </w:r>
      <w:r>
        <w:rPr>
          <w:rFonts w:ascii="Times New Roman" w:eastAsia="仿宋_GB2312" w:hAnsi="Times New Roman" w:cs="Times New Roman"/>
          <w:sz w:val="30"/>
          <w:szCs w:val="30"/>
        </w:rPr>
        <w:fldChar w:fldCharType="separate"/>
      </w:r>
      <w:hyperlink w:anchor="_Toc15895" w:history="1">
        <w:r>
          <w:rPr>
            <w:rFonts w:ascii="Times New Roman" w:eastAsia="方正小标宋简体" w:hAnsi="Times New Roman" w:cs="方正小标宋简体" w:hint="eastAsia"/>
            <w:sz w:val="30"/>
            <w:szCs w:val="30"/>
          </w:rPr>
          <w:t>第一部分  概 况</w:t>
        </w:r>
      </w:hyperlink>
    </w:p>
    <w:p w14:paraId="48750532">
      <w:pPr>
        <w:pStyle w:val="TOC2"/>
        <w:keepNext w:val="0"/>
        <w:keepLines w:val="0"/>
        <w:pageBreakBefore w:val="0"/>
        <w:widowControl/>
        <w:tabs>
          <w:tab w:val="right" w:leader="dot" w:pos="8306"/>
        </w:tabs>
        <w:kinsoku/>
        <w:wordWrap/>
        <w:overflowPunct/>
        <w:topLinePunct w:val="0"/>
        <w:autoSpaceDE/>
        <w:autoSpaceDN/>
        <w:bidi w:val="0"/>
        <w:adjustRightInd/>
        <w:snapToGrid/>
        <w:spacing w:after="0" w:line="700" w:lineRule="exact"/>
        <w:ind w:left="221"/>
        <w:textAlignment w:val="auto"/>
        <w:rPr>
          <w:rFonts w:ascii="Times New Roman" w:eastAsia="仿宋_GB2312" w:hAnsi="Times New Roman" w:cs="仿宋_GB2312" w:hint="eastAsia"/>
          <w:sz w:val="30"/>
          <w:szCs w:val="30"/>
        </w:rPr>
      </w:pPr>
      <w:hyperlink w:anchor="_Toc28346" w:history="1">
        <w:r>
          <w:rPr>
            <w:rFonts w:ascii="Times New Roman" w:eastAsia="仿宋_GB2312" w:hAnsi="Times New Roman" w:cs="仿宋_GB2312" w:hint="eastAsia"/>
            <w:bCs w:val="0"/>
            <w:sz w:val="30"/>
            <w:szCs w:val="30"/>
          </w:rPr>
          <w:t>一、主要职责</w:t>
        </w:r>
        <w:r>
          <w:rPr>
            <w:rFonts w:ascii="Times New Roman" w:eastAsia="仿宋_GB2312" w:hAnsi="Times New Roman" w:cs="仿宋_GB2312" w:hint="eastAsia"/>
            <w:sz w:val="30"/>
            <w:szCs w:val="30"/>
          </w:rPr>
          <w:tab/>
        </w:r>
        <w:r>
          <w:rPr>
            <w:rFonts w:ascii="Times New Roman" w:eastAsia="仿宋_GB2312" w:hAnsi="Times New Roman" w:cs="仿宋_GB2312" w:hint="eastAsia"/>
            <w:sz w:val="30"/>
            <w:szCs w:val="30"/>
          </w:rPr>
          <w:fldChar w:fldCharType="begin"/>
        </w:r>
        <w:r>
          <w:rPr>
            <w:rFonts w:ascii="Times New Roman" w:eastAsia="仿宋_GB2312" w:hAnsi="Times New Roman" w:cs="仿宋_GB2312" w:hint="eastAsia"/>
            <w:sz w:val="30"/>
            <w:szCs w:val="30"/>
          </w:rPr>
          <w:instrText xml:space="preserve"> PAGEREF _Toc28346 \h </w:instrText>
        </w:r>
        <w:r>
          <w:rPr>
            <w:rFonts w:ascii="Times New Roman" w:eastAsia="仿宋_GB2312" w:hAnsi="Times New Roman" w:cs="仿宋_GB2312" w:hint="eastAsia"/>
            <w:sz w:val="30"/>
            <w:szCs w:val="30"/>
          </w:rPr>
          <w:fldChar w:fldCharType="separate"/>
        </w:r>
        <w:r>
          <w:rPr>
            <w:rFonts w:ascii="Times New Roman" w:eastAsia="仿宋_GB2312" w:hAnsi="Times New Roman" w:cs="仿宋_GB2312" w:hint="eastAsia"/>
            <w:sz w:val="30"/>
            <w:szCs w:val="30"/>
          </w:rPr>
          <w:t>1</w:t>
        </w:r>
        <w:r>
          <w:rPr>
            <w:rFonts w:ascii="Times New Roman" w:eastAsia="仿宋_GB2312" w:hAnsi="Times New Roman" w:cs="仿宋_GB2312" w:hint="eastAsia"/>
            <w:sz w:val="30"/>
            <w:szCs w:val="30"/>
          </w:rPr>
          <w:fldChar w:fldCharType="end"/>
        </w:r>
      </w:hyperlink>
    </w:p>
    <w:p w14:paraId="7C0C5516">
      <w:pPr>
        <w:pStyle w:val="TOC2"/>
        <w:keepNext w:val="0"/>
        <w:keepLines w:val="0"/>
        <w:pageBreakBefore w:val="0"/>
        <w:widowControl/>
        <w:tabs>
          <w:tab w:val="right" w:leader="dot" w:pos="8306"/>
        </w:tabs>
        <w:kinsoku/>
        <w:wordWrap/>
        <w:overflowPunct/>
        <w:topLinePunct w:val="0"/>
        <w:autoSpaceDE/>
        <w:autoSpaceDN/>
        <w:bidi w:val="0"/>
        <w:adjustRightInd/>
        <w:snapToGrid/>
        <w:spacing w:after="0" w:line="700" w:lineRule="exact"/>
        <w:ind w:left="221"/>
        <w:textAlignment w:val="auto"/>
        <w:rPr>
          <w:rFonts w:ascii="Times New Roman" w:eastAsia="仿宋_GB2312" w:hAnsi="Times New Roman" w:cs="仿宋_GB2312" w:hint="eastAsia"/>
          <w:sz w:val="30"/>
          <w:szCs w:val="30"/>
        </w:rPr>
      </w:pPr>
      <w:hyperlink w:anchor="_Toc25737" w:history="1">
        <w:r>
          <w:rPr>
            <w:rFonts w:ascii="Times New Roman" w:eastAsia="仿宋_GB2312" w:hAnsi="Times New Roman" w:cs="仿宋_GB2312" w:hint="eastAsia"/>
            <w:sz w:val="30"/>
            <w:szCs w:val="30"/>
          </w:rPr>
          <w:t>二、机构设置</w:t>
        </w:r>
        <w:r>
          <w:rPr>
            <w:rFonts w:ascii="Times New Roman" w:eastAsia="仿宋_GB2312" w:hAnsi="Times New Roman" w:cs="仿宋_GB2312" w:hint="eastAsia"/>
            <w:sz w:val="30"/>
            <w:szCs w:val="30"/>
          </w:rPr>
          <w:tab/>
        </w:r>
        <w:r>
          <w:rPr>
            <w:rFonts w:ascii="Times New Roman" w:eastAsia="仿宋_GB2312" w:hAnsi="Times New Roman" w:cs="仿宋_GB2312" w:hint="eastAsia"/>
            <w:sz w:val="30"/>
            <w:szCs w:val="30"/>
          </w:rPr>
          <w:fldChar w:fldCharType="begin"/>
        </w:r>
        <w:r>
          <w:rPr>
            <w:rFonts w:ascii="Times New Roman" w:eastAsia="仿宋_GB2312" w:hAnsi="Times New Roman" w:cs="仿宋_GB2312" w:hint="eastAsia"/>
            <w:sz w:val="30"/>
            <w:szCs w:val="30"/>
          </w:rPr>
          <w:instrText xml:space="preserve"> PAGEREF _Toc25737 \h </w:instrText>
        </w:r>
        <w:r>
          <w:rPr>
            <w:rFonts w:ascii="Times New Roman" w:eastAsia="仿宋_GB2312" w:hAnsi="Times New Roman" w:cs="仿宋_GB2312" w:hint="eastAsia"/>
            <w:sz w:val="30"/>
            <w:szCs w:val="30"/>
          </w:rPr>
          <w:fldChar w:fldCharType="separate"/>
        </w:r>
        <w:r>
          <w:rPr>
            <w:rFonts w:ascii="Times New Roman" w:eastAsia="仿宋_GB2312" w:hAnsi="Times New Roman" w:cs="仿宋_GB2312" w:hint="eastAsia"/>
            <w:sz w:val="30"/>
            <w:szCs w:val="30"/>
          </w:rPr>
          <w:t>1</w:t>
        </w:r>
        <w:r>
          <w:rPr>
            <w:rFonts w:ascii="Times New Roman" w:eastAsia="仿宋_GB2312" w:hAnsi="Times New Roman" w:cs="仿宋_GB2312" w:hint="eastAsia"/>
            <w:sz w:val="30"/>
            <w:szCs w:val="30"/>
          </w:rPr>
          <w:fldChar w:fldCharType="end"/>
        </w:r>
      </w:hyperlink>
    </w:p>
    <w:p w14:paraId="67726531">
      <w:pPr>
        <w:pStyle w:val="TOC1"/>
        <w:keepNext w:val="0"/>
        <w:keepLines w:val="0"/>
        <w:pageBreakBefore w:val="0"/>
        <w:widowControl/>
        <w:tabs>
          <w:tab w:val="clear" w:pos="8296"/>
          <w:tab w:val="right" w:leader="dot" w:pos="8306"/>
        </w:tabs>
        <w:kinsoku/>
        <w:wordWrap/>
        <w:overflowPunct/>
        <w:topLinePunct w:val="0"/>
        <w:autoSpaceDE/>
        <w:autoSpaceDN/>
        <w:bidi w:val="0"/>
        <w:adjustRightInd/>
        <w:snapToGrid/>
        <w:spacing w:after="0" w:line="700" w:lineRule="exact"/>
        <w:textAlignment w:val="auto"/>
        <w:rPr>
          <w:rFonts w:ascii="Times New Roman" w:eastAsia="方正小标宋简体" w:hAnsi="Times New Roman" w:cs="方正小标宋简体" w:hint="eastAsia"/>
          <w:sz w:val="30"/>
          <w:szCs w:val="30"/>
        </w:rPr>
      </w:pPr>
      <w:hyperlink w:anchor="_Toc25448" w:history="1">
        <w:r>
          <w:rPr>
            <w:rFonts w:ascii="Times New Roman" w:eastAsia="方正小标宋简体" w:hAnsi="Times New Roman" w:cs="方正小标宋简体" w:hint="eastAsia"/>
            <w:sz w:val="30"/>
            <w:szCs w:val="30"/>
          </w:rPr>
          <w:t>第二部分  2024年度部门决算表</w:t>
        </w:r>
      </w:hyperlink>
    </w:p>
    <w:p w14:paraId="5E0B7046">
      <w:pPr>
        <w:pStyle w:val="TOC2"/>
        <w:keepNext w:val="0"/>
        <w:keepLines w:val="0"/>
        <w:pageBreakBefore w:val="0"/>
        <w:widowControl/>
        <w:tabs>
          <w:tab w:val="right" w:leader="dot" w:pos="8306"/>
        </w:tabs>
        <w:kinsoku/>
        <w:wordWrap/>
        <w:overflowPunct/>
        <w:topLinePunct w:val="0"/>
        <w:autoSpaceDE/>
        <w:autoSpaceDN/>
        <w:bidi w:val="0"/>
        <w:adjustRightInd/>
        <w:snapToGrid/>
        <w:spacing w:after="0" w:line="700" w:lineRule="exact"/>
        <w:ind w:left="221"/>
        <w:textAlignment w:val="auto"/>
        <w:rPr>
          <w:rFonts w:ascii="Times New Roman" w:eastAsia="仿宋_GB2312" w:hAnsi="Times New Roman" w:cs="仿宋_GB2312" w:hint="eastAsia"/>
          <w:sz w:val="30"/>
          <w:szCs w:val="30"/>
        </w:rPr>
      </w:pPr>
      <w:hyperlink w:anchor="_Toc8089" w:history="1">
        <w:r>
          <w:rPr>
            <w:rFonts w:ascii="Times New Roman" w:eastAsia="仿宋_GB2312" w:hAnsi="Times New Roman" w:cs="仿宋_GB2312" w:hint="eastAsia"/>
            <w:sz w:val="30"/>
            <w:szCs w:val="30"/>
          </w:rPr>
          <w:t>一、《收入支出决算总表》</w:t>
        </w:r>
        <w:r>
          <w:rPr>
            <w:rFonts w:ascii="Times New Roman" w:eastAsia="仿宋_GB2312" w:hAnsi="Times New Roman" w:cs="仿宋_GB2312" w:hint="eastAsia"/>
            <w:sz w:val="30"/>
            <w:szCs w:val="30"/>
          </w:rPr>
          <w:tab/>
        </w:r>
        <w:r>
          <w:rPr>
            <w:rFonts w:ascii="Times New Roman" w:eastAsia="仿宋_GB2312" w:hAnsi="Times New Roman" w:cs="仿宋_GB2312" w:hint="eastAsia"/>
            <w:sz w:val="30"/>
            <w:szCs w:val="30"/>
          </w:rPr>
          <w:fldChar w:fldCharType="begin"/>
        </w:r>
        <w:r>
          <w:rPr>
            <w:rFonts w:ascii="Times New Roman" w:eastAsia="仿宋_GB2312" w:hAnsi="Times New Roman" w:cs="仿宋_GB2312" w:hint="eastAsia"/>
            <w:sz w:val="30"/>
            <w:szCs w:val="30"/>
          </w:rPr>
          <w:instrText xml:space="preserve"> PAGEREF _Toc8089 \h </w:instrText>
        </w:r>
        <w:r>
          <w:rPr>
            <w:rFonts w:ascii="Times New Roman" w:eastAsia="仿宋_GB2312" w:hAnsi="Times New Roman" w:cs="仿宋_GB2312" w:hint="eastAsia"/>
            <w:sz w:val="30"/>
            <w:szCs w:val="30"/>
          </w:rPr>
          <w:fldChar w:fldCharType="separate"/>
        </w:r>
        <w:r>
          <w:rPr>
            <w:rFonts w:ascii="Times New Roman" w:eastAsia="仿宋_GB2312" w:hAnsi="Times New Roman" w:cs="仿宋_GB2312" w:hint="eastAsia"/>
            <w:sz w:val="30"/>
            <w:szCs w:val="30"/>
          </w:rPr>
          <w:t>2</w:t>
        </w:r>
        <w:r>
          <w:rPr>
            <w:rFonts w:ascii="Times New Roman" w:eastAsia="仿宋_GB2312" w:hAnsi="Times New Roman" w:cs="仿宋_GB2312" w:hint="eastAsia"/>
            <w:sz w:val="30"/>
            <w:szCs w:val="30"/>
          </w:rPr>
          <w:fldChar w:fldCharType="end"/>
        </w:r>
      </w:hyperlink>
    </w:p>
    <w:p w14:paraId="3AB89582">
      <w:pPr>
        <w:pStyle w:val="TOC2"/>
        <w:keepNext w:val="0"/>
        <w:keepLines w:val="0"/>
        <w:pageBreakBefore w:val="0"/>
        <w:widowControl/>
        <w:tabs>
          <w:tab w:val="right" w:leader="dot" w:pos="8306"/>
        </w:tabs>
        <w:kinsoku/>
        <w:wordWrap/>
        <w:overflowPunct/>
        <w:topLinePunct w:val="0"/>
        <w:autoSpaceDE/>
        <w:autoSpaceDN/>
        <w:bidi w:val="0"/>
        <w:adjustRightInd/>
        <w:snapToGrid/>
        <w:spacing w:after="0" w:line="700" w:lineRule="exact"/>
        <w:ind w:left="221"/>
        <w:textAlignment w:val="auto"/>
        <w:rPr>
          <w:rFonts w:ascii="Times New Roman" w:eastAsia="仿宋_GB2312" w:hAnsi="Times New Roman" w:cs="仿宋_GB2312" w:hint="eastAsia"/>
          <w:sz w:val="30"/>
          <w:szCs w:val="30"/>
        </w:rPr>
      </w:pPr>
      <w:hyperlink w:anchor="_Toc29574" w:history="1">
        <w:r>
          <w:rPr>
            <w:rFonts w:ascii="Times New Roman" w:eastAsia="仿宋_GB2312" w:hAnsi="Times New Roman" w:cs="仿宋_GB2312" w:hint="eastAsia"/>
            <w:sz w:val="30"/>
            <w:szCs w:val="30"/>
          </w:rPr>
          <w:t>二、《收入决算表（按功能分类列示）》</w:t>
        </w:r>
        <w:r>
          <w:rPr>
            <w:rFonts w:ascii="Times New Roman" w:eastAsia="仿宋_GB2312" w:hAnsi="Times New Roman" w:cs="仿宋_GB2312" w:hint="eastAsia"/>
            <w:sz w:val="30"/>
            <w:szCs w:val="30"/>
          </w:rPr>
          <w:tab/>
        </w:r>
        <w:r>
          <w:rPr>
            <w:rFonts w:ascii="Times New Roman" w:eastAsia="仿宋_GB2312" w:hAnsi="Times New Roman" w:cs="仿宋_GB2312" w:hint="eastAsia"/>
            <w:sz w:val="30"/>
            <w:szCs w:val="30"/>
          </w:rPr>
          <w:fldChar w:fldCharType="begin"/>
        </w:r>
        <w:r>
          <w:rPr>
            <w:rFonts w:ascii="Times New Roman" w:eastAsia="仿宋_GB2312" w:hAnsi="Times New Roman" w:cs="仿宋_GB2312" w:hint="eastAsia"/>
            <w:sz w:val="30"/>
            <w:szCs w:val="30"/>
          </w:rPr>
          <w:instrText xml:space="preserve"> PAGEREF _Toc29574 \h </w:instrText>
        </w:r>
        <w:r>
          <w:rPr>
            <w:rFonts w:ascii="Times New Roman" w:eastAsia="仿宋_GB2312" w:hAnsi="Times New Roman" w:cs="仿宋_GB2312" w:hint="eastAsia"/>
            <w:sz w:val="30"/>
            <w:szCs w:val="30"/>
          </w:rPr>
          <w:fldChar w:fldCharType="separate"/>
        </w:r>
        <w:r>
          <w:rPr>
            <w:rFonts w:ascii="Times New Roman" w:eastAsia="仿宋_GB2312" w:hAnsi="Times New Roman" w:cs="仿宋_GB2312" w:hint="eastAsia"/>
            <w:sz w:val="30"/>
            <w:szCs w:val="30"/>
          </w:rPr>
          <w:t>2</w:t>
        </w:r>
        <w:r>
          <w:rPr>
            <w:rFonts w:ascii="Times New Roman" w:eastAsia="仿宋_GB2312" w:hAnsi="Times New Roman" w:cs="仿宋_GB2312" w:hint="eastAsia"/>
            <w:sz w:val="30"/>
            <w:szCs w:val="30"/>
          </w:rPr>
          <w:fldChar w:fldCharType="end"/>
        </w:r>
      </w:hyperlink>
    </w:p>
    <w:p w14:paraId="0F5581BE">
      <w:pPr>
        <w:pStyle w:val="TOC2"/>
        <w:keepNext w:val="0"/>
        <w:keepLines w:val="0"/>
        <w:pageBreakBefore w:val="0"/>
        <w:widowControl/>
        <w:tabs>
          <w:tab w:val="right" w:leader="dot" w:pos="8306"/>
        </w:tabs>
        <w:kinsoku/>
        <w:wordWrap/>
        <w:overflowPunct/>
        <w:topLinePunct w:val="0"/>
        <w:autoSpaceDE/>
        <w:autoSpaceDN/>
        <w:bidi w:val="0"/>
        <w:adjustRightInd/>
        <w:snapToGrid/>
        <w:spacing w:after="0" w:line="700" w:lineRule="exact"/>
        <w:ind w:left="221"/>
        <w:textAlignment w:val="auto"/>
        <w:rPr>
          <w:rFonts w:ascii="Times New Roman" w:eastAsia="仿宋_GB2312" w:hAnsi="Times New Roman" w:cs="仿宋_GB2312" w:hint="eastAsia"/>
          <w:sz w:val="30"/>
          <w:szCs w:val="30"/>
        </w:rPr>
      </w:pPr>
      <w:hyperlink w:anchor="_Toc1392" w:history="1">
        <w:r>
          <w:rPr>
            <w:rFonts w:ascii="Times New Roman" w:eastAsia="仿宋_GB2312" w:hAnsi="Times New Roman" w:cs="仿宋_GB2312" w:hint="eastAsia"/>
            <w:sz w:val="30"/>
            <w:szCs w:val="30"/>
          </w:rPr>
          <w:t>三、《收入决算表（按单位列示）》</w:t>
        </w:r>
        <w:r>
          <w:rPr>
            <w:rFonts w:ascii="Times New Roman" w:eastAsia="仿宋_GB2312" w:hAnsi="Times New Roman" w:cs="仿宋_GB2312" w:hint="eastAsia"/>
            <w:sz w:val="30"/>
            <w:szCs w:val="30"/>
          </w:rPr>
          <w:tab/>
        </w:r>
        <w:r>
          <w:rPr>
            <w:rFonts w:ascii="Times New Roman" w:eastAsia="仿宋_GB2312" w:hAnsi="Times New Roman" w:cs="仿宋_GB2312" w:hint="eastAsia"/>
            <w:sz w:val="30"/>
            <w:szCs w:val="30"/>
          </w:rPr>
          <w:fldChar w:fldCharType="begin"/>
        </w:r>
        <w:r>
          <w:rPr>
            <w:rFonts w:ascii="Times New Roman" w:eastAsia="仿宋_GB2312" w:hAnsi="Times New Roman" w:cs="仿宋_GB2312" w:hint="eastAsia"/>
            <w:sz w:val="30"/>
            <w:szCs w:val="30"/>
          </w:rPr>
          <w:instrText xml:space="preserve"> PAGEREF _Toc1392 \h </w:instrText>
        </w:r>
        <w:r>
          <w:rPr>
            <w:rFonts w:ascii="Times New Roman" w:eastAsia="仿宋_GB2312" w:hAnsi="Times New Roman" w:cs="仿宋_GB2312" w:hint="eastAsia"/>
            <w:sz w:val="30"/>
            <w:szCs w:val="30"/>
          </w:rPr>
          <w:fldChar w:fldCharType="separate"/>
        </w:r>
        <w:r>
          <w:rPr>
            <w:rFonts w:ascii="Times New Roman" w:eastAsia="仿宋_GB2312" w:hAnsi="Times New Roman" w:cs="仿宋_GB2312" w:hint="eastAsia"/>
            <w:sz w:val="30"/>
            <w:szCs w:val="30"/>
          </w:rPr>
          <w:t>2</w:t>
        </w:r>
        <w:r>
          <w:rPr>
            <w:rFonts w:ascii="Times New Roman" w:eastAsia="仿宋_GB2312" w:hAnsi="Times New Roman" w:cs="仿宋_GB2312" w:hint="eastAsia"/>
            <w:sz w:val="30"/>
            <w:szCs w:val="30"/>
          </w:rPr>
          <w:fldChar w:fldCharType="end"/>
        </w:r>
      </w:hyperlink>
    </w:p>
    <w:p w14:paraId="3116F265">
      <w:pPr>
        <w:pStyle w:val="TOC2"/>
        <w:keepNext w:val="0"/>
        <w:keepLines w:val="0"/>
        <w:pageBreakBefore w:val="0"/>
        <w:widowControl/>
        <w:tabs>
          <w:tab w:val="right" w:leader="dot" w:pos="8306"/>
        </w:tabs>
        <w:kinsoku/>
        <w:wordWrap/>
        <w:overflowPunct/>
        <w:topLinePunct w:val="0"/>
        <w:autoSpaceDE/>
        <w:autoSpaceDN/>
        <w:bidi w:val="0"/>
        <w:adjustRightInd/>
        <w:snapToGrid/>
        <w:spacing w:after="0" w:line="700" w:lineRule="exact"/>
        <w:ind w:left="221"/>
        <w:textAlignment w:val="auto"/>
        <w:rPr>
          <w:rFonts w:ascii="Times New Roman" w:eastAsia="仿宋_GB2312" w:hAnsi="Times New Roman" w:cs="仿宋_GB2312" w:hint="eastAsia"/>
          <w:sz w:val="30"/>
          <w:szCs w:val="30"/>
        </w:rPr>
      </w:pPr>
      <w:hyperlink w:anchor="_Toc28946" w:history="1">
        <w:r>
          <w:rPr>
            <w:rFonts w:ascii="Times New Roman" w:eastAsia="仿宋_GB2312" w:hAnsi="Times New Roman" w:cs="仿宋_GB2312" w:hint="eastAsia"/>
            <w:sz w:val="30"/>
            <w:szCs w:val="30"/>
          </w:rPr>
          <w:t>四、《支出决算表》</w:t>
        </w:r>
        <w:r>
          <w:rPr>
            <w:rFonts w:ascii="Times New Roman" w:eastAsia="仿宋_GB2312" w:hAnsi="Times New Roman" w:cs="仿宋_GB2312" w:hint="eastAsia"/>
            <w:sz w:val="30"/>
            <w:szCs w:val="30"/>
          </w:rPr>
          <w:tab/>
        </w:r>
        <w:r>
          <w:rPr>
            <w:rFonts w:ascii="Times New Roman" w:eastAsia="仿宋_GB2312" w:hAnsi="Times New Roman" w:cs="仿宋_GB2312" w:hint="eastAsia"/>
            <w:sz w:val="30"/>
            <w:szCs w:val="30"/>
          </w:rPr>
          <w:fldChar w:fldCharType="begin"/>
        </w:r>
        <w:r>
          <w:rPr>
            <w:rFonts w:ascii="Times New Roman" w:eastAsia="仿宋_GB2312" w:hAnsi="Times New Roman" w:cs="仿宋_GB2312" w:hint="eastAsia"/>
            <w:sz w:val="30"/>
            <w:szCs w:val="30"/>
          </w:rPr>
          <w:instrText xml:space="preserve"> PAGEREF _Toc28946 \h </w:instrText>
        </w:r>
        <w:r>
          <w:rPr>
            <w:rFonts w:ascii="Times New Roman" w:eastAsia="仿宋_GB2312" w:hAnsi="Times New Roman" w:cs="仿宋_GB2312" w:hint="eastAsia"/>
            <w:sz w:val="30"/>
            <w:szCs w:val="30"/>
          </w:rPr>
          <w:fldChar w:fldCharType="separate"/>
        </w:r>
        <w:r>
          <w:rPr>
            <w:rFonts w:ascii="Times New Roman" w:eastAsia="仿宋_GB2312" w:hAnsi="Times New Roman" w:cs="仿宋_GB2312" w:hint="eastAsia"/>
            <w:sz w:val="30"/>
            <w:szCs w:val="30"/>
          </w:rPr>
          <w:t>2</w:t>
        </w:r>
        <w:r>
          <w:rPr>
            <w:rFonts w:ascii="Times New Roman" w:eastAsia="仿宋_GB2312" w:hAnsi="Times New Roman" w:cs="仿宋_GB2312" w:hint="eastAsia"/>
            <w:sz w:val="30"/>
            <w:szCs w:val="30"/>
          </w:rPr>
          <w:fldChar w:fldCharType="end"/>
        </w:r>
      </w:hyperlink>
    </w:p>
    <w:p w14:paraId="5162AD2C">
      <w:pPr>
        <w:pStyle w:val="TOC2"/>
        <w:keepNext w:val="0"/>
        <w:keepLines w:val="0"/>
        <w:pageBreakBefore w:val="0"/>
        <w:widowControl/>
        <w:tabs>
          <w:tab w:val="right" w:leader="dot" w:pos="8306"/>
        </w:tabs>
        <w:kinsoku/>
        <w:wordWrap/>
        <w:overflowPunct/>
        <w:topLinePunct w:val="0"/>
        <w:autoSpaceDE/>
        <w:autoSpaceDN/>
        <w:bidi w:val="0"/>
        <w:adjustRightInd/>
        <w:snapToGrid/>
        <w:spacing w:after="0" w:line="700" w:lineRule="exact"/>
        <w:ind w:left="221"/>
        <w:textAlignment w:val="auto"/>
        <w:rPr>
          <w:rFonts w:ascii="Times New Roman" w:eastAsia="仿宋_GB2312" w:hAnsi="Times New Roman" w:cs="仿宋_GB2312" w:hint="eastAsia"/>
          <w:sz w:val="30"/>
          <w:szCs w:val="30"/>
        </w:rPr>
      </w:pPr>
      <w:hyperlink w:anchor="_Toc10939" w:history="1">
        <w:r>
          <w:rPr>
            <w:rFonts w:ascii="Times New Roman" w:eastAsia="仿宋_GB2312" w:hAnsi="Times New Roman" w:cs="仿宋_GB2312" w:hint="eastAsia"/>
            <w:sz w:val="30"/>
            <w:szCs w:val="30"/>
          </w:rPr>
          <w:t>五、《财政拨款收入支出决算总表》</w:t>
        </w:r>
        <w:r>
          <w:rPr>
            <w:rFonts w:ascii="Times New Roman" w:eastAsia="仿宋_GB2312" w:hAnsi="Times New Roman" w:cs="仿宋_GB2312" w:hint="eastAsia"/>
            <w:sz w:val="30"/>
            <w:szCs w:val="30"/>
          </w:rPr>
          <w:tab/>
        </w:r>
        <w:r>
          <w:rPr>
            <w:rFonts w:ascii="Times New Roman" w:eastAsia="仿宋_GB2312" w:hAnsi="Times New Roman" w:cs="仿宋_GB2312" w:hint="eastAsia"/>
            <w:sz w:val="30"/>
            <w:szCs w:val="30"/>
          </w:rPr>
          <w:fldChar w:fldCharType="begin"/>
        </w:r>
        <w:r>
          <w:rPr>
            <w:rFonts w:ascii="Times New Roman" w:eastAsia="仿宋_GB2312" w:hAnsi="Times New Roman" w:cs="仿宋_GB2312" w:hint="eastAsia"/>
            <w:sz w:val="30"/>
            <w:szCs w:val="30"/>
          </w:rPr>
          <w:instrText xml:space="preserve"> PAGEREF _Toc10939 \h </w:instrText>
        </w:r>
        <w:r>
          <w:rPr>
            <w:rFonts w:ascii="Times New Roman" w:eastAsia="仿宋_GB2312" w:hAnsi="Times New Roman" w:cs="仿宋_GB2312" w:hint="eastAsia"/>
            <w:sz w:val="30"/>
            <w:szCs w:val="30"/>
          </w:rPr>
          <w:fldChar w:fldCharType="separate"/>
        </w:r>
        <w:r>
          <w:rPr>
            <w:rFonts w:ascii="Times New Roman" w:eastAsia="仿宋_GB2312" w:hAnsi="Times New Roman" w:cs="仿宋_GB2312" w:hint="eastAsia"/>
            <w:sz w:val="30"/>
            <w:szCs w:val="30"/>
          </w:rPr>
          <w:t>2</w:t>
        </w:r>
        <w:r>
          <w:rPr>
            <w:rFonts w:ascii="Times New Roman" w:eastAsia="仿宋_GB2312" w:hAnsi="Times New Roman" w:cs="仿宋_GB2312" w:hint="eastAsia"/>
            <w:sz w:val="30"/>
            <w:szCs w:val="30"/>
          </w:rPr>
          <w:fldChar w:fldCharType="end"/>
        </w:r>
      </w:hyperlink>
    </w:p>
    <w:p w14:paraId="7E341B0F">
      <w:pPr>
        <w:pStyle w:val="TOC2"/>
        <w:keepNext w:val="0"/>
        <w:keepLines w:val="0"/>
        <w:pageBreakBefore w:val="0"/>
        <w:widowControl/>
        <w:tabs>
          <w:tab w:val="right" w:leader="dot" w:pos="8306"/>
        </w:tabs>
        <w:kinsoku/>
        <w:wordWrap/>
        <w:overflowPunct/>
        <w:topLinePunct w:val="0"/>
        <w:autoSpaceDE/>
        <w:autoSpaceDN/>
        <w:bidi w:val="0"/>
        <w:adjustRightInd/>
        <w:snapToGrid/>
        <w:spacing w:after="0" w:line="700" w:lineRule="exact"/>
        <w:ind w:left="221"/>
        <w:textAlignment w:val="auto"/>
        <w:rPr>
          <w:rFonts w:ascii="Times New Roman" w:eastAsia="仿宋_GB2312" w:hAnsi="Times New Roman" w:cs="仿宋_GB2312" w:hint="eastAsia"/>
          <w:sz w:val="30"/>
          <w:szCs w:val="30"/>
        </w:rPr>
      </w:pPr>
      <w:hyperlink w:anchor="_Toc9732" w:history="1">
        <w:r>
          <w:rPr>
            <w:rFonts w:ascii="Times New Roman" w:eastAsia="仿宋_GB2312" w:hAnsi="Times New Roman" w:cs="仿宋_GB2312" w:hint="eastAsia"/>
            <w:sz w:val="30"/>
            <w:szCs w:val="30"/>
          </w:rPr>
          <w:t>六、《一般公共预算财政拨款支出决算表》</w:t>
        </w:r>
        <w:r>
          <w:rPr>
            <w:rFonts w:ascii="Times New Roman" w:eastAsia="仿宋_GB2312" w:hAnsi="Times New Roman" w:cs="仿宋_GB2312" w:hint="eastAsia"/>
            <w:sz w:val="30"/>
            <w:szCs w:val="30"/>
          </w:rPr>
          <w:tab/>
        </w:r>
        <w:r>
          <w:rPr>
            <w:rFonts w:ascii="Times New Roman" w:eastAsia="仿宋_GB2312" w:hAnsi="Times New Roman" w:cs="仿宋_GB2312" w:hint="eastAsia"/>
            <w:sz w:val="30"/>
            <w:szCs w:val="30"/>
          </w:rPr>
          <w:fldChar w:fldCharType="begin"/>
        </w:r>
        <w:r>
          <w:rPr>
            <w:rFonts w:ascii="Times New Roman" w:eastAsia="仿宋_GB2312" w:hAnsi="Times New Roman" w:cs="仿宋_GB2312" w:hint="eastAsia"/>
            <w:sz w:val="30"/>
            <w:szCs w:val="30"/>
          </w:rPr>
          <w:instrText xml:space="preserve"> PAGEREF _Toc9732 \h </w:instrText>
        </w:r>
        <w:r>
          <w:rPr>
            <w:rFonts w:ascii="Times New Roman" w:eastAsia="仿宋_GB2312" w:hAnsi="Times New Roman" w:cs="仿宋_GB2312" w:hint="eastAsia"/>
            <w:sz w:val="30"/>
            <w:szCs w:val="30"/>
          </w:rPr>
          <w:fldChar w:fldCharType="separate"/>
        </w:r>
        <w:r>
          <w:rPr>
            <w:rFonts w:ascii="Times New Roman" w:eastAsia="仿宋_GB2312" w:hAnsi="Times New Roman" w:cs="仿宋_GB2312" w:hint="eastAsia"/>
            <w:sz w:val="30"/>
            <w:szCs w:val="30"/>
          </w:rPr>
          <w:t>2</w:t>
        </w:r>
        <w:r>
          <w:rPr>
            <w:rFonts w:ascii="Times New Roman" w:eastAsia="仿宋_GB2312" w:hAnsi="Times New Roman" w:cs="仿宋_GB2312" w:hint="eastAsia"/>
            <w:sz w:val="30"/>
            <w:szCs w:val="30"/>
          </w:rPr>
          <w:fldChar w:fldCharType="end"/>
        </w:r>
      </w:hyperlink>
    </w:p>
    <w:p w14:paraId="52D7B52F">
      <w:pPr>
        <w:pStyle w:val="TOC2"/>
        <w:keepNext w:val="0"/>
        <w:keepLines w:val="0"/>
        <w:pageBreakBefore w:val="0"/>
        <w:widowControl/>
        <w:tabs>
          <w:tab w:val="right" w:leader="dot" w:pos="8306"/>
        </w:tabs>
        <w:kinsoku/>
        <w:wordWrap/>
        <w:overflowPunct/>
        <w:topLinePunct w:val="0"/>
        <w:autoSpaceDE/>
        <w:autoSpaceDN/>
        <w:bidi w:val="0"/>
        <w:adjustRightInd/>
        <w:snapToGrid/>
        <w:spacing w:after="0" w:line="700" w:lineRule="exact"/>
        <w:ind w:left="221"/>
        <w:textAlignment w:val="auto"/>
        <w:rPr>
          <w:rFonts w:ascii="Times New Roman" w:eastAsia="仿宋_GB2312" w:hAnsi="Times New Roman" w:cs="仿宋_GB2312" w:hint="eastAsia"/>
          <w:sz w:val="30"/>
          <w:szCs w:val="30"/>
        </w:rPr>
      </w:pPr>
      <w:hyperlink w:anchor="_Toc8588" w:history="1">
        <w:r>
          <w:rPr>
            <w:rFonts w:ascii="Times New Roman" w:eastAsia="仿宋_GB2312" w:hAnsi="Times New Roman" w:cs="仿宋_GB2312" w:hint="eastAsia"/>
            <w:sz w:val="30"/>
            <w:szCs w:val="30"/>
          </w:rPr>
          <w:t>七、《一般公共预算财政拨款基本支出决算表》</w:t>
        </w:r>
        <w:r>
          <w:rPr>
            <w:rFonts w:ascii="Times New Roman" w:eastAsia="仿宋_GB2312" w:hAnsi="Times New Roman" w:cs="仿宋_GB2312" w:hint="eastAsia"/>
            <w:sz w:val="30"/>
            <w:szCs w:val="30"/>
          </w:rPr>
          <w:tab/>
        </w:r>
        <w:r>
          <w:rPr>
            <w:rFonts w:ascii="Times New Roman" w:eastAsia="仿宋_GB2312" w:hAnsi="Times New Roman" w:cs="仿宋_GB2312" w:hint="eastAsia"/>
            <w:sz w:val="30"/>
            <w:szCs w:val="30"/>
          </w:rPr>
          <w:fldChar w:fldCharType="begin"/>
        </w:r>
        <w:r>
          <w:rPr>
            <w:rFonts w:ascii="Times New Roman" w:eastAsia="仿宋_GB2312" w:hAnsi="Times New Roman" w:cs="仿宋_GB2312" w:hint="eastAsia"/>
            <w:sz w:val="30"/>
            <w:szCs w:val="30"/>
          </w:rPr>
          <w:instrText xml:space="preserve"> PAGEREF _Toc8588 \h </w:instrText>
        </w:r>
        <w:r>
          <w:rPr>
            <w:rFonts w:ascii="Times New Roman" w:eastAsia="仿宋_GB2312" w:hAnsi="Times New Roman" w:cs="仿宋_GB2312" w:hint="eastAsia"/>
            <w:sz w:val="30"/>
            <w:szCs w:val="30"/>
          </w:rPr>
          <w:fldChar w:fldCharType="separate"/>
        </w:r>
        <w:r>
          <w:rPr>
            <w:rFonts w:ascii="Times New Roman" w:eastAsia="仿宋_GB2312" w:hAnsi="Times New Roman" w:cs="仿宋_GB2312" w:hint="eastAsia"/>
            <w:sz w:val="30"/>
            <w:szCs w:val="30"/>
          </w:rPr>
          <w:t>2</w:t>
        </w:r>
        <w:r>
          <w:rPr>
            <w:rFonts w:ascii="Times New Roman" w:eastAsia="仿宋_GB2312" w:hAnsi="Times New Roman" w:cs="仿宋_GB2312" w:hint="eastAsia"/>
            <w:sz w:val="30"/>
            <w:szCs w:val="30"/>
          </w:rPr>
          <w:fldChar w:fldCharType="end"/>
        </w:r>
      </w:hyperlink>
    </w:p>
    <w:p w14:paraId="32FEDC61">
      <w:pPr>
        <w:pStyle w:val="TOC2"/>
        <w:keepNext w:val="0"/>
        <w:keepLines w:val="0"/>
        <w:pageBreakBefore w:val="0"/>
        <w:widowControl/>
        <w:tabs>
          <w:tab w:val="right" w:leader="dot" w:pos="8306"/>
        </w:tabs>
        <w:kinsoku/>
        <w:wordWrap/>
        <w:overflowPunct/>
        <w:topLinePunct w:val="0"/>
        <w:autoSpaceDE/>
        <w:autoSpaceDN/>
        <w:bidi w:val="0"/>
        <w:adjustRightInd/>
        <w:snapToGrid/>
        <w:spacing w:after="0" w:line="700" w:lineRule="exact"/>
        <w:ind w:left="221"/>
        <w:textAlignment w:val="auto"/>
        <w:rPr>
          <w:rFonts w:ascii="Times New Roman" w:eastAsia="仿宋_GB2312" w:hAnsi="Times New Roman" w:cs="仿宋_GB2312" w:hint="eastAsia"/>
          <w:sz w:val="30"/>
          <w:szCs w:val="30"/>
        </w:rPr>
      </w:pPr>
      <w:hyperlink w:anchor="_Toc29750" w:history="1">
        <w:r>
          <w:rPr>
            <w:rFonts w:ascii="Times New Roman" w:eastAsia="仿宋_GB2312" w:hAnsi="Times New Roman" w:cs="仿宋_GB2312" w:hint="eastAsia"/>
            <w:sz w:val="30"/>
            <w:szCs w:val="30"/>
          </w:rPr>
          <w:t>八、《政府性基金预算财政拨款收入支出决算表》</w:t>
        </w:r>
        <w:r>
          <w:rPr>
            <w:rFonts w:ascii="Times New Roman" w:eastAsia="仿宋_GB2312" w:hAnsi="Times New Roman" w:cs="仿宋_GB2312" w:hint="eastAsia"/>
            <w:sz w:val="30"/>
            <w:szCs w:val="30"/>
          </w:rPr>
          <w:tab/>
        </w:r>
        <w:r>
          <w:rPr>
            <w:rFonts w:ascii="Times New Roman" w:eastAsia="仿宋_GB2312" w:hAnsi="Times New Roman" w:cs="仿宋_GB2312" w:hint="eastAsia"/>
            <w:sz w:val="30"/>
            <w:szCs w:val="30"/>
          </w:rPr>
          <w:fldChar w:fldCharType="begin"/>
        </w:r>
        <w:r>
          <w:rPr>
            <w:rFonts w:ascii="Times New Roman" w:eastAsia="仿宋_GB2312" w:hAnsi="Times New Roman" w:cs="仿宋_GB2312" w:hint="eastAsia"/>
            <w:sz w:val="30"/>
            <w:szCs w:val="30"/>
          </w:rPr>
          <w:instrText xml:space="preserve"> PAGEREF _Toc29750 \h </w:instrText>
        </w:r>
        <w:r>
          <w:rPr>
            <w:rFonts w:ascii="Times New Roman" w:eastAsia="仿宋_GB2312" w:hAnsi="Times New Roman" w:cs="仿宋_GB2312" w:hint="eastAsia"/>
            <w:sz w:val="30"/>
            <w:szCs w:val="30"/>
          </w:rPr>
          <w:fldChar w:fldCharType="separate"/>
        </w:r>
        <w:r>
          <w:rPr>
            <w:rFonts w:ascii="Times New Roman" w:eastAsia="仿宋_GB2312" w:hAnsi="Times New Roman" w:cs="仿宋_GB2312" w:hint="eastAsia"/>
            <w:sz w:val="30"/>
            <w:szCs w:val="30"/>
          </w:rPr>
          <w:t>2</w:t>
        </w:r>
        <w:r>
          <w:rPr>
            <w:rFonts w:ascii="Times New Roman" w:eastAsia="仿宋_GB2312" w:hAnsi="Times New Roman" w:cs="仿宋_GB2312" w:hint="eastAsia"/>
            <w:sz w:val="30"/>
            <w:szCs w:val="30"/>
          </w:rPr>
          <w:fldChar w:fldCharType="end"/>
        </w:r>
      </w:hyperlink>
    </w:p>
    <w:p w14:paraId="03A3D755">
      <w:pPr>
        <w:pStyle w:val="TOC2"/>
        <w:keepNext w:val="0"/>
        <w:keepLines w:val="0"/>
        <w:pageBreakBefore w:val="0"/>
        <w:widowControl/>
        <w:tabs>
          <w:tab w:val="right" w:leader="dot" w:pos="8306"/>
        </w:tabs>
        <w:kinsoku/>
        <w:wordWrap/>
        <w:overflowPunct/>
        <w:topLinePunct w:val="0"/>
        <w:autoSpaceDE/>
        <w:autoSpaceDN/>
        <w:bidi w:val="0"/>
        <w:adjustRightInd/>
        <w:snapToGrid/>
        <w:spacing w:after="0" w:line="700" w:lineRule="exact"/>
        <w:ind w:left="221"/>
        <w:textAlignment w:val="auto"/>
        <w:rPr>
          <w:rFonts w:ascii="Times New Roman" w:eastAsia="仿宋_GB2312" w:hAnsi="Times New Roman" w:cs="仿宋_GB2312" w:hint="eastAsia"/>
          <w:sz w:val="30"/>
          <w:szCs w:val="30"/>
        </w:rPr>
      </w:pPr>
      <w:hyperlink w:anchor="_Toc17443" w:history="1">
        <w:r>
          <w:rPr>
            <w:rFonts w:ascii="Times New Roman" w:eastAsia="仿宋_GB2312" w:hAnsi="Times New Roman" w:cs="仿宋_GB2312" w:hint="eastAsia"/>
            <w:sz w:val="30"/>
            <w:szCs w:val="30"/>
          </w:rPr>
          <w:t>九、《国有资本经营预算财政拨款收入支出决算表》</w:t>
        </w:r>
        <w:r>
          <w:rPr>
            <w:rFonts w:ascii="Times New Roman" w:eastAsia="仿宋_GB2312" w:hAnsi="Times New Roman" w:cs="仿宋_GB2312" w:hint="eastAsia"/>
            <w:sz w:val="30"/>
            <w:szCs w:val="30"/>
          </w:rPr>
          <w:tab/>
        </w:r>
        <w:r>
          <w:rPr>
            <w:rFonts w:ascii="Times New Roman" w:eastAsia="仿宋_GB2312" w:hAnsi="Times New Roman" w:cs="仿宋_GB2312" w:hint="eastAsia"/>
            <w:sz w:val="30"/>
            <w:szCs w:val="30"/>
          </w:rPr>
          <w:fldChar w:fldCharType="begin"/>
        </w:r>
        <w:r>
          <w:rPr>
            <w:rFonts w:ascii="Times New Roman" w:eastAsia="仿宋_GB2312" w:hAnsi="Times New Roman" w:cs="仿宋_GB2312" w:hint="eastAsia"/>
            <w:sz w:val="30"/>
            <w:szCs w:val="30"/>
          </w:rPr>
          <w:instrText xml:space="preserve"> PAGEREF _Toc17443 \h </w:instrText>
        </w:r>
        <w:r>
          <w:rPr>
            <w:rFonts w:ascii="Times New Roman" w:eastAsia="仿宋_GB2312" w:hAnsi="Times New Roman" w:cs="仿宋_GB2312" w:hint="eastAsia"/>
            <w:sz w:val="30"/>
            <w:szCs w:val="30"/>
          </w:rPr>
          <w:fldChar w:fldCharType="separate"/>
        </w:r>
        <w:r>
          <w:rPr>
            <w:rFonts w:ascii="Times New Roman" w:eastAsia="仿宋_GB2312" w:hAnsi="Times New Roman" w:cs="仿宋_GB2312" w:hint="eastAsia"/>
            <w:sz w:val="30"/>
            <w:szCs w:val="30"/>
          </w:rPr>
          <w:t>2</w:t>
        </w:r>
        <w:r>
          <w:rPr>
            <w:rFonts w:ascii="Times New Roman" w:eastAsia="仿宋_GB2312" w:hAnsi="Times New Roman" w:cs="仿宋_GB2312" w:hint="eastAsia"/>
            <w:sz w:val="30"/>
            <w:szCs w:val="30"/>
          </w:rPr>
          <w:fldChar w:fldCharType="end"/>
        </w:r>
      </w:hyperlink>
    </w:p>
    <w:p w14:paraId="63811132">
      <w:pPr>
        <w:pStyle w:val="TOC2"/>
        <w:keepNext w:val="0"/>
        <w:keepLines w:val="0"/>
        <w:pageBreakBefore w:val="0"/>
        <w:widowControl/>
        <w:tabs>
          <w:tab w:val="right" w:leader="dot" w:pos="8306"/>
        </w:tabs>
        <w:kinsoku/>
        <w:wordWrap/>
        <w:overflowPunct/>
        <w:topLinePunct w:val="0"/>
        <w:autoSpaceDE/>
        <w:autoSpaceDN/>
        <w:bidi w:val="0"/>
        <w:adjustRightInd/>
        <w:snapToGrid/>
        <w:spacing w:after="0" w:line="700" w:lineRule="exact"/>
        <w:ind w:left="221"/>
        <w:textAlignment w:val="auto"/>
        <w:rPr>
          <w:rFonts w:ascii="Times New Roman" w:eastAsia="仿宋_GB2312" w:hAnsi="Times New Roman" w:cs="仿宋_GB2312" w:hint="eastAsia"/>
          <w:sz w:val="30"/>
          <w:szCs w:val="30"/>
        </w:rPr>
      </w:pPr>
      <w:hyperlink w:anchor="_Toc30096" w:history="1">
        <w:r>
          <w:rPr>
            <w:rFonts w:ascii="Times New Roman" w:eastAsia="仿宋_GB2312" w:hAnsi="Times New Roman" w:cs="仿宋_GB2312" w:hint="eastAsia"/>
            <w:sz w:val="30"/>
            <w:szCs w:val="30"/>
          </w:rPr>
          <w:t>十、《财政拨款“三公”经费支出决算表》</w:t>
        </w:r>
        <w:r>
          <w:rPr>
            <w:rFonts w:ascii="Times New Roman" w:eastAsia="仿宋_GB2312" w:hAnsi="Times New Roman" w:cs="仿宋_GB2312" w:hint="eastAsia"/>
            <w:sz w:val="30"/>
            <w:szCs w:val="30"/>
          </w:rPr>
          <w:tab/>
        </w:r>
        <w:r>
          <w:rPr>
            <w:rFonts w:ascii="Times New Roman" w:eastAsia="仿宋_GB2312" w:hAnsi="Times New Roman" w:cs="仿宋_GB2312" w:hint="eastAsia"/>
            <w:sz w:val="30"/>
            <w:szCs w:val="30"/>
          </w:rPr>
          <w:fldChar w:fldCharType="begin"/>
        </w:r>
        <w:r>
          <w:rPr>
            <w:rFonts w:ascii="Times New Roman" w:eastAsia="仿宋_GB2312" w:hAnsi="Times New Roman" w:cs="仿宋_GB2312" w:hint="eastAsia"/>
            <w:sz w:val="30"/>
            <w:szCs w:val="30"/>
          </w:rPr>
          <w:instrText xml:space="preserve"> PAGEREF _Toc30096 \h </w:instrText>
        </w:r>
        <w:r>
          <w:rPr>
            <w:rFonts w:ascii="Times New Roman" w:eastAsia="仿宋_GB2312" w:hAnsi="Times New Roman" w:cs="仿宋_GB2312" w:hint="eastAsia"/>
            <w:sz w:val="30"/>
            <w:szCs w:val="30"/>
          </w:rPr>
          <w:fldChar w:fldCharType="separate"/>
        </w:r>
        <w:r>
          <w:rPr>
            <w:rFonts w:ascii="Times New Roman" w:eastAsia="仿宋_GB2312" w:hAnsi="Times New Roman" w:cs="仿宋_GB2312" w:hint="eastAsia"/>
            <w:sz w:val="30"/>
            <w:szCs w:val="30"/>
          </w:rPr>
          <w:t>2</w:t>
        </w:r>
        <w:r>
          <w:rPr>
            <w:rFonts w:ascii="Times New Roman" w:eastAsia="仿宋_GB2312" w:hAnsi="Times New Roman" w:cs="仿宋_GB2312" w:hint="eastAsia"/>
            <w:sz w:val="30"/>
            <w:szCs w:val="30"/>
          </w:rPr>
          <w:fldChar w:fldCharType="end"/>
        </w:r>
      </w:hyperlink>
    </w:p>
    <w:p w14:paraId="365E219A">
      <w:pPr>
        <w:pStyle w:val="TOC2"/>
        <w:keepNext w:val="0"/>
        <w:keepLines w:val="0"/>
        <w:pageBreakBefore w:val="0"/>
        <w:widowControl/>
        <w:tabs>
          <w:tab w:val="right" w:leader="dot" w:pos="8306"/>
        </w:tabs>
        <w:kinsoku/>
        <w:wordWrap/>
        <w:overflowPunct/>
        <w:topLinePunct w:val="0"/>
        <w:autoSpaceDE/>
        <w:autoSpaceDN/>
        <w:bidi w:val="0"/>
        <w:adjustRightInd/>
        <w:snapToGrid/>
        <w:spacing w:after="0" w:line="700" w:lineRule="exact"/>
        <w:ind w:left="221"/>
        <w:textAlignment w:val="auto"/>
        <w:rPr>
          <w:rFonts w:ascii="Times New Roman" w:eastAsia="仿宋_GB2312" w:hAnsi="Times New Roman" w:cs="仿宋_GB2312" w:hint="eastAsia"/>
          <w:sz w:val="30"/>
          <w:szCs w:val="30"/>
        </w:rPr>
      </w:pPr>
      <w:hyperlink w:anchor="_Toc21214" w:history="1">
        <w:r>
          <w:rPr>
            <w:rFonts w:ascii="Times New Roman" w:eastAsia="仿宋_GB2312" w:hAnsi="Times New Roman" w:cs="仿宋_GB2312" w:hint="eastAsia"/>
            <w:sz w:val="30"/>
            <w:szCs w:val="30"/>
          </w:rPr>
          <w:t>十一、《项目支出决算表》</w:t>
        </w:r>
        <w:r>
          <w:rPr>
            <w:rFonts w:ascii="Times New Roman" w:eastAsia="仿宋_GB2312" w:hAnsi="Times New Roman" w:cs="仿宋_GB2312" w:hint="eastAsia"/>
            <w:sz w:val="30"/>
            <w:szCs w:val="30"/>
          </w:rPr>
          <w:tab/>
        </w:r>
        <w:r>
          <w:rPr>
            <w:rFonts w:ascii="Times New Roman" w:eastAsia="仿宋_GB2312" w:hAnsi="Times New Roman" w:cs="仿宋_GB2312" w:hint="eastAsia"/>
            <w:sz w:val="30"/>
            <w:szCs w:val="30"/>
          </w:rPr>
          <w:fldChar w:fldCharType="begin"/>
        </w:r>
        <w:r>
          <w:rPr>
            <w:rFonts w:ascii="Times New Roman" w:eastAsia="仿宋_GB2312" w:hAnsi="Times New Roman" w:cs="仿宋_GB2312" w:hint="eastAsia"/>
            <w:sz w:val="30"/>
            <w:szCs w:val="30"/>
          </w:rPr>
          <w:instrText xml:space="preserve"> PAGEREF _Toc21214 \h </w:instrText>
        </w:r>
        <w:r>
          <w:rPr>
            <w:rFonts w:ascii="Times New Roman" w:eastAsia="仿宋_GB2312" w:hAnsi="Times New Roman" w:cs="仿宋_GB2312" w:hint="eastAsia"/>
            <w:sz w:val="30"/>
            <w:szCs w:val="30"/>
          </w:rPr>
          <w:fldChar w:fldCharType="separate"/>
        </w:r>
        <w:r>
          <w:rPr>
            <w:rFonts w:ascii="Times New Roman" w:eastAsia="仿宋_GB2312" w:hAnsi="Times New Roman" w:cs="仿宋_GB2312" w:hint="eastAsia"/>
            <w:sz w:val="30"/>
            <w:szCs w:val="30"/>
          </w:rPr>
          <w:t>2</w:t>
        </w:r>
        <w:r>
          <w:rPr>
            <w:rFonts w:ascii="Times New Roman" w:eastAsia="仿宋_GB2312" w:hAnsi="Times New Roman" w:cs="仿宋_GB2312" w:hint="eastAsia"/>
            <w:sz w:val="30"/>
            <w:szCs w:val="30"/>
          </w:rPr>
          <w:fldChar w:fldCharType="end"/>
        </w:r>
      </w:hyperlink>
    </w:p>
    <w:p w14:paraId="5A8B4F75">
      <w:pPr>
        <w:pStyle w:val="TOC2"/>
        <w:keepNext w:val="0"/>
        <w:keepLines w:val="0"/>
        <w:pageBreakBefore w:val="0"/>
        <w:widowControl/>
        <w:tabs>
          <w:tab w:val="right" w:leader="dot" w:pos="8306"/>
        </w:tabs>
        <w:kinsoku/>
        <w:wordWrap/>
        <w:overflowPunct/>
        <w:topLinePunct w:val="0"/>
        <w:autoSpaceDE/>
        <w:autoSpaceDN/>
        <w:bidi w:val="0"/>
        <w:adjustRightInd/>
        <w:snapToGrid/>
        <w:spacing w:after="0" w:line="700" w:lineRule="exact"/>
        <w:ind w:left="221"/>
        <w:textAlignment w:val="auto"/>
        <w:rPr>
          <w:rFonts w:ascii="Times New Roman" w:eastAsia="仿宋_GB2312" w:hAnsi="Times New Roman" w:cs="仿宋_GB2312" w:hint="eastAsia"/>
          <w:sz w:val="30"/>
          <w:szCs w:val="30"/>
        </w:rPr>
      </w:pPr>
      <w:hyperlink w:anchor="_Toc9893" w:history="1">
        <w:r>
          <w:rPr>
            <w:rFonts w:ascii="Times New Roman" w:eastAsia="仿宋_GB2312" w:hAnsi="Times New Roman" w:cs="仿宋_GB2312" w:hint="eastAsia"/>
            <w:sz w:val="30"/>
            <w:szCs w:val="30"/>
          </w:rPr>
          <w:t>十二、关于空表的说明</w:t>
        </w:r>
        <w:r>
          <w:rPr>
            <w:rFonts w:ascii="Times New Roman" w:eastAsia="仿宋_GB2312" w:hAnsi="Times New Roman" w:cs="仿宋_GB2312" w:hint="eastAsia"/>
            <w:sz w:val="30"/>
            <w:szCs w:val="30"/>
          </w:rPr>
          <w:tab/>
        </w:r>
        <w:r>
          <w:rPr>
            <w:rFonts w:ascii="Times New Roman" w:eastAsia="仿宋_GB2312" w:hAnsi="Times New Roman" w:cs="仿宋_GB2312" w:hint="eastAsia"/>
            <w:sz w:val="30"/>
            <w:szCs w:val="30"/>
          </w:rPr>
          <w:fldChar w:fldCharType="begin"/>
        </w:r>
        <w:r>
          <w:rPr>
            <w:rFonts w:ascii="Times New Roman" w:eastAsia="仿宋_GB2312" w:hAnsi="Times New Roman" w:cs="仿宋_GB2312" w:hint="eastAsia"/>
            <w:sz w:val="30"/>
            <w:szCs w:val="30"/>
          </w:rPr>
          <w:instrText xml:space="preserve"> PAGEREF _Toc9893 \h </w:instrText>
        </w:r>
        <w:r>
          <w:rPr>
            <w:rFonts w:ascii="Times New Roman" w:eastAsia="仿宋_GB2312" w:hAnsi="Times New Roman" w:cs="仿宋_GB2312" w:hint="eastAsia"/>
            <w:sz w:val="30"/>
            <w:szCs w:val="30"/>
          </w:rPr>
          <w:fldChar w:fldCharType="separate"/>
        </w:r>
        <w:r>
          <w:rPr>
            <w:rFonts w:ascii="Times New Roman" w:eastAsia="仿宋_GB2312" w:hAnsi="Times New Roman" w:cs="仿宋_GB2312" w:hint="eastAsia"/>
            <w:sz w:val="30"/>
            <w:szCs w:val="30"/>
          </w:rPr>
          <w:t>2</w:t>
        </w:r>
        <w:r>
          <w:rPr>
            <w:rFonts w:ascii="Times New Roman" w:eastAsia="仿宋_GB2312" w:hAnsi="Times New Roman" w:cs="仿宋_GB2312" w:hint="eastAsia"/>
            <w:sz w:val="30"/>
            <w:szCs w:val="30"/>
          </w:rPr>
          <w:fldChar w:fldCharType="end"/>
        </w:r>
      </w:hyperlink>
    </w:p>
    <w:p w14:paraId="24A6FB77">
      <w:pPr>
        <w:rPr>
          <w:rFonts w:ascii="Times New Roman" w:eastAsia="仿宋_GB2312" w:hAnsi="Times New Roman" w:cs="仿宋_GB2312" w:hint="eastAsia"/>
          <w:sz w:val="30"/>
          <w:szCs w:val="30"/>
        </w:rPr>
      </w:pPr>
      <w:r>
        <w:rPr>
          <w:rFonts w:ascii="Times New Roman" w:eastAsia="仿宋_GB2312" w:hAnsi="Times New Roman" w:cs="仿宋_GB2312" w:hint="eastAsia"/>
          <w:sz w:val="30"/>
          <w:szCs w:val="30"/>
        </w:rPr>
        <w:br w:type="page"/>
      </w:r>
    </w:p>
    <w:p w14:paraId="3EE5A6A3">
      <w:pPr>
        <w:pStyle w:val="TOC1"/>
        <w:keepNext w:val="0"/>
        <w:keepLines w:val="0"/>
        <w:pageBreakBefore w:val="0"/>
        <w:widowControl/>
        <w:tabs>
          <w:tab w:val="clear" w:pos="8296"/>
          <w:tab w:val="right" w:leader="dot" w:pos="8306"/>
        </w:tabs>
        <w:kinsoku/>
        <w:wordWrap/>
        <w:overflowPunct/>
        <w:topLinePunct w:val="0"/>
        <w:autoSpaceDE/>
        <w:autoSpaceDN/>
        <w:bidi w:val="0"/>
        <w:adjustRightInd/>
        <w:snapToGrid/>
        <w:spacing w:after="0" w:line="700" w:lineRule="exact"/>
        <w:textAlignment w:val="auto"/>
        <w:rPr>
          <w:rFonts w:ascii="Times New Roman" w:eastAsia="方正小标宋简体" w:hAnsi="Times New Roman" w:cs="方正小标宋简体" w:hint="eastAsia"/>
          <w:sz w:val="30"/>
          <w:szCs w:val="30"/>
        </w:rPr>
      </w:pPr>
      <w:hyperlink w:anchor="_Toc26351" w:history="1">
        <w:r>
          <w:rPr>
            <w:rFonts w:ascii="Times New Roman" w:eastAsia="方正小标宋简体" w:hAnsi="Times New Roman" w:cs="方正小标宋简体" w:hint="eastAsia"/>
            <w:sz w:val="30"/>
            <w:szCs w:val="30"/>
          </w:rPr>
          <w:t>第三部分  2024年度部门决算情况说明</w:t>
        </w:r>
        <w:r>
          <w:rPr>
            <w:rFonts w:ascii="Times New Roman" w:eastAsia="方正小标宋简体" w:hAnsi="Times New Roman" w:cs="方正小标宋简体" w:hint="eastAsia"/>
            <w:sz w:val="30"/>
            <w:szCs w:val="30"/>
          </w:rPr>
          <w:tab/>
        </w:r>
        <w:r>
          <w:rPr>
            <w:rFonts w:ascii="Times New Roman" w:eastAsia="方正小标宋简体" w:hAnsi="Times New Roman" w:cs="方正小标宋简体" w:hint="eastAsia"/>
            <w:sz w:val="30"/>
            <w:szCs w:val="30"/>
          </w:rPr>
          <w:fldChar w:fldCharType="begin"/>
        </w:r>
        <w:r>
          <w:rPr>
            <w:rFonts w:ascii="Times New Roman" w:eastAsia="方正小标宋简体" w:hAnsi="Times New Roman" w:cs="方正小标宋简体" w:hint="eastAsia"/>
            <w:sz w:val="30"/>
            <w:szCs w:val="30"/>
          </w:rPr>
          <w:instrText xml:space="preserve"> PAGEREF _Toc26351 \h </w:instrText>
        </w:r>
        <w:r>
          <w:rPr>
            <w:rFonts w:ascii="Times New Roman" w:eastAsia="方正小标宋简体" w:hAnsi="Times New Roman" w:cs="方正小标宋简体" w:hint="eastAsia"/>
            <w:sz w:val="30"/>
            <w:szCs w:val="30"/>
          </w:rPr>
          <w:fldChar w:fldCharType="separate"/>
        </w:r>
        <w:r>
          <w:rPr>
            <w:rFonts w:ascii="Times New Roman" w:eastAsia="方正小标宋简体" w:hAnsi="Times New Roman" w:cs="方正小标宋简体" w:hint="eastAsia"/>
            <w:sz w:val="30"/>
            <w:szCs w:val="30"/>
          </w:rPr>
          <w:t>4</w:t>
        </w:r>
        <w:r>
          <w:rPr>
            <w:rFonts w:ascii="Times New Roman" w:eastAsia="方正小标宋简体" w:hAnsi="Times New Roman" w:cs="方正小标宋简体" w:hint="eastAsia"/>
            <w:sz w:val="30"/>
            <w:szCs w:val="30"/>
          </w:rPr>
          <w:fldChar w:fldCharType="end"/>
        </w:r>
      </w:hyperlink>
    </w:p>
    <w:p w14:paraId="503008F7">
      <w:pPr>
        <w:pStyle w:val="TOC2"/>
        <w:keepNext w:val="0"/>
        <w:keepLines w:val="0"/>
        <w:pageBreakBefore w:val="0"/>
        <w:widowControl/>
        <w:tabs>
          <w:tab w:val="right" w:leader="dot" w:pos="8306"/>
        </w:tabs>
        <w:kinsoku/>
        <w:wordWrap/>
        <w:overflowPunct/>
        <w:topLinePunct w:val="0"/>
        <w:autoSpaceDE/>
        <w:autoSpaceDN/>
        <w:bidi w:val="0"/>
        <w:adjustRightInd/>
        <w:snapToGrid/>
        <w:spacing w:after="0" w:line="700" w:lineRule="exact"/>
        <w:ind w:left="221"/>
        <w:textAlignment w:val="auto"/>
        <w:rPr>
          <w:rFonts w:ascii="Times New Roman" w:eastAsia="仿宋_GB2312" w:hAnsi="Times New Roman" w:cs="仿宋_GB2312" w:hint="eastAsia"/>
          <w:sz w:val="30"/>
          <w:szCs w:val="30"/>
        </w:rPr>
      </w:pPr>
      <w:hyperlink w:anchor="_Toc14113" w:history="1">
        <w:r>
          <w:rPr>
            <w:rFonts w:ascii="Times New Roman" w:eastAsia="仿宋_GB2312" w:hAnsi="Times New Roman" w:cs="仿宋_GB2312" w:hint="eastAsia"/>
            <w:sz w:val="30"/>
            <w:szCs w:val="30"/>
          </w:rPr>
          <w:t>一、收入支出决算总体情况说明</w:t>
        </w:r>
        <w:r>
          <w:rPr>
            <w:rFonts w:ascii="Times New Roman" w:eastAsia="仿宋_GB2312" w:hAnsi="Times New Roman" w:cs="仿宋_GB2312" w:hint="eastAsia"/>
            <w:sz w:val="30"/>
            <w:szCs w:val="30"/>
          </w:rPr>
          <w:tab/>
        </w:r>
        <w:r>
          <w:rPr>
            <w:rFonts w:ascii="Times New Roman" w:eastAsia="仿宋_GB2312" w:hAnsi="Times New Roman" w:cs="仿宋_GB2312" w:hint="eastAsia"/>
            <w:sz w:val="30"/>
            <w:szCs w:val="30"/>
          </w:rPr>
          <w:fldChar w:fldCharType="begin"/>
        </w:r>
        <w:r>
          <w:rPr>
            <w:rFonts w:ascii="Times New Roman" w:eastAsia="仿宋_GB2312" w:hAnsi="Times New Roman" w:cs="仿宋_GB2312" w:hint="eastAsia"/>
            <w:sz w:val="30"/>
            <w:szCs w:val="30"/>
          </w:rPr>
          <w:instrText xml:space="preserve"> PAGEREF _Toc14113 \h </w:instrText>
        </w:r>
        <w:r>
          <w:rPr>
            <w:rFonts w:ascii="Times New Roman" w:eastAsia="仿宋_GB2312" w:hAnsi="Times New Roman" w:cs="仿宋_GB2312" w:hint="eastAsia"/>
            <w:sz w:val="30"/>
            <w:szCs w:val="30"/>
          </w:rPr>
          <w:fldChar w:fldCharType="separate"/>
        </w:r>
        <w:r>
          <w:rPr>
            <w:rFonts w:ascii="Times New Roman" w:eastAsia="仿宋_GB2312" w:hAnsi="Times New Roman" w:cs="仿宋_GB2312" w:hint="eastAsia"/>
            <w:sz w:val="30"/>
            <w:szCs w:val="30"/>
          </w:rPr>
          <w:t>4</w:t>
        </w:r>
        <w:r>
          <w:rPr>
            <w:rFonts w:ascii="Times New Roman" w:eastAsia="仿宋_GB2312" w:hAnsi="Times New Roman" w:cs="仿宋_GB2312" w:hint="eastAsia"/>
            <w:sz w:val="30"/>
            <w:szCs w:val="30"/>
          </w:rPr>
          <w:fldChar w:fldCharType="end"/>
        </w:r>
      </w:hyperlink>
    </w:p>
    <w:p w14:paraId="4785F690">
      <w:pPr>
        <w:pStyle w:val="TOC2"/>
        <w:keepNext w:val="0"/>
        <w:keepLines w:val="0"/>
        <w:pageBreakBefore w:val="0"/>
        <w:widowControl/>
        <w:tabs>
          <w:tab w:val="right" w:leader="dot" w:pos="8306"/>
        </w:tabs>
        <w:kinsoku/>
        <w:wordWrap/>
        <w:overflowPunct/>
        <w:topLinePunct w:val="0"/>
        <w:autoSpaceDE/>
        <w:autoSpaceDN/>
        <w:bidi w:val="0"/>
        <w:adjustRightInd/>
        <w:snapToGrid/>
        <w:spacing w:after="0" w:line="700" w:lineRule="exact"/>
        <w:ind w:left="221"/>
        <w:textAlignment w:val="auto"/>
        <w:rPr>
          <w:rFonts w:ascii="Times New Roman" w:eastAsia="仿宋_GB2312" w:hAnsi="Times New Roman" w:cs="仿宋_GB2312" w:hint="eastAsia"/>
          <w:sz w:val="30"/>
          <w:szCs w:val="30"/>
        </w:rPr>
      </w:pPr>
      <w:hyperlink w:anchor="_Toc1931" w:history="1">
        <w:r>
          <w:rPr>
            <w:rFonts w:ascii="Times New Roman" w:eastAsia="仿宋_GB2312" w:hAnsi="Times New Roman" w:cs="仿宋_GB2312" w:hint="eastAsia"/>
            <w:sz w:val="30"/>
            <w:szCs w:val="30"/>
          </w:rPr>
          <w:t>二、收入决算情况说明</w:t>
        </w:r>
        <w:r>
          <w:rPr>
            <w:rFonts w:ascii="Times New Roman" w:eastAsia="仿宋_GB2312" w:hAnsi="Times New Roman" w:cs="仿宋_GB2312" w:hint="eastAsia"/>
            <w:sz w:val="30"/>
            <w:szCs w:val="30"/>
          </w:rPr>
          <w:tab/>
        </w:r>
        <w:r>
          <w:rPr>
            <w:rFonts w:ascii="Times New Roman" w:eastAsia="仿宋_GB2312" w:hAnsi="Times New Roman" w:cs="仿宋_GB2312" w:hint="eastAsia"/>
            <w:sz w:val="30"/>
            <w:szCs w:val="30"/>
          </w:rPr>
          <w:fldChar w:fldCharType="begin"/>
        </w:r>
        <w:r>
          <w:rPr>
            <w:rFonts w:ascii="Times New Roman" w:eastAsia="仿宋_GB2312" w:hAnsi="Times New Roman" w:cs="仿宋_GB2312" w:hint="eastAsia"/>
            <w:sz w:val="30"/>
            <w:szCs w:val="30"/>
          </w:rPr>
          <w:instrText xml:space="preserve"> PAGEREF _Toc1931 \h </w:instrText>
        </w:r>
        <w:r>
          <w:rPr>
            <w:rFonts w:ascii="Times New Roman" w:eastAsia="仿宋_GB2312" w:hAnsi="Times New Roman" w:cs="仿宋_GB2312" w:hint="eastAsia"/>
            <w:sz w:val="30"/>
            <w:szCs w:val="30"/>
          </w:rPr>
          <w:fldChar w:fldCharType="separate"/>
        </w:r>
        <w:r>
          <w:rPr>
            <w:rFonts w:ascii="Times New Roman" w:eastAsia="仿宋_GB2312" w:hAnsi="Times New Roman" w:cs="仿宋_GB2312" w:hint="eastAsia"/>
            <w:sz w:val="30"/>
            <w:szCs w:val="30"/>
          </w:rPr>
          <w:t>4</w:t>
        </w:r>
        <w:r>
          <w:rPr>
            <w:rFonts w:ascii="Times New Roman" w:eastAsia="仿宋_GB2312" w:hAnsi="Times New Roman" w:cs="仿宋_GB2312" w:hint="eastAsia"/>
            <w:sz w:val="30"/>
            <w:szCs w:val="30"/>
          </w:rPr>
          <w:fldChar w:fldCharType="end"/>
        </w:r>
      </w:hyperlink>
    </w:p>
    <w:p w14:paraId="08222A30">
      <w:pPr>
        <w:pStyle w:val="TOC2"/>
        <w:keepNext w:val="0"/>
        <w:keepLines w:val="0"/>
        <w:pageBreakBefore w:val="0"/>
        <w:widowControl/>
        <w:tabs>
          <w:tab w:val="right" w:leader="dot" w:pos="8306"/>
        </w:tabs>
        <w:kinsoku/>
        <w:wordWrap/>
        <w:overflowPunct/>
        <w:topLinePunct w:val="0"/>
        <w:autoSpaceDE/>
        <w:autoSpaceDN/>
        <w:bidi w:val="0"/>
        <w:adjustRightInd/>
        <w:snapToGrid/>
        <w:spacing w:after="0" w:line="700" w:lineRule="exact"/>
        <w:ind w:left="221"/>
        <w:textAlignment w:val="auto"/>
        <w:rPr>
          <w:rFonts w:ascii="Times New Roman" w:eastAsia="仿宋_GB2312" w:hAnsi="Times New Roman" w:cs="仿宋_GB2312" w:hint="eastAsia"/>
          <w:sz w:val="30"/>
          <w:szCs w:val="30"/>
        </w:rPr>
      </w:pPr>
      <w:hyperlink w:anchor="_Toc14007" w:history="1">
        <w:r>
          <w:rPr>
            <w:rFonts w:ascii="Times New Roman" w:eastAsia="仿宋_GB2312" w:hAnsi="Times New Roman" w:cs="仿宋_GB2312" w:hint="eastAsia"/>
            <w:sz w:val="30"/>
            <w:szCs w:val="30"/>
          </w:rPr>
          <w:t>三、支出决算情况说明</w:t>
        </w:r>
        <w:r>
          <w:rPr>
            <w:rFonts w:ascii="Times New Roman" w:eastAsia="仿宋_GB2312" w:hAnsi="Times New Roman" w:cs="仿宋_GB2312" w:hint="eastAsia"/>
            <w:sz w:val="30"/>
            <w:szCs w:val="30"/>
          </w:rPr>
          <w:tab/>
        </w:r>
        <w:r>
          <w:rPr>
            <w:rFonts w:ascii="Times New Roman" w:eastAsia="仿宋_GB2312" w:hAnsi="Times New Roman" w:cs="仿宋_GB2312" w:hint="eastAsia"/>
            <w:sz w:val="30"/>
            <w:szCs w:val="30"/>
          </w:rPr>
          <w:fldChar w:fldCharType="begin"/>
        </w:r>
        <w:r>
          <w:rPr>
            <w:rFonts w:ascii="Times New Roman" w:eastAsia="仿宋_GB2312" w:hAnsi="Times New Roman" w:cs="仿宋_GB2312" w:hint="eastAsia"/>
            <w:sz w:val="30"/>
            <w:szCs w:val="30"/>
          </w:rPr>
          <w:instrText xml:space="preserve"> PAGEREF _Toc14007 \h </w:instrText>
        </w:r>
        <w:r>
          <w:rPr>
            <w:rFonts w:ascii="Times New Roman" w:eastAsia="仿宋_GB2312" w:hAnsi="Times New Roman" w:cs="仿宋_GB2312" w:hint="eastAsia"/>
            <w:sz w:val="30"/>
            <w:szCs w:val="30"/>
          </w:rPr>
          <w:fldChar w:fldCharType="separate"/>
        </w:r>
        <w:r>
          <w:rPr>
            <w:rFonts w:ascii="Times New Roman" w:eastAsia="仿宋_GB2312" w:hAnsi="Times New Roman" w:cs="仿宋_GB2312" w:hint="eastAsia"/>
            <w:sz w:val="30"/>
            <w:szCs w:val="30"/>
          </w:rPr>
          <w:t>4</w:t>
        </w:r>
        <w:r>
          <w:rPr>
            <w:rFonts w:ascii="Times New Roman" w:eastAsia="仿宋_GB2312" w:hAnsi="Times New Roman" w:cs="仿宋_GB2312" w:hint="eastAsia"/>
            <w:sz w:val="30"/>
            <w:szCs w:val="30"/>
          </w:rPr>
          <w:fldChar w:fldCharType="end"/>
        </w:r>
      </w:hyperlink>
    </w:p>
    <w:p w14:paraId="2A0776A0">
      <w:pPr>
        <w:pStyle w:val="TOC2"/>
        <w:keepNext w:val="0"/>
        <w:keepLines w:val="0"/>
        <w:pageBreakBefore w:val="0"/>
        <w:widowControl/>
        <w:tabs>
          <w:tab w:val="right" w:leader="dot" w:pos="8306"/>
        </w:tabs>
        <w:kinsoku/>
        <w:wordWrap/>
        <w:overflowPunct/>
        <w:topLinePunct w:val="0"/>
        <w:autoSpaceDE/>
        <w:autoSpaceDN/>
        <w:bidi w:val="0"/>
        <w:adjustRightInd/>
        <w:snapToGrid/>
        <w:spacing w:after="0" w:line="700" w:lineRule="exact"/>
        <w:ind w:left="221"/>
        <w:textAlignment w:val="auto"/>
        <w:rPr>
          <w:rFonts w:ascii="Times New Roman" w:eastAsia="仿宋_GB2312" w:hAnsi="Times New Roman" w:cs="仿宋_GB2312" w:hint="eastAsia"/>
          <w:sz w:val="30"/>
          <w:szCs w:val="30"/>
        </w:rPr>
      </w:pPr>
      <w:hyperlink w:anchor="_Toc23974" w:history="1">
        <w:r>
          <w:rPr>
            <w:rFonts w:ascii="Times New Roman" w:eastAsia="仿宋_GB2312" w:hAnsi="Times New Roman" w:cs="仿宋_GB2312" w:hint="eastAsia"/>
            <w:sz w:val="30"/>
            <w:szCs w:val="30"/>
          </w:rPr>
          <w:t>四、财政拨款收支决算总体情况说明</w:t>
        </w:r>
        <w:r>
          <w:rPr>
            <w:rFonts w:ascii="Times New Roman" w:eastAsia="仿宋_GB2312" w:hAnsi="Times New Roman" w:cs="仿宋_GB2312" w:hint="eastAsia"/>
            <w:sz w:val="30"/>
            <w:szCs w:val="30"/>
          </w:rPr>
          <w:tab/>
        </w:r>
        <w:r>
          <w:rPr>
            <w:rFonts w:ascii="Times New Roman" w:eastAsia="仿宋_GB2312" w:hAnsi="Times New Roman" w:cs="仿宋_GB2312" w:hint="eastAsia"/>
            <w:sz w:val="30"/>
            <w:szCs w:val="30"/>
          </w:rPr>
          <w:fldChar w:fldCharType="begin"/>
        </w:r>
        <w:r>
          <w:rPr>
            <w:rFonts w:ascii="Times New Roman" w:eastAsia="仿宋_GB2312" w:hAnsi="Times New Roman" w:cs="仿宋_GB2312" w:hint="eastAsia"/>
            <w:sz w:val="30"/>
            <w:szCs w:val="30"/>
          </w:rPr>
          <w:instrText xml:space="preserve"> PAGEREF _Toc23974 \h </w:instrText>
        </w:r>
        <w:r>
          <w:rPr>
            <w:rFonts w:ascii="Times New Roman" w:eastAsia="仿宋_GB2312" w:hAnsi="Times New Roman" w:cs="仿宋_GB2312" w:hint="eastAsia"/>
            <w:sz w:val="30"/>
            <w:szCs w:val="30"/>
          </w:rPr>
          <w:fldChar w:fldCharType="separate"/>
        </w:r>
        <w:r>
          <w:rPr>
            <w:rFonts w:ascii="Times New Roman" w:eastAsia="仿宋_GB2312" w:hAnsi="Times New Roman" w:cs="仿宋_GB2312" w:hint="eastAsia"/>
            <w:sz w:val="30"/>
            <w:szCs w:val="30"/>
          </w:rPr>
          <w:t>5</w:t>
        </w:r>
        <w:r>
          <w:rPr>
            <w:rFonts w:ascii="Times New Roman" w:eastAsia="仿宋_GB2312" w:hAnsi="Times New Roman" w:cs="仿宋_GB2312" w:hint="eastAsia"/>
            <w:sz w:val="30"/>
            <w:szCs w:val="30"/>
          </w:rPr>
          <w:fldChar w:fldCharType="end"/>
        </w:r>
      </w:hyperlink>
    </w:p>
    <w:p w14:paraId="1354EBB3">
      <w:pPr>
        <w:pStyle w:val="TOC2"/>
        <w:keepNext w:val="0"/>
        <w:keepLines w:val="0"/>
        <w:pageBreakBefore w:val="0"/>
        <w:widowControl/>
        <w:tabs>
          <w:tab w:val="right" w:leader="dot" w:pos="8306"/>
        </w:tabs>
        <w:kinsoku/>
        <w:wordWrap/>
        <w:overflowPunct/>
        <w:topLinePunct w:val="0"/>
        <w:autoSpaceDE/>
        <w:autoSpaceDN/>
        <w:bidi w:val="0"/>
        <w:adjustRightInd/>
        <w:snapToGrid/>
        <w:spacing w:after="0" w:line="700" w:lineRule="exact"/>
        <w:ind w:left="221"/>
        <w:textAlignment w:val="auto"/>
        <w:rPr>
          <w:rFonts w:ascii="Times New Roman" w:eastAsia="仿宋_GB2312" w:hAnsi="Times New Roman" w:cs="仿宋_GB2312" w:hint="eastAsia"/>
          <w:sz w:val="30"/>
          <w:szCs w:val="30"/>
        </w:rPr>
      </w:pPr>
      <w:hyperlink w:anchor="_Toc19057" w:history="1">
        <w:r>
          <w:rPr>
            <w:rFonts w:ascii="Times New Roman" w:eastAsia="仿宋_GB2312" w:hAnsi="Times New Roman" w:cs="仿宋_GB2312" w:hint="eastAsia"/>
            <w:sz w:val="30"/>
            <w:szCs w:val="30"/>
          </w:rPr>
          <w:t>五、一般公共预算财政拨款支出决算情况说明</w:t>
        </w:r>
        <w:r>
          <w:rPr>
            <w:rFonts w:ascii="Times New Roman" w:eastAsia="仿宋_GB2312" w:hAnsi="Times New Roman" w:cs="仿宋_GB2312" w:hint="eastAsia"/>
            <w:sz w:val="30"/>
            <w:szCs w:val="30"/>
          </w:rPr>
          <w:tab/>
        </w:r>
        <w:r>
          <w:rPr>
            <w:rFonts w:ascii="Times New Roman" w:eastAsia="仿宋_GB2312" w:hAnsi="Times New Roman" w:cs="仿宋_GB2312" w:hint="eastAsia"/>
            <w:sz w:val="30"/>
            <w:szCs w:val="30"/>
          </w:rPr>
          <w:fldChar w:fldCharType="begin"/>
        </w:r>
        <w:r>
          <w:rPr>
            <w:rFonts w:ascii="Times New Roman" w:eastAsia="仿宋_GB2312" w:hAnsi="Times New Roman" w:cs="仿宋_GB2312" w:hint="eastAsia"/>
            <w:sz w:val="30"/>
            <w:szCs w:val="30"/>
          </w:rPr>
          <w:instrText xml:space="preserve"> PAGEREF _Toc19057 \h </w:instrText>
        </w:r>
        <w:r>
          <w:rPr>
            <w:rFonts w:ascii="Times New Roman" w:eastAsia="仿宋_GB2312" w:hAnsi="Times New Roman" w:cs="仿宋_GB2312" w:hint="eastAsia"/>
            <w:sz w:val="30"/>
            <w:szCs w:val="30"/>
          </w:rPr>
          <w:fldChar w:fldCharType="separate"/>
        </w:r>
        <w:r>
          <w:rPr>
            <w:rFonts w:ascii="Times New Roman" w:eastAsia="仿宋_GB2312" w:hAnsi="Times New Roman" w:cs="仿宋_GB2312" w:hint="eastAsia"/>
            <w:sz w:val="30"/>
            <w:szCs w:val="30"/>
          </w:rPr>
          <w:t>5</w:t>
        </w:r>
        <w:r>
          <w:rPr>
            <w:rFonts w:ascii="Times New Roman" w:eastAsia="仿宋_GB2312" w:hAnsi="Times New Roman" w:cs="仿宋_GB2312" w:hint="eastAsia"/>
            <w:sz w:val="30"/>
            <w:szCs w:val="30"/>
          </w:rPr>
          <w:fldChar w:fldCharType="end"/>
        </w:r>
      </w:hyperlink>
    </w:p>
    <w:p w14:paraId="75850C8A">
      <w:pPr>
        <w:pStyle w:val="TOC2"/>
        <w:keepNext w:val="0"/>
        <w:keepLines w:val="0"/>
        <w:pageBreakBefore w:val="0"/>
        <w:widowControl/>
        <w:tabs>
          <w:tab w:val="right" w:leader="dot" w:pos="8306"/>
        </w:tabs>
        <w:kinsoku/>
        <w:wordWrap/>
        <w:overflowPunct/>
        <w:topLinePunct w:val="0"/>
        <w:autoSpaceDE/>
        <w:autoSpaceDN/>
        <w:bidi w:val="0"/>
        <w:adjustRightInd/>
        <w:snapToGrid/>
        <w:spacing w:after="0" w:line="700" w:lineRule="exact"/>
        <w:ind w:left="221"/>
        <w:textAlignment w:val="auto"/>
        <w:rPr>
          <w:rFonts w:ascii="Times New Roman" w:eastAsia="仿宋_GB2312" w:hAnsi="Times New Roman" w:cs="仿宋_GB2312" w:hint="eastAsia"/>
          <w:sz w:val="30"/>
          <w:szCs w:val="30"/>
        </w:rPr>
      </w:pPr>
      <w:hyperlink w:anchor="_Toc8826" w:history="1">
        <w:r>
          <w:rPr>
            <w:rFonts w:ascii="Times New Roman" w:eastAsia="仿宋_GB2312" w:hAnsi="Times New Roman" w:cs="仿宋_GB2312" w:hint="eastAsia"/>
            <w:sz w:val="30"/>
            <w:szCs w:val="30"/>
          </w:rPr>
          <w:t>六、一般公共预算财政拨款基本支出决算情况说明</w:t>
        </w:r>
        <w:r>
          <w:rPr>
            <w:rFonts w:ascii="Times New Roman" w:eastAsia="仿宋_GB2312" w:hAnsi="Times New Roman" w:cs="仿宋_GB2312" w:hint="eastAsia"/>
            <w:sz w:val="30"/>
            <w:szCs w:val="30"/>
          </w:rPr>
          <w:tab/>
        </w:r>
        <w:r>
          <w:rPr>
            <w:rFonts w:ascii="Times New Roman" w:eastAsia="仿宋_GB2312" w:hAnsi="Times New Roman" w:cs="仿宋_GB2312" w:hint="eastAsia"/>
            <w:sz w:val="30"/>
            <w:szCs w:val="30"/>
          </w:rPr>
          <w:fldChar w:fldCharType="begin"/>
        </w:r>
        <w:r>
          <w:rPr>
            <w:rFonts w:ascii="Times New Roman" w:eastAsia="仿宋_GB2312" w:hAnsi="Times New Roman" w:cs="仿宋_GB2312" w:hint="eastAsia"/>
            <w:sz w:val="30"/>
            <w:szCs w:val="30"/>
          </w:rPr>
          <w:instrText xml:space="preserve"> PAGEREF _Toc8826 \h </w:instrText>
        </w:r>
        <w:r>
          <w:rPr>
            <w:rFonts w:ascii="Times New Roman" w:eastAsia="仿宋_GB2312" w:hAnsi="Times New Roman" w:cs="仿宋_GB2312" w:hint="eastAsia"/>
            <w:sz w:val="30"/>
            <w:szCs w:val="30"/>
          </w:rPr>
          <w:fldChar w:fldCharType="separate"/>
        </w:r>
        <w:r>
          <w:rPr>
            <w:rFonts w:ascii="Times New Roman" w:eastAsia="仿宋_GB2312" w:hAnsi="Times New Roman" w:cs="仿宋_GB2312" w:hint="eastAsia"/>
            <w:sz w:val="30"/>
            <w:szCs w:val="30"/>
          </w:rPr>
          <w:t>10</w:t>
        </w:r>
        <w:r>
          <w:rPr>
            <w:rFonts w:ascii="Times New Roman" w:eastAsia="仿宋_GB2312" w:hAnsi="Times New Roman" w:cs="仿宋_GB2312" w:hint="eastAsia"/>
            <w:sz w:val="30"/>
            <w:szCs w:val="30"/>
          </w:rPr>
          <w:fldChar w:fldCharType="end"/>
        </w:r>
      </w:hyperlink>
    </w:p>
    <w:p w14:paraId="7C562DCD">
      <w:pPr>
        <w:pStyle w:val="TOC2"/>
        <w:keepNext w:val="0"/>
        <w:keepLines w:val="0"/>
        <w:pageBreakBefore w:val="0"/>
        <w:widowControl/>
        <w:tabs>
          <w:tab w:val="right" w:leader="dot" w:pos="8306"/>
        </w:tabs>
        <w:kinsoku/>
        <w:wordWrap/>
        <w:overflowPunct/>
        <w:topLinePunct w:val="0"/>
        <w:autoSpaceDE/>
        <w:autoSpaceDN/>
        <w:bidi w:val="0"/>
        <w:adjustRightInd/>
        <w:snapToGrid/>
        <w:spacing w:after="0" w:line="700" w:lineRule="exact"/>
        <w:ind w:left="221"/>
        <w:textAlignment w:val="auto"/>
        <w:rPr>
          <w:rFonts w:ascii="Times New Roman" w:eastAsia="仿宋_GB2312" w:hAnsi="Times New Roman" w:cs="仿宋_GB2312" w:hint="eastAsia"/>
          <w:sz w:val="30"/>
          <w:szCs w:val="30"/>
        </w:rPr>
      </w:pPr>
      <w:hyperlink w:anchor="_Toc13712" w:history="1">
        <w:r>
          <w:rPr>
            <w:rFonts w:ascii="Times New Roman" w:eastAsia="仿宋_GB2312" w:hAnsi="Times New Roman" w:cs="仿宋_GB2312" w:hint="eastAsia"/>
            <w:sz w:val="30"/>
            <w:szCs w:val="30"/>
          </w:rPr>
          <w:t>七、政府性基金预算财政拨款收支决算情况说明</w:t>
        </w:r>
        <w:r>
          <w:rPr>
            <w:rFonts w:ascii="Times New Roman" w:eastAsia="仿宋_GB2312" w:hAnsi="Times New Roman" w:cs="仿宋_GB2312" w:hint="eastAsia"/>
            <w:sz w:val="30"/>
            <w:szCs w:val="30"/>
          </w:rPr>
          <w:tab/>
        </w:r>
        <w:r>
          <w:rPr>
            <w:rFonts w:ascii="Times New Roman" w:eastAsia="仿宋_GB2312" w:hAnsi="Times New Roman" w:cs="仿宋_GB2312" w:hint="eastAsia"/>
            <w:sz w:val="30"/>
            <w:szCs w:val="30"/>
          </w:rPr>
          <w:fldChar w:fldCharType="begin"/>
        </w:r>
        <w:r>
          <w:rPr>
            <w:rFonts w:ascii="Times New Roman" w:eastAsia="仿宋_GB2312" w:hAnsi="Times New Roman" w:cs="仿宋_GB2312" w:hint="eastAsia"/>
            <w:sz w:val="30"/>
            <w:szCs w:val="30"/>
          </w:rPr>
          <w:instrText xml:space="preserve"> PAGEREF _Toc13712 \h </w:instrText>
        </w:r>
        <w:r>
          <w:rPr>
            <w:rFonts w:ascii="Times New Roman" w:eastAsia="仿宋_GB2312" w:hAnsi="Times New Roman" w:cs="仿宋_GB2312" w:hint="eastAsia"/>
            <w:sz w:val="30"/>
            <w:szCs w:val="30"/>
          </w:rPr>
          <w:fldChar w:fldCharType="separate"/>
        </w:r>
        <w:r>
          <w:rPr>
            <w:rFonts w:ascii="Times New Roman" w:eastAsia="仿宋_GB2312" w:hAnsi="Times New Roman" w:cs="仿宋_GB2312" w:hint="eastAsia"/>
            <w:sz w:val="30"/>
            <w:szCs w:val="30"/>
          </w:rPr>
          <w:t>10</w:t>
        </w:r>
        <w:r>
          <w:rPr>
            <w:rFonts w:ascii="Times New Roman" w:eastAsia="仿宋_GB2312" w:hAnsi="Times New Roman" w:cs="仿宋_GB2312" w:hint="eastAsia"/>
            <w:sz w:val="30"/>
            <w:szCs w:val="30"/>
          </w:rPr>
          <w:fldChar w:fldCharType="end"/>
        </w:r>
      </w:hyperlink>
    </w:p>
    <w:p w14:paraId="6F9CCB76">
      <w:pPr>
        <w:pStyle w:val="TOC2"/>
        <w:keepNext w:val="0"/>
        <w:keepLines w:val="0"/>
        <w:pageBreakBefore w:val="0"/>
        <w:widowControl/>
        <w:tabs>
          <w:tab w:val="right" w:leader="dot" w:pos="8306"/>
        </w:tabs>
        <w:kinsoku/>
        <w:wordWrap/>
        <w:overflowPunct/>
        <w:topLinePunct w:val="0"/>
        <w:autoSpaceDE/>
        <w:autoSpaceDN/>
        <w:bidi w:val="0"/>
        <w:adjustRightInd/>
        <w:snapToGrid/>
        <w:spacing w:after="0" w:line="700" w:lineRule="exact"/>
        <w:ind w:left="221"/>
        <w:textAlignment w:val="auto"/>
        <w:rPr>
          <w:rFonts w:ascii="Times New Roman" w:eastAsia="仿宋_GB2312" w:hAnsi="Times New Roman" w:cs="仿宋_GB2312" w:hint="eastAsia"/>
          <w:sz w:val="30"/>
          <w:szCs w:val="30"/>
        </w:rPr>
      </w:pPr>
      <w:hyperlink w:anchor="_Toc1902" w:history="1">
        <w:r>
          <w:rPr>
            <w:rFonts w:ascii="Times New Roman" w:eastAsia="仿宋_GB2312" w:hAnsi="Times New Roman" w:cs="仿宋_GB2312" w:hint="eastAsia"/>
            <w:sz w:val="30"/>
            <w:szCs w:val="30"/>
          </w:rPr>
          <w:t>八、国有资本经营预算财政拨款收支决算情况说明</w:t>
        </w:r>
        <w:r>
          <w:rPr>
            <w:rFonts w:ascii="Times New Roman" w:eastAsia="仿宋_GB2312" w:hAnsi="Times New Roman" w:cs="仿宋_GB2312" w:hint="eastAsia"/>
            <w:sz w:val="30"/>
            <w:szCs w:val="30"/>
          </w:rPr>
          <w:tab/>
        </w:r>
        <w:r>
          <w:rPr>
            <w:rFonts w:ascii="Times New Roman" w:eastAsia="仿宋_GB2312" w:hAnsi="Times New Roman" w:cs="仿宋_GB2312" w:hint="eastAsia"/>
            <w:sz w:val="30"/>
            <w:szCs w:val="30"/>
          </w:rPr>
          <w:fldChar w:fldCharType="begin"/>
        </w:r>
        <w:r>
          <w:rPr>
            <w:rFonts w:ascii="Times New Roman" w:eastAsia="仿宋_GB2312" w:hAnsi="Times New Roman" w:cs="仿宋_GB2312" w:hint="eastAsia"/>
            <w:sz w:val="30"/>
            <w:szCs w:val="30"/>
          </w:rPr>
          <w:instrText xml:space="preserve"> PAGEREF _Toc1902 \h </w:instrText>
        </w:r>
        <w:r>
          <w:rPr>
            <w:rFonts w:ascii="Times New Roman" w:eastAsia="仿宋_GB2312" w:hAnsi="Times New Roman" w:cs="仿宋_GB2312" w:hint="eastAsia"/>
            <w:sz w:val="30"/>
            <w:szCs w:val="30"/>
          </w:rPr>
          <w:fldChar w:fldCharType="separate"/>
        </w:r>
        <w:r>
          <w:rPr>
            <w:rFonts w:ascii="Times New Roman" w:eastAsia="仿宋_GB2312" w:hAnsi="Times New Roman" w:cs="仿宋_GB2312" w:hint="eastAsia"/>
            <w:sz w:val="30"/>
            <w:szCs w:val="30"/>
          </w:rPr>
          <w:t>10</w:t>
        </w:r>
        <w:r>
          <w:rPr>
            <w:rFonts w:ascii="Times New Roman" w:eastAsia="仿宋_GB2312" w:hAnsi="Times New Roman" w:cs="仿宋_GB2312" w:hint="eastAsia"/>
            <w:sz w:val="30"/>
            <w:szCs w:val="30"/>
          </w:rPr>
          <w:fldChar w:fldCharType="end"/>
        </w:r>
      </w:hyperlink>
    </w:p>
    <w:p w14:paraId="44E6D1B7">
      <w:pPr>
        <w:pStyle w:val="TOC2"/>
        <w:keepNext w:val="0"/>
        <w:keepLines w:val="0"/>
        <w:pageBreakBefore w:val="0"/>
        <w:widowControl/>
        <w:tabs>
          <w:tab w:val="right" w:leader="dot" w:pos="8306"/>
        </w:tabs>
        <w:kinsoku/>
        <w:wordWrap/>
        <w:overflowPunct/>
        <w:topLinePunct w:val="0"/>
        <w:autoSpaceDE/>
        <w:autoSpaceDN/>
        <w:bidi w:val="0"/>
        <w:adjustRightInd/>
        <w:snapToGrid/>
        <w:spacing w:after="0" w:line="700" w:lineRule="exact"/>
        <w:ind w:left="221"/>
        <w:textAlignment w:val="auto"/>
        <w:rPr>
          <w:rFonts w:ascii="Times New Roman" w:eastAsia="仿宋_GB2312" w:hAnsi="Times New Roman" w:cs="仿宋_GB2312" w:hint="eastAsia"/>
          <w:sz w:val="30"/>
          <w:szCs w:val="30"/>
        </w:rPr>
      </w:pPr>
      <w:hyperlink w:anchor="_Toc6751" w:history="1">
        <w:r>
          <w:rPr>
            <w:rFonts w:ascii="Times New Roman" w:eastAsia="仿宋_GB2312" w:hAnsi="Times New Roman" w:cs="仿宋_GB2312" w:hint="eastAsia"/>
            <w:sz w:val="30"/>
            <w:szCs w:val="30"/>
          </w:rPr>
          <w:t>九、财政拨款“三公”经费支出决算情况说明</w:t>
        </w:r>
        <w:r>
          <w:rPr>
            <w:rFonts w:ascii="Times New Roman" w:eastAsia="仿宋_GB2312" w:hAnsi="Times New Roman" w:cs="仿宋_GB2312" w:hint="eastAsia"/>
            <w:sz w:val="30"/>
            <w:szCs w:val="30"/>
          </w:rPr>
          <w:tab/>
        </w:r>
        <w:r>
          <w:rPr>
            <w:rFonts w:ascii="Times New Roman" w:eastAsia="仿宋_GB2312" w:hAnsi="Times New Roman" w:cs="仿宋_GB2312" w:hint="eastAsia"/>
            <w:sz w:val="30"/>
            <w:szCs w:val="30"/>
          </w:rPr>
          <w:fldChar w:fldCharType="begin"/>
        </w:r>
        <w:r>
          <w:rPr>
            <w:rFonts w:ascii="Times New Roman" w:eastAsia="仿宋_GB2312" w:hAnsi="Times New Roman" w:cs="仿宋_GB2312" w:hint="eastAsia"/>
            <w:sz w:val="30"/>
            <w:szCs w:val="30"/>
          </w:rPr>
          <w:instrText xml:space="preserve"> PAGEREF _Toc6751 \h </w:instrText>
        </w:r>
        <w:r>
          <w:rPr>
            <w:rFonts w:ascii="Times New Roman" w:eastAsia="仿宋_GB2312" w:hAnsi="Times New Roman" w:cs="仿宋_GB2312" w:hint="eastAsia"/>
            <w:sz w:val="30"/>
            <w:szCs w:val="30"/>
          </w:rPr>
          <w:fldChar w:fldCharType="separate"/>
        </w:r>
        <w:r>
          <w:rPr>
            <w:rFonts w:ascii="Times New Roman" w:eastAsia="仿宋_GB2312" w:hAnsi="Times New Roman" w:cs="仿宋_GB2312" w:hint="eastAsia"/>
            <w:sz w:val="30"/>
            <w:szCs w:val="30"/>
          </w:rPr>
          <w:t>11</w:t>
        </w:r>
        <w:r>
          <w:rPr>
            <w:rFonts w:ascii="Times New Roman" w:eastAsia="仿宋_GB2312" w:hAnsi="Times New Roman" w:cs="仿宋_GB2312" w:hint="eastAsia"/>
            <w:sz w:val="30"/>
            <w:szCs w:val="30"/>
          </w:rPr>
          <w:fldChar w:fldCharType="end"/>
        </w:r>
      </w:hyperlink>
    </w:p>
    <w:p w14:paraId="0F0307D8">
      <w:pPr>
        <w:pStyle w:val="TOC2"/>
        <w:keepNext w:val="0"/>
        <w:keepLines w:val="0"/>
        <w:pageBreakBefore w:val="0"/>
        <w:widowControl/>
        <w:tabs>
          <w:tab w:val="right" w:leader="dot" w:pos="8306"/>
        </w:tabs>
        <w:kinsoku/>
        <w:wordWrap/>
        <w:overflowPunct/>
        <w:topLinePunct w:val="0"/>
        <w:autoSpaceDE/>
        <w:autoSpaceDN/>
        <w:bidi w:val="0"/>
        <w:adjustRightInd/>
        <w:snapToGrid/>
        <w:spacing w:after="0" w:line="700" w:lineRule="exact"/>
        <w:ind w:left="221"/>
        <w:textAlignment w:val="auto"/>
        <w:rPr>
          <w:rFonts w:ascii="Times New Roman" w:eastAsia="仿宋_GB2312" w:hAnsi="Times New Roman" w:cs="仿宋_GB2312" w:hint="eastAsia"/>
          <w:sz w:val="30"/>
          <w:szCs w:val="30"/>
        </w:rPr>
      </w:pPr>
      <w:hyperlink w:anchor="_Toc2589" w:history="1">
        <w:r>
          <w:rPr>
            <w:rFonts w:ascii="Times New Roman" w:eastAsia="仿宋_GB2312" w:hAnsi="Times New Roman" w:cs="仿宋_GB2312" w:hint="eastAsia"/>
            <w:sz w:val="30"/>
            <w:szCs w:val="30"/>
          </w:rPr>
          <w:t>十、机关运行经费支出情况说明</w:t>
        </w:r>
        <w:r>
          <w:rPr>
            <w:rFonts w:ascii="Times New Roman" w:eastAsia="仿宋_GB2312" w:hAnsi="Times New Roman" w:cs="仿宋_GB2312" w:hint="eastAsia"/>
            <w:sz w:val="30"/>
            <w:szCs w:val="30"/>
          </w:rPr>
          <w:tab/>
        </w:r>
        <w:r>
          <w:rPr>
            <w:rFonts w:ascii="Times New Roman" w:eastAsia="仿宋_GB2312" w:hAnsi="Times New Roman" w:cs="仿宋_GB2312" w:hint="eastAsia"/>
            <w:sz w:val="30"/>
            <w:szCs w:val="30"/>
          </w:rPr>
          <w:fldChar w:fldCharType="begin"/>
        </w:r>
        <w:r>
          <w:rPr>
            <w:rFonts w:ascii="Times New Roman" w:eastAsia="仿宋_GB2312" w:hAnsi="Times New Roman" w:cs="仿宋_GB2312" w:hint="eastAsia"/>
            <w:sz w:val="30"/>
            <w:szCs w:val="30"/>
          </w:rPr>
          <w:instrText xml:space="preserve"> PAGEREF _Toc2589 \h </w:instrText>
        </w:r>
        <w:r>
          <w:rPr>
            <w:rFonts w:ascii="Times New Roman" w:eastAsia="仿宋_GB2312" w:hAnsi="Times New Roman" w:cs="仿宋_GB2312" w:hint="eastAsia"/>
            <w:sz w:val="30"/>
            <w:szCs w:val="30"/>
          </w:rPr>
          <w:fldChar w:fldCharType="separate"/>
        </w:r>
        <w:r>
          <w:rPr>
            <w:rFonts w:ascii="Times New Roman" w:eastAsia="仿宋_GB2312" w:hAnsi="Times New Roman" w:cs="仿宋_GB2312" w:hint="eastAsia"/>
            <w:sz w:val="30"/>
            <w:szCs w:val="30"/>
          </w:rPr>
          <w:t>13</w:t>
        </w:r>
        <w:r>
          <w:rPr>
            <w:rFonts w:ascii="Times New Roman" w:eastAsia="仿宋_GB2312" w:hAnsi="Times New Roman" w:cs="仿宋_GB2312" w:hint="eastAsia"/>
            <w:sz w:val="30"/>
            <w:szCs w:val="30"/>
          </w:rPr>
          <w:fldChar w:fldCharType="end"/>
        </w:r>
      </w:hyperlink>
    </w:p>
    <w:p w14:paraId="264E1CF5">
      <w:pPr>
        <w:pStyle w:val="TOC2"/>
        <w:keepNext w:val="0"/>
        <w:keepLines w:val="0"/>
        <w:pageBreakBefore w:val="0"/>
        <w:widowControl/>
        <w:tabs>
          <w:tab w:val="right" w:leader="dot" w:pos="8306"/>
        </w:tabs>
        <w:kinsoku/>
        <w:wordWrap/>
        <w:overflowPunct/>
        <w:topLinePunct w:val="0"/>
        <w:autoSpaceDE/>
        <w:autoSpaceDN/>
        <w:bidi w:val="0"/>
        <w:adjustRightInd/>
        <w:snapToGrid/>
        <w:spacing w:after="0" w:line="700" w:lineRule="exact"/>
        <w:ind w:left="221"/>
        <w:textAlignment w:val="auto"/>
        <w:rPr>
          <w:rFonts w:ascii="Times New Roman" w:eastAsia="仿宋_GB2312" w:hAnsi="Times New Roman" w:cs="仿宋_GB2312" w:hint="eastAsia"/>
          <w:sz w:val="30"/>
          <w:szCs w:val="30"/>
        </w:rPr>
      </w:pPr>
      <w:hyperlink w:anchor="_Toc15010" w:history="1">
        <w:r>
          <w:rPr>
            <w:rFonts w:ascii="Times New Roman" w:eastAsia="仿宋_GB2312" w:hAnsi="Times New Roman" w:cs="仿宋_GB2312" w:hint="eastAsia"/>
            <w:sz w:val="30"/>
            <w:szCs w:val="30"/>
          </w:rPr>
          <w:t>十一、政府采购支出情况说明</w:t>
        </w:r>
        <w:r>
          <w:rPr>
            <w:rFonts w:ascii="Times New Roman" w:eastAsia="仿宋_GB2312" w:hAnsi="Times New Roman" w:cs="仿宋_GB2312" w:hint="eastAsia"/>
            <w:sz w:val="30"/>
            <w:szCs w:val="30"/>
          </w:rPr>
          <w:tab/>
        </w:r>
        <w:r>
          <w:rPr>
            <w:rFonts w:ascii="Times New Roman" w:eastAsia="仿宋_GB2312" w:hAnsi="Times New Roman" w:cs="仿宋_GB2312" w:hint="eastAsia"/>
            <w:sz w:val="30"/>
            <w:szCs w:val="30"/>
          </w:rPr>
          <w:fldChar w:fldCharType="begin"/>
        </w:r>
        <w:r>
          <w:rPr>
            <w:rFonts w:ascii="Times New Roman" w:eastAsia="仿宋_GB2312" w:hAnsi="Times New Roman" w:cs="仿宋_GB2312" w:hint="eastAsia"/>
            <w:sz w:val="30"/>
            <w:szCs w:val="30"/>
          </w:rPr>
          <w:instrText xml:space="preserve"> PAGEREF _Toc15010 \h </w:instrText>
        </w:r>
        <w:r>
          <w:rPr>
            <w:rFonts w:ascii="Times New Roman" w:eastAsia="仿宋_GB2312" w:hAnsi="Times New Roman" w:cs="仿宋_GB2312" w:hint="eastAsia"/>
            <w:sz w:val="30"/>
            <w:szCs w:val="30"/>
          </w:rPr>
          <w:fldChar w:fldCharType="separate"/>
        </w:r>
        <w:r>
          <w:rPr>
            <w:rFonts w:ascii="Times New Roman" w:eastAsia="仿宋_GB2312" w:hAnsi="Times New Roman" w:cs="仿宋_GB2312" w:hint="eastAsia"/>
            <w:sz w:val="30"/>
            <w:szCs w:val="30"/>
          </w:rPr>
          <w:t>13</w:t>
        </w:r>
        <w:r>
          <w:rPr>
            <w:rFonts w:ascii="Times New Roman" w:eastAsia="仿宋_GB2312" w:hAnsi="Times New Roman" w:cs="仿宋_GB2312" w:hint="eastAsia"/>
            <w:sz w:val="30"/>
            <w:szCs w:val="30"/>
          </w:rPr>
          <w:fldChar w:fldCharType="end"/>
        </w:r>
      </w:hyperlink>
    </w:p>
    <w:p w14:paraId="27B9C90D">
      <w:pPr>
        <w:pStyle w:val="TOC2"/>
        <w:keepNext w:val="0"/>
        <w:keepLines w:val="0"/>
        <w:pageBreakBefore w:val="0"/>
        <w:widowControl/>
        <w:tabs>
          <w:tab w:val="right" w:leader="dot" w:pos="8306"/>
        </w:tabs>
        <w:kinsoku/>
        <w:wordWrap/>
        <w:overflowPunct/>
        <w:topLinePunct w:val="0"/>
        <w:autoSpaceDE/>
        <w:autoSpaceDN/>
        <w:bidi w:val="0"/>
        <w:adjustRightInd/>
        <w:snapToGrid/>
        <w:spacing w:after="0" w:line="700" w:lineRule="exact"/>
        <w:ind w:left="221"/>
        <w:textAlignment w:val="auto"/>
        <w:rPr>
          <w:rFonts w:ascii="Times New Roman" w:eastAsia="仿宋_GB2312" w:hAnsi="Times New Roman" w:cs="仿宋_GB2312" w:hint="eastAsia"/>
          <w:sz w:val="30"/>
          <w:szCs w:val="30"/>
        </w:rPr>
      </w:pPr>
      <w:hyperlink w:anchor="_Toc32128" w:history="1">
        <w:r>
          <w:rPr>
            <w:rFonts w:ascii="Times New Roman" w:eastAsia="仿宋_GB2312" w:hAnsi="Times New Roman" w:cs="仿宋_GB2312" w:hint="eastAsia"/>
            <w:sz w:val="30"/>
            <w:szCs w:val="30"/>
          </w:rPr>
          <w:t>十二、国有资产占有使用情况说明</w:t>
        </w:r>
        <w:r>
          <w:rPr>
            <w:rFonts w:ascii="Times New Roman" w:eastAsia="仿宋_GB2312" w:hAnsi="Times New Roman" w:cs="仿宋_GB2312" w:hint="eastAsia"/>
            <w:sz w:val="30"/>
            <w:szCs w:val="30"/>
          </w:rPr>
          <w:tab/>
        </w:r>
        <w:r>
          <w:rPr>
            <w:rFonts w:ascii="Times New Roman" w:eastAsia="仿宋_GB2312" w:hAnsi="Times New Roman" w:cs="仿宋_GB2312" w:hint="eastAsia"/>
            <w:sz w:val="30"/>
            <w:szCs w:val="30"/>
          </w:rPr>
          <w:fldChar w:fldCharType="begin"/>
        </w:r>
        <w:r>
          <w:rPr>
            <w:rFonts w:ascii="Times New Roman" w:eastAsia="仿宋_GB2312" w:hAnsi="Times New Roman" w:cs="仿宋_GB2312" w:hint="eastAsia"/>
            <w:sz w:val="30"/>
            <w:szCs w:val="30"/>
          </w:rPr>
          <w:instrText xml:space="preserve"> PAGEREF _Toc32128 \h </w:instrText>
        </w:r>
        <w:r>
          <w:rPr>
            <w:rFonts w:ascii="Times New Roman" w:eastAsia="仿宋_GB2312" w:hAnsi="Times New Roman" w:cs="仿宋_GB2312" w:hint="eastAsia"/>
            <w:sz w:val="30"/>
            <w:szCs w:val="30"/>
          </w:rPr>
          <w:fldChar w:fldCharType="separate"/>
        </w:r>
        <w:r>
          <w:rPr>
            <w:rFonts w:ascii="Times New Roman" w:eastAsia="仿宋_GB2312" w:hAnsi="Times New Roman" w:cs="仿宋_GB2312" w:hint="eastAsia"/>
            <w:sz w:val="30"/>
            <w:szCs w:val="30"/>
          </w:rPr>
          <w:t>13</w:t>
        </w:r>
        <w:r>
          <w:rPr>
            <w:rFonts w:ascii="Times New Roman" w:eastAsia="仿宋_GB2312" w:hAnsi="Times New Roman" w:cs="仿宋_GB2312" w:hint="eastAsia"/>
            <w:sz w:val="30"/>
            <w:szCs w:val="30"/>
          </w:rPr>
          <w:fldChar w:fldCharType="end"/>
        </w:r>
      </w:hyperlink>
    </w:p>
    <w:p w14:paraId="7831AB7D">
      <w:pPr>
        <w:pStyle w:val="TOC2"/>
        <w:keepNext w:val="0"/>
        <w:keepLines w:val="0"/>
        <w:pageBreakBefore w:val="0"/>
        <w:widowControl/>
        <w:tabs>
          <w:tab w:val="right" w:leader="dot" w:pos="8306"/>
        </w:tabs>
        <w:kinsoku/>
        <w:wordWrap/>
        <w:overflowPunct/>
        <w:topLinePunct w:val="0"/>
        <w:autoSpaceDE/>
        <w:autoSpaceDN/>
        <w:bidi w:val="0"/>
        <w:adjustRightInd/>
        <w:snapToGrid/>
        <w:spacing w:after="0" w:line="700" w:lineRule="exact"/>
        <w:ind w:left="221"/>
        <w:textAlignment w:val="auto"/>
        <w:rPr>
          <w:rFonts w:ascii="Times New Roman" w:eastAsia="仿宋_GB2312" w:hAnsi="Times New Roman" w:cs="仿宋_GB2312" w:hint="eastAsia"/>
          <w:sz w:val="30"/>
          <w:szCs w:val="30"/>
        </w:rPr>
      </w:pPr>
      <w:hyperlink w:anchor="_Toc31889" w:history="1">
        <w:r>
          <w:rPr>
            <w:rFonts w:ascii="Times New Roman" w:eastAsia="仿宋_GB2312" w:hAnsi="Times New Roman" w:cs="仿宋_GB2312" w:hint="eastAsia"/>
            <w:sz w:val="30"/>
            <w:szCs w:val="30"/>
          </w:rPr>
          <w:t>十三、预算绩效情况说明</w:t>
        </w:r>
        <w:r>
          <w:rPr>
            <w:rFonts w:ascii="Times New Roman" w:eastAsia="仿宋_GB2312" w:hAnsi="Times New Roman" w:cs="仿宋_GB2312" w:hint="eastAsia"/>
            <w:sz w:val="30"/>
            <w:szCs w:val="30"/>
          </w:rPr>
          <w:tab/>
        </w:r>
        <w:r>
          <w:rPr>
            <w:rFonts w:ascii="Times New Roman" w:eastAsia="仿宋_GB2312" w:hAnsi="Times New Roman" w:cs="仿宋_GB2312" w:hint="eastAsia"/>
            <w:sz w:val="30"/>
            <w:szCs w:val="30"/>
          </w:rPr>
          <w:fldChar w:fldCharType="begin"/>
        </w:r>
        <w:r>
          <w:rPr>
            <w:rFonts w:ascii="Times New Roman" w:eastAsia="仿宋_GB2312" w:hAnsi="Times New Roman" w:cs="仿宋_GB2312" w:hint="eastAsia"/>
            <w:sz w:val="30"/>
            <w:szCs w:val="30"/>
          </w:rPr>
          <w:instrText xml:space="preserve"> PAGEREF _Toc31889 \h </w:instrText>
        </w:r>
        <w:r>
          <w:rPr>
            <w:rFonts w:ascii="Times New Roman" w:eastAsia="仿宋_GB2312" w:hAnsi="Times New Roman" w:cs="仿宋_GB2312" w:hint="eastAsia"/>
            <w:sz w:val="30"/>
            <w:szCs w:val="30"/>
          </w:rPr>
          <w:fldChar w:fldCharType="separate"/>
        </w:r>
        <w:r>
          <w:rPr>
            <w:rFonts w:ascii="Times New Roman" w:eastAsia="仿宋_GB2312" w:hAnsi="Times New Roman" w:cs="仿宋_GB2312" w:hint="eastAsia"/>
            <w:sz w:val="30"/>
            <w:szCs w:val="30"/>
          </w:rPr>
          <w:t>14</w:t>
        </w:r>
        <w:r>
          <w:rPr>
            <w:rFonts w:ascii="Times New Roman" w:eastAsia="仿宋_GB2312" w:hAnsi="Times New Roman" w:cs="仿宋_GB2312" w:hint="eastAsia"/>
            <w:sz w:val="30"/>
            <w:szCs w:val="30"/>
          </w:rPr>
          <w:fldChar w:fldCharType="end"/>
        </w:r>
      </w:hyperlink>
    </w:p>
    <w:p w14:paraId="1EBFC414">
      <w:pPr>
        <w:pStyle w:val="TOC2"/>
        <w:keepNext w:val="0"/>
        <w:keepLines w:val="0"/>
        <w:pageBreakBefore w:val="0"/>
        <w:widowControl/>
        <w:tabs>
          <w:tab w:val="right" w:leader="dot" w:pos="8306"/>
        </w:tabs>
        <w:kinsoku/>
        <w:wordWrap/>
        <w:overflowPunct/>
        <w:topLinePunct w:val="0"/>
        <w:autoSpaceDE/>
        <w:autoSpaceDN/>
        <w:bidi w:val="0"/>
        <w:adjustRightInd/>
        <w:snapToGrid/>
        <w:spacing w:after="0" w:line="700" w:lineRule="exact"/>
        <w:ind w:left="221"/>
        <w:textAlignment w:val="auto"/>
        <w:rPr>
          <w:rFonts w:ascii="Times New Roman" w:eastAsia="仿宋_GB2312" w:hAnsi="Times New Roman" w:cs="仿宋_GB2312" w:hint="eastAsia"/>
          <w:bCs w:val="0"/>
          <w:sz w:val="30"/>
          <w:szCs w:val="30"/>
        </w:rPr>
      </w:pPr>
      <w:hyperlink w:anchor="_Toc6543" w:history="1">
        <w:r>
          <w:rPr>
            <w:rFonts w:ascii="Times New Roman" w:eastAsia="仿宋_GB2312" w:hAnsi="Times New Roman" w:cs="仿宋_GB2312" w:hint="eastAsia"/>
            <w:sz w:val="30"/>
            <w:szCs w:val="30"/>
          </w:rPr>
          <w:t>十四、教育、医疗卫生、社会保障和就业、住房保障、涉农补贴等民生支出情况说明</w:t>
        </w:r>
        <w:r>
          <w:rPr>
            <w:rFonts w:ascii="Times New Roman" w:eastAsia="仿宋_GB2312" w:hAnsi="Times New Roman" w:cs="仿宋_GB2312" w:hint="eastAsia"/>
            <w:sz w:val="30"/>
            <w:szCs w:val="30"/>
          </w:rPr>
          <w:tab/>
        </w:r>
        <w:r>
          <w:rPr>
            <w:rFonts w:ascii="Times New Roman" w:eastAsia="仿宋_GB2312" w:hAnsi="Times New Roman" w:cs="仿宋_GB2312" w:hint="eastAsia"/>
            <w:sz w:val="30"/>
            <w:szCs w:val="30"/>
          </w:rPr>
          <w:fldChar w:fldCharType="begin"/>
        </w:r>
        <w:r>
          <w:rPr>
            <w:rFonts w:ascii="Times New Roman" w:eastAsia="仿宋_GB2312" w:hAnsi="Times New Roman" w:cs="仿宋_GB2312" w:hint="eastAsia"/>
            <w:sz w:val="30"/>
            <w:szCs w:val="30"/>
          </w:rPr>
          <w:instrText xml:space="preserve"> PAGEREF _Toc6543 \h </w:instrText>
        </w:r>
        <w:r>
          <w:rPr>
            <w:rFonts w:ascii="Times New Roman" w:eastAsia="仿宋_GB2312" w:hAnsi="Times New Roman" w:cs="仿宋_GB2312" w:hint="eastAsia"/>
            <w:sz w:val="30"/>
            <w:szCs w:val="30"/>
          </w:rPr>
          <w:fldChar w:fldCharType="separate"/>
        </w:r>
        <w:r>
          <w:rPr>
            <w:rFonts w:ascii="Times New Roman" w:eastAsia="仿宋_GB2312" w:hAnsi="Times New Roman" w:cs="仿宋_GB2312" w:hint="eastAsia"/>
            <w:sz w:val="30"/>
            <w:szCs w:val="30"/>
          </w:rPr>
          <w:t>14</w:t>
        </w:r>
        <w:r>
          <w:rPr>
            <w:rFonts w:ascii="Times New Roman" w:eastAsia="仿宋_GB2312" w:hAnsi="Times New Roman" w:cs="仿宋_GB2312" w:hint="eastAsia"/>
            <w:sz w:val="30"/>
            <w:szCs w:val="30"/>
          </w:rPr>
          <w:fldChar w:fldCharType="end"/>
        </w:r>
      </w:hyperlink>
    </w:p>
    <w:p w14:paraId="753340AD">
      <w:pPr>
        <w:pStyle w:val="TOC1"/>
        <w:keepNext w:val="0"/>
        <w:keepLines w:val="0"/>
        <w:pageBreakBefore w:val="0"/>
        <w:widowControl/>
        <w:tabs>
          <w:tab w:val="clear" w:pos="8296"/>
          <w:tab w:val="right" w:leader="dot" w:pos="8306"/>
        </w:tabs>
        <w:kinsoku/>
        <w:wordWrap/>
        <w:overflowPunct/>
        <w:topLinePunct w:val="0"/>
        <w:autoSpaceDE/>
        <w:autoSpaceDN/>
        <w:bidi w:val="0"/>
        <w:adjustRightInd/>
        <w:snapToGrid/>
        <w:spacing w:after="0" w:line="700" w:lineRule="exact"/>
        <w:textAlignment w:val="auto"/>
        <w:rPr>
          <w:rFonts w:ascii="Times New Roman" w:eastAsia="方正小标宋简体" w:hAnsi="Times New Roman" w:cs="方正小标宋简体" w:hint="eastAsia"/>
          <w:sz w:val="30"/>
          <w:szCs w:val="30"/>
        </w:rPr>
      </w:pPr>
      <w:hyperlink w:anchor="_Toc24691" w:history="1">
        <w:r>
          <w:rPr>
            <w:rFonts w:ascii="Times New Roman" w:eastAsia="方正小标宋简体" w:hAnsi="Times New Roman" w:cs="方正小标宋简体" w:hint="eastAsia"/>
            <w:sz w:val="30"/>
            <w:szCs w:val="30"/>
          </w:rPr>
          <w:t>第四部分  名词解释</w:t>
        </w:r>
        <w:r>
          <w:rPr>
            <w:rFonts w:ascii="Times New Roman" w:eastAsia="方正小标宋简体" w:hAnsi="Times New Roman" w:cs="方正小标宋简体" w:hint="eastAsia"/>
            <w:sz w:val="30"/>
            <w:szCs w:val="30"/>
          </w:rPr>
          <w:tab/>
        </w:r>
        <w:r>
          <w:rPr>
            <w:rFonts w:ascii="Times New Roman" w:eastAsia="方正小标宋简体" w:hAnsi="Times New Roman" w:cs="方正小标宋简体" w:hint="eastAsia"/>
            <w:sz w:val="30"/>
            <w:szCs w:val="30"/>
          </w:rPr>
          <w:fldChar w:fldCharType="begin"/>
        </w:r>
        <w:r>
          <w:rPr>
            <w:rFonts w:ascii="Times New Roman" w:eastAsia="方正小标宋简体" w:hAnsi="Times New Roman" w:cs="方正小标宋简体" w:hint="eastAsia"/>
            <w:sz w:val="30"/>
            <w:szCs w:val="30"/>
          </w:rPr>
          <w:instrText xml:space="preserve"> PAGEREF _Toc24691 \h </w:instrText>
        </w:r>
        <w:r>
          <w:rPr>
            <w:rFonts w:ascii="Times New Roman" w:eastAsia="方正小标宋简体" w:hAnsi="Times New Roman" w:cs="方正小标宋简体" w:hint="eastAsia"/>
            <w:sz w:val="30"/>
            <w:szCs w:val="30"/>
          </w:rPr>
          <w:fldChar w:fldCharType="separate"/>
        </w:r>
        <w:r>
          <w:rPr>
            <w:rFonts w:ascii="Times New Roman" w:eastAsia="方正小标宋简体" w:hAnsi="Times New Roman" w:cs="方正小标宋简体" w:hint="eastAsia"/>
            <w:sz w:val="30"/>
            <w:szCs w:val="30"/>
          </w:rPr>
          <w:t>15</w:t>
        </w:r>
        <w:r>
          <w:rPr>
            <w:rFonts w:ascii="Times New Roman" w:eastAsia="方正小标宋简体" w:hAnsi="Times New Roman" w:cs="方正小标宋简体" w:hint="eastAsia"/>
            <w:sz w:val="30"/>
            <w:szCs w:val="30"/>
          </w:rPr>
          <w:fldChar w:fldCharType="end"/>
        </w:r>
      </w:hyperlink>
    </w:p>
    <w:p w14:paraId="50AE1AC7">
      <w:pPr>
        <w:pStyle w:val="TOC2"/>
        <w:keepNext w:val="0"/>
        <w:keepLines w:val="0"/>
        <w:pageBreakBefore w:val="0"/>
        <w:widowControl/>
        <w:tabs>
          <w:tab w:val="right" w:leader="dot" w:pos="8296"/>
        </w:tabs>
        <w:kinsoku/>
        <w:wordWrap/>
        <w:overflowPunct/>
        <w:topLinePunct w:val="0"/>
        <w:autoSpaceDE/>
        <w:autoSpaceDN/>
        <w:bidi w:val="0"/>
        <w:adjustRightInd/>
        <w:snapToGrid/>
        <w:spacing w:after="0" w:line="700" w:lineRule="exact"/>
        <w:textAlignment w:val="auto"/>
        <w:rPr>
          <w:rFonts w:ascii="Times New Roman" w:eastAsia="仿宋_GB2312" w:hAnsi="Times New Roman"/>
          <w:sz w:val="32"/>
          <w:szCs w:val="32"/>
        </w:rPr>
        <w:sectPr>
          <w:footerReference w:type="default" r:id="rId5"/>
          <w:pgSz w:w="11906" w:h="16838"/>
          <w:pgMar w:top="1440" w:right="1800" w:bottom="1440" w:left="1800" w:header="851" w:footer="992" w:gutter="0"/>
          <w:pgNumType w:start="1"/>
          <w:cols w:num="1" w:space="720"/>
          <w:docGrid w:type="lines" w:linePitch="312" w:charSpace="0"/>
        </w:sectPr>
      </w:pPr>
      <w:r>
        <w:rPr>
          <w:rFonts w:ascii="Times New Roman" w:eastAsia="仿宋_GB2312" w:hAnsi="Times New Roman"/>
          <w:szCs w:val="30"/>
        </w:rPr>
        <w:fldChar w:fldCharType="end"/>
      </w:r>
    </w:p>
    <w:p w14:paraId="42462793">
      <w:pPr>
        <w:rPr>
          <w:rFonts w:ascii="Times New Roman" w:hAnsi="Times New Roman"/>
        </w:rPr>
      </w:pPr>
    </w:p>
    <w:p w14:paraId="1868FFBB">
      <w:pPr>
        <w:pStyle w:val="Heading1"/>
        <w:spacing w:before="0" w:after="0" w:line="600" w:lineRule="exact"/>
        <w:jc w:val="center"/>
        <w:rPr>
          <w:rFonts w:ascii="Times New Roman" w:eastAsia="方正小标宋简体" w:hAnsi="Times New Roman" w:cs="方正小标宋简体"/>
          <w:b w:val="0"/>
          <w:sz w:val="48"/>
          <w:szCs w:val="48"/>
        </w:rPr>
      </w:pPr>
    </w:p>
    <w:p w14:paraId="0F276DCC">
      <w:pPr>
        <w:pStyle w:val="Heading1"/>
        <w:spacing w:before="0" w:after="0" w:line="600" w:lineRule="exact"/>
        <w:jc w:val="center"/>
        <w:rPr>
          <w:rFonts w:ascii="Times New Roman" w:eastAsia="方正小标宋简体" w:hAnsi="Times New Roman" w:cs="方正小标宋简体"/>
          <w:b w:val="0"/>
        </w:rPr>
      </w:pPr>
      <w:bookmarkStart w:id="1" w:name="_Toc15895"/>
      <w:r>
        <w:rPr>
          <w:rFonts w:ascii="Times New Roman" w:eastAsia="方正小标宋简体" w:hAnsi="Times New Roman" w:cs="方正小标宋简体" w:hint="eastAsia"/>
          <w:b w:val="0"/>
        </w:rPr>
        <w:t>第一部分  概 况</w:t>
      </w:r>
      <w:bookmarkEnd w:id="1"/>
    </w:p>
    <w:p w14:paraId="76ABDBCF">
      <w:pPr>
        <w:spacing w:line="600" w:lineRule="exact"/>
        <w:rPr>
          <w:rFonts w:ascii="Times New Roman" w:hAnsi="Times New Roman"/>
        </w:rPr>
      </w:pPr>
    </w:p>
    <w:p w14:paraId="3A1C96F3">
      <w:pPr>
        <w:pStyle w:val="Heading2"/>
        <w:spacing w:before="0" w:after="0" w:line="600" w:lineRule="exact"/>
        <w:ind w:firstLine="600" w:firstLineChars="200"/>
        <w:rPr>
          <w:rFonts w:ascii="Times New Roman" w:eastAsia="黑体" w:hAnsi="Times New Roman"/>
          <w:b w:val="0"/>
          <w:bCs w:val="0"/>
          <w:sz w:val="30"/>
          <w:szCs w:val="30"/>
        </w:rPr>
      </w:pPr>
      <w:bookmarkStart w:id="2" w:name="_Toc28346"/>
      <w:r>
        <w:rPr>
          <w:rFonts w:ascii="Times New Roman" w:eastAsia="黑体" w:hAnsi="Times New Roman" w:hint="eastAsia"/>
          <w:b w:val="0"/>
          <w:bCs w:val="0"/>
          <w:sz w:val="30"/>
          <w:szCs w:val="30"/>
        </w:rPr>
        <w:t>一、主要职责</w:t>
      </w:r>
      <w:bookmarkEnd w:id="2"/>
    </w:p>
    <w:p w14:paraId="75D7C0C4">
      <w:pPr>
        <w:spacing w:line="600" w:lineRule="exact"/>
        <w:ind w:firstLine="600" w:firstLineChars="200"/>
        <w:jc w:val="both"/>
        <w:rPr>
          <w:rFonts w:ascii="Times New Roman" w:eastAsia="仿宋_GB2312" w:hAnsi="Times New Roman"/>
          <w:sz w:val="30"/>
          <w:szCs w:val="30"/>
        </w:rPr>
      </w:pPr>
      <w:r>
        <w:rPr>
          <w:rFonts w:ascii="Times New Roman" w:eastAsia="仿宋_GB2312" w:hAnsi="Times New Roman" w:hint="eastAsia"/>
          <w:sz w:val="30"/>
          <w:szCs w:val="30"/>
        </w:rPr>
        <w:t>负责市场综合监督管理；负责本区市场主体统一登记注册；负责组织本区市场监管综合执法工作；负责本区反垄断执法；负责监督管理市场秩序；负责产品质量安全监督管理；负责特种设备监督管理；负责食品安全监督管理综合协调；负责食品安全监督管理；负责统一管理计量工作；负责统一管理标准化工作；负责本区检验检测机构监督管理工作；负责管理、监督本区认证认可工作；负责本区药品零售、医疗器械经营的许可、检查和处罚，以及化妆品经营和药品、医疗器械使用环节质量的检查和处罚；负责执行国家和本市有关商标、专利、原产地地理标志、集成电路布图设计等知识产权方面的法律法规、政府规章草案、知识产权战略和发展规划，负责知识产权的保护、运用；负责开展市场监督管理的科技发展和信息化建设；负责本区市场监督管理相关的新闻宣传、教育培训和信息发布工作；负责本领域安全生产监督管理工作；配合有关部门推动招商引资工作；负责市场监管体系人才队伍建设工作；完成区委、区政府交办的其他任务。</w:t>
      </w:r>
    </w:p>
    <w:p w14:paraId="710B0CE5">
      <w:pPr>
        <w:pStyle w:val="Heading2"/>
        <w:spacing w:before="0" w:after="0" w:line="600" w:lineRule="exact"/>
        <w:ind w:firstLine="600" w:firstLineChars="200"/>
        <w:rPr>
          <w:rFonts w:ascii="Times New Roman" w:eastAsia="黑体" w:hAnsi="Times New Roman"/>
          <w:b w:val="0"/>
          <w:bCs w:val="0"/>
          <w:sz w:val="30"/>
          <w:szCs w:val="30"/>
        </w:rPr>
      </w:pPr>
      <w:bookmarkStart w:id="3" w:name="_Toc25737"/>
      <w:r>
        <w:rPr>
          <w:rFonts w:ascii="Times New Roman" w:eastAsia="黑体" w:hAnsi="Times New Roman" w:hint="eastAsia"/>
          <w:b w:val="0"/>
          <w:bCs w:val="0"/>
          <w:sz w:val="30"/>
          <w:szCs w:val="30"/>
        </w:rPr>
        <w:t>二、机构设置</w:t>
      </w:r>
      <w:bookmarkEnd w:id="3"/>
    </w:p>
    <w:p w14:paraId="4FFAAA65">
      <w:pPr>
        <w:spacing w:line="600" w:lineRule="exact"/>
        <w:ind w:firstLine="600" w:firstLineChars="200"/>
        <w:rPr>
          <w:rFonts w:ascii="Times New Roman" w:eastAsia="楷体_GB2312" w:hAnsi="Times New Roman"/>
          <w:b/>
          <w:sz w:val="30"/>
          <w:szCs w:val="30"/>
        </w:rPr>
      </w:pPr>
      <w:r>
        <w:rPr>
          <w:rFonts w:ascii="Times New Roman" w:eastAsia="仿宋_GB2312" w:hAnsi="Times New Roman" w:hint="eastAsia"/>
          <w:sz w:val="30"/>
          <w:szCs w:val="30"/>
        </w:rPr>
        <w:t xml:space="preserve">天津市津南区市场监督管理局（本级）内设21个职能科室。 </w:t>
      </w:r>
      <w:r>
        <w:rPr>
          <w:rFonts w:ascii="Times New Roman" w:eastAsia="楷体_GB2312" w:hAnsi="Times New Roman"/>
          <w:b/>
          <w:sz w:val="30"/>
          <w:szCs w:val="30"/>
        </w:rPr>
        <w:br w:type="page"/>
      </w:r>
    </w:p>
    <w:p w14:paraId="5E67D29C">
      <w:pPr>
        <w:pStyle w:val="Heading1"/>
        <w:spacing w:before="0" w:after="0" w:line="600" w:lineRule="exact"/>
        <w:jc w:val="center"/>
        <w:rPr>
          <w:rFonts w:ascii="Times New Roman" w:eastAsia="方正小标宋简体" w:hAnsi="Times New Roman" w:cs="方正小标宋简体"/>
          <w:b w:val="0"/>
        </w:rPr>
      </w:pPr>
      <w:bookmarkStart w:id="4" w:name="_Toc25448"/>
      <w:r>
        <w:rPr>
          <w:rFonts w:ascii="Times New Roman" w:eastAsia="方正小标宋简体" w:hAnsi="Times New Roman" w:cs="方正小标宋简体"/>
          <w:b w:val="0"/>
        </w:rPr>
        <w:t>第</w:t>
      </w:r>
      <w:r>
        <w:rPr>
          <w:rFonts w:ascii="Times New Roman" w:eastAsia="方正小标宋简体" w:hAnsi="Times New Roman" w:cs="方正小标宋简体" w:hint="eastAsia"/>
          <w:b w:val="0"/>
        </w:rPr>
        <w:t>二</w:t>
      </w:r>
      <w:r>
        <w:rPr>
          <w:rFonts w:ascii="Times New Roman" w:eastAsia="方正小标宋简体" w:hAnsi="Times New Roman" w:cs="方正小标宋简体"/>
          <w:b w:val="0"/>
        </w:rPr>
        <w:t xml:space="preserve">部分  </w:t>
      </w:r>
      <w:r>
        <w:rPr>
          <w:rFonts w:ascii="Times New Roman" w:eastAsia="方正小标宋简体" w:hAnsi="Times New Roman" w:cs="方正小标宋简体" w:hint="eastAsia"/>
          <w:b w:val="0"/>
        </w:rPr>
        <w:t>2024</w:t>
      </w:r>
      <w:r>
        <w:rPr>
          <w:rFonts w:ascii="Times New Roman" w:eastAsia="方正小标宋简体" w:hAnsi="Times New Roman" w:cs="方正小标宋简体"/>
          <w:b w:val="0"/>
        </w:rPr>
        <w:t>年度部门决算</w:t>
      </w:r>
      <w:r>
        <w:rPr>
          <w:rFonts w:ascii="Times New Roman" w:eastAsia="方正小标宋简体" w:hAnsi="Times New Roman" w:cs="方正小标宋简体" w:hint="eastAsia"/>
          <w:b w:val="0"/>
        </w:rPr>
        <w:t>表</w:t>
      </w:r>
      <w:bookmarkEnd w:id="4"/>
    </w:p>
    <w:p w14:paraId="5007966B">
      <w:pPr>
        <w:spacing w:line="600" w:lineRule="exact"/>
        <w:rPr>
          <w:rFonts w:ascii="Times New Roman" w:hAnsi="Times New Roman"/>
        </w:rPr>
      </w:pPr>
    </w:p>
    <w:p w14:paraId="4E22685A">
      <w:pPr>
        <w:pStyle w:val="Heading2"/>
        <w:spacing w:before="0" w:after="0" w:line="800" w:lineRule="exact"/>
        <w:ind w:firstLine="600" w:firstLineChars="200"/>
        <w:rPr>
          <w:rFonts w:ascii="Times New Roman" w:eastAsia="黑体" w:hAnsi="Times New Roman"/>
          <w:b w:val="0"/>
          <w:sz w:val="30"/>
          <w:szCs w:val="30"/>
        </w:rPr>
      </w:pPr>
      <w:bookmarkStart w:id="5" w:name="_Toc8089"/>
      <w:r>
        <w:rPr>
          <w:rFonts w:ascii="Times New Roman" w:eastAsia="黑体" w:hAnsi="Times New Roman"/>
          <w:b w:val="0"/>
          <w:sz w:val="30"/>
          <w:szCs w:val="30"/>
        </w:rPr>
        <w:t>一</w:t>
      </w:r>
      <w:r>
        <w:rPr>
          <w:rFonts w:ascii="Times New Roman" w:eastAsia="黑体" w:hAnsi="Times New Roman" w:hint="eastAsia"/>
          <w:b w:val="0"/>
          <w:sz w:val="30"/>
          <w:szCs w:val="30"/>
        </w:rPr>
        <w:t>、</w:t>
      </w:r>
      <w:r>
        <w:rPr>
          <w:rFonts w:ascii="Times New Roman" w:eastAsia="黑体" w:hAnsi="Times New Roman"/>
          <w:b w:val="0"/>
          <w:sz w:val="30"/>
          <w:szCs w:val="30"/>
        </w:rPr>
        <w:t>《</w:t>
      </w:r>
      <w:r>
        <w:rPr>
          <w:rFonts w:ascii="Times New Roman" w:eastAsia="黑体" w:hAnsi="Times New Roman" w:hint="eastAsia"/>
          <w:b w:val="0"/>
          <w:sz w:val="30"/>
          <w:szCs w:val="30"/>
        </w:rPr>
        <w:t>收入</w:t>
      </w:r>
      <w:r>
        <w:rPr>
          <w:rFonts w:ascii="Times New Roman" w:eastAsia="黑体" w:hAnsi="Times New Roman"/>
          <w:b w:val="0"/>
          <w:sz w:val="30"/>
          <w:szCs w:val="30"/>
        </w:rPr>
        <w:t>支出</w:t>
      </w:r>
      <w:r>
        <w:rPr>
          <w:rFonts w:ascii="Times New Roman" w:eastAsia="黑体" w:hAnsi="Times New Roman" w:hint="eastAsia"/>
          <w:b w:val="0"/>
          <w:sz w:val="30"/>
          <w:szCs w:val="30"/>
        </w:rPr>
        <w:t>决算总</w:t>
      </w:r>
      <w:r>
        <w:rPr>
          <w:rFonts w:ascii="Times New Roman" w:eastAsia="黑体" w:hAnsi="Times New Roman"/>
          <w:b w:val="0"/>
          <w:sz w:val="30"/>
          <w:szCs w:val="30"/>
        </w:rPr>
        <w:t>表》</w:t>
      </w:r>
      <w:bookmarkEnd w:id="5"/>
    </w:p>
    <w:p w14:paraId="190A2A9A">
      <w:pPr>
        <w:pStyle w:val="Heading2"/>
        <w:spacing w:before="0" w:after="0" w:line="800" w:lineRule="exact"/>
        <w:ind w:firstLine="600" w:firstLineChars="200"/>
        <w:rPr>
          <w:rFonts w:ascii="Times New Roman" w:eastAsia="黑体" w:hAnsi="Times New Roman"/>
          <w:b w:val="0"/>
          <w:sz w:val="30"/>
          <w:szCs w:val="30"/>
        </w:rPr>
      </w:pPr>
      <w:bookmarkStart w:id="6" w:name="_Toc29574"/>
      <w:r>
        <w:rPr>
          <w:rFonts w:ascii="Times New Roman" w:eastAsia="黑体" w:hAnsi="Times New Roman"/>
          <w:b w:val="0"/>
          <w:sz w:val="30"/>
          <w:szCs w:val="30"/>
        </w:rPr>
        <w:t>二、《收入</w:t>
      </w:r>
      <w:r>
        <w:rPr>
          <w:rFonts w:ascii="Times New Roman" w:eastAsia="黑体" w:hAnsi="Times New Roman" w:hint="eastAsia"/>
          <w:b w:val="0"/>
          <w:sz w:val="30"/>
          <w:szCs w:val="30"/>
        </w:rPr>
        <w:t>决算</w:t>
      </w:r>
      <w:r>
        <w:rPr>
          <w:rFonts w:ascii="Times New Roman" w:eastAsia="黑体" w:hAnsi="Times New Roman"/>
          <w:b w:val="0"/>
          <w:sz w:val="30"/>
          <w:szCs w:val="30"/>
        </w:rPr>
        <w:t>表</w:t>
      </w:r>
      <w:r>
        <w:rPr>
          <w:rFonts w:ascii="Times New Roman" w:eastAsia="黑体" w:hAnsi="Times New Roman" w:hint="eastAsia"/>
          <w:b w:val="0"/>
          <w:sz w:val="30"/>
          <w:szCs w:val="30"/>
        </w:rPr>
        <w:t>（按功能分类列示）</w:t>
      </w:r>
      <w:r>
        <w:rPr>
          <w:rFonts w:ascii="Times New Roman" w:eastAsia="黑体" w:hAnsi="Times New Roman"/>
          <w:b w:val="0"/>
          <w:sz w:val="30"/>
          <w:szCs w:val="30"/>
        </w:rPr>
        <w:t>》</w:t>
      </w:r>
      <w:bookmarkEnd w:id="6"/>
    </w:p>
    <w:p w14:paraId="36110A9F">
      <w:pPr>
        <w:pStyle w:val="Heading2"/>
        <w:spacing w:before="0" w:after="0" w:line="800" w:lineRule="exact"/>
        <w:ind w:firstLine="600" w:firstLineChars="200"/>
        <w:rPr>
          <w:rFonts w:ascii="Times New Roman" w:eastAsia="黑体" w:hAnsi="Times New Roman"/>
          <w:b w:val="0"/>
          <w:sz w:val="30"/>
          <w:szCs w:val="30"/>
        </w:rPr>
      </w:pPr>
      <w:bookmarkStart w:id="7" w:name="_Toc1392"/>
      <w:r>
        <w:rPr>
          <w:rFonts w:ascii="Times New Roman" w:eastAsia="黑体" w:hAnsi="Times New Roman" w:hint="eastAsia"/>
          <w:b w:val="0"/>
          <w:sz w:val="30"/>
          <w:szCs w:val="30"/>
        </w:rPr>
        <w:t>三</w:t>
      </w:r>
      <w:r>
        <w:rPr>
          <w:rFonts w:ascii="Times New Roman" w:eastAsia="黑体" w:hAnsi="Times New Roman"/>
          <w:b w:val="0"/>
          <w:sz w:val="30"/>
          <w:szCs w:val="30"/>
        </w:rPr>
        <w:t>、《收入</w:t>
      </w:r>
      <w:r>
        <w:rPr>
          <w:rFonts w:ascii="Times New Roman" w:eastAsia="黑体" w:hAnsi="Times New Roman" w:hint="eastAsia"/>
          <w:b w:val="0"/>
          <w:sz w:val="30"/>
          <w:szCs w:val="30"/>
        </w:rPr>
        <w:t>决算</w:t>
      </w:r>
      <w:r>
        <w:rPr>
          <w:rFonts w:ascii="Times New Roman" w:eastAsia="黑体" w:hAnsi="Times New Roman"/>
          <w:b w:val="0"/>
          <w:sz w:val="30"/>
          <w:szCs w:val="30"/>
        </w:rPr>
        <w:t>表</w:t>
      </w:r>
      <w:r>
        <w:rPr>
          <w:rFonts w:ascii="Times New Roman" w:eastAsia="黑体" w:hAnsi="Times New Roman" w:hint="eastAsia"/>
          <w:b w:val="0"/>
          <w:sz w:val="30"/>
          <w:szCs w:val="30"/>
        </w:rPr>
        <w:t>（按单位列示）</w:t>
      </w:r>
      <w:r>
        <w:rPr>
          <w:rFonts w:ascii="Times New Roman" w:eastAsia="黑体" w:hAnsi="Times New Roman"/>
          <w:b w:val="0"/>
          <w:sz w:val="30"/>
          <w:szCs w:val="30"/>
        </w:rPr>
        <w:t>》</w:t>
      </w:r>
      <w:bookmarkEnd w:id="7"/>
    </w:p>
    <w:p w14:paraId="46D143D6">
      <w:pPr>
        <w:pStyle w:val="Heading2"/>
        <w:spacing w:before="0" w:after="0" w:line="800" w:lineRule="exact"/>
        <w:ind w:firstLine="600" w:firstLineChars="200"/>
        <w:rPr>
          <w:rFonts w:ascii="Times New Roman" w:eastAsia="黑体" w:hAnsi="Times New Roman"/>
          <w:b w:val="0"/>
          <w:sz w:val="30"/>
          <w:szCs w:val="30"/>
        </w:rPr>
      </w:pPr>
      <w:bookmarkStart w:id="8" w:name="_Toc28946"/>
      <w:r>
        <w:rPr>
          <w:rFonts w:ascii="Times New Roman" w:eastAsia="黑体" w:hAnsi="Times New Roman" w:hint="eastAsia"/>
          <w:b w:val="0"/>
          <w:sz w:val="30"/>
          <w:szCs w:val="30"/>
        </w:rPr>
        <w:t>四、</w:t>
      </w:r>
      <w:r>
        <w:rPr>
          <w:rFonts w:ascii="Times New Roman" w:eastAsia="黑体" w:hAnsi="Times New Roman"/>
          <w:b w:val="0"/>
          <w:sz w:val="30"/>
          <w:szCs w:val="30"/>
        </w:rPr>
        <w:t>《支出</w:t>
      </w:r>
      <w:r>
        <w:rPr>
          <w:rFonts w:ascii="Times New Roman" w:eastAsia="黑体" w:hAnsi="Times New Roman" w:hint="eastAsia"/>
          <w:b w:val="0"/>
          <w:sz w:val="30"/>
          <w:szCs w:val="30"/>
        </w:rPr>
        <w:t>决算</w:t>
      </w:r>
      <w:r>
        <w:rPr>
          <w:rFonts w:ascii="Times New Roman" w:eastAsia="黑体" w:hAnsi="Times New Roman"/>
          <w:b w:val="0"/>
          <w:sz w:val="30"/>
          <w:szCs w:val="30"/>
        </w:rPr>
        <w:t>表》</w:t>
      </w:r>
      <w:bookmarkEnd w:id="8"/>
    </w:p>
    <w:p w14:paraId="65244CEB">
      <w:pPr>
        <w:pStyle w:val="Heading2"/>
        <w:spacing w:before="0" w:after="0" w:line="800" w:lineRule="exact"/>
        <w:ind w:firstLine="600" w:firstLineChars="200"/>
        <w:rPr>
          <w:rFonts w:ascii="Times New Roman" w:eastAsia="黑体" w:hAnsi="Times New Roman"/>
          <w:b w:val="0"/>
          <w:sz w:val="30"/>
          <w:szCs w:val="30"/>
        </w:rPr>
      </w:pPr>
      <w:bookmarkStart w:id="9" w:name="_Toc10939"/>
      <w:r>
        <w:rPr>
          <w:rFonts w:ascii="Times New Roman" w:eastAsia="黑体" w:hAnsi="Times New Roman"/>
          <w:b w:val="0"/>
          <w:sz w:val="30"/>
          <w:szCs w:val="30"/>
        </w:rPr>
        <w:t>五</w:t>
      </w:r>
      <w:r>
        <w:rPr>
          <w:rFonts w:ascii="Times New Roman" w:eastAsia="黑体" w:hAnsi="Times New Roman" w:hint="eastAsia"/>
          <w:b w:val="0"/>
          <w:sz w:val="30"/>
          <w:szCs w:val="30"/>
        </w:rPr>
        <w:t>、</w:t>
      </w:r>
      <w:r>
        <w:rPr>
          <w:rFonts w:ascii="Times New Roman" w:eastAsia="黑体" w:hAnsi="Times New Roman"/>
          <w:b w:val="0"/>
          <w:sz w:val="30"/>
          <w:szCs w:val="30"/>
        </w:rPr>
        <w:t>《财政拨款</w:t>
      </w:r>
      <w:r>
        <w:rPr>
          <w:rFonts w:ascii="Times New Roman" w:eastAsia="黑体" w:hAnsi="Times New Roman" w:hint="eastAsia"/>
          <w:b w:val="0"/>
          <w:sz w:val="30"/>
          <w:szCs w:val="30"/>
        </w:rPr>
        <w:t>收入</w:t>
      </w:r>
      <w:r>
        <w:rPr>
          <w:rFonts w:ascii="Times New Roman" w:eastAsia="黑体" w:hAnsi="Times New Roman"/>
          <w:b w:val="0"/>
          <w:sz w:val="30"/>
          <w:szCs w:val="30"/>
        </w:rPr>
        <w:t>支出</w:t>
      </w:r>
      <w:r>
        <w:rPr>
          <w:rFonts w:ascii="Times New Roman" w:eastAsia="黑体" w:hAnsi="Times New Roman" w:hint="eastAsia"/>
          <w:b w:val="0"/>
          <w:sz w:val="30"/>
          <w:szCs w:val="30"/>
        </w:rPr>
        <w:t>决算总</w:t>
      </w:r>
      <w:r>
        <w:rPr>
          <w:rFonts w:ascii="Times New Roman" w:eastAsia="黑体" w:hAnsi="Times New Roman"/>
          <w:b w:val="0"/>
          <w:sz w:val="30"/>
          <w:szCs w:val="30"/>
        </w:rPr>
        <w:t>表》</w:t>
      </w:r>
      <w:bookmarkEnd w:id="9"/>
    </w:p>
    <w:p w14:paraId="3CA7CDF4">
      <w:pPr>
        <w:pStyle w:val="Heading2"/>
        <w:spacing w:before="0" w:after="0" w:line="800" w:lineRule="exact"/>
        <w:ind w:firstLine="600" w:firstLineChars="200"/>
        <w:rPr>
          <w:rFonts w:ascii="Times New Roman" w:eastAsia="黑体" w:hAnsi="Times New Roman"/>
          <w:b w:val="0"/>
          <w:sz w:val="30"/>
          <w:szCs w:val="30"/>
        </w:rPr>
      </w:pPr>
      <w:bookmarkStart w:id="10" w:name="_Toc9732"/>
      <w:r>
        <w:rPr>
          <w:rFonts w:ascii="Times New Roman" w:eastAsia="黑体" w:hAnsi="Times New Roman"/>
          <w:b w:val="0"/>
          <w:sz w:val="30"/>
          <w:szCs w:val="30"/>
        </w:rPr>
        <w:t>六</w:t>
      </w:r>
      <w:r>
        <w:rPr>
          <w:rFonts w:ascii="Times New Roman" w:eastAsia="黑体" w:hAnsi="Times New Roman" w:hint="eastAsia"/>
          <w:b w:val="0"/>
          <w:sz w:val="30"/>
          <w:szCs w:val="30"/>
        </w:rPr>
        <w:t>、</w:t>
      </w:r>
      <w:r>
        <w:rPr>
          <w:rFonts w:ascii="Times New Roman" w:eastAsia="黑体" w:hAnsi="Times New Roman"/>
          <w:b w:val="0"/>
          <w:sz w:val="30"/>
          <w:szCs w:val="30"/>
        </w:rPr>
        <w:t>《一般公共预算财政拨款支出</w:t>
      </w:r>
      <w:r>
        <w:rPr>
          <w:rFonts w:ascii="Times New Roman" w:eastAsia="黑体" w:hAnsi="Times New Roman" w:hint="eastAsia"/>
          <w:b w:val="0"/>
          <w:sz w:val="30"/>
          <w:szCs w:val="30"/>
        </w:rPr>
        <w:t>决算</w:t>
      </w:r>
      <w:r>
        <w:rPr>
          <w:rFonts w:ascii="Times New Roman" w:eastAsia="黑体" w:hAnsi="Times New Roman"/>
          <w:b w:val="0"/>
          <w:sz w:val="30"/>
          <w:szCs w:val="30"/>
        </w:rPr>
        <w:t>表》</w:t>
      </w:r>
      <w:bookmarkEnd w:id="10"/>
    </w:p>
    <w:p w14:paraId="0C94E9C7">
      <w:pPr>
        <w:pStyle w:val="Heading2"/>
        <w:spacing w:before="0" w:after="0" w:line="800" w:lineRule="exact"/>
        <w:ind w:firstLine="600" w:firstLineChars="200"/>
        <w:rPr>
          <w:rFonts w:ascii="Times New Roman" w:eastAsia="黑体" w:hAnsi="Times New Roman"/>
          <w:b w:val="0"/>
          <w:sz w:val="30"/>
          <w:szCs w:val="30"/>
        </w:rPr>
      </w:pPr>
      <w:bookmarkStart w:id="11" w:name="_Toc8588"/>
      <w:r>
        <w:rPr>
          <w:rFonts w:ascii="Times New Roman" w:eastAsia="黑体" w:hAnsi="Times New Roman"/>
          <w:b w:val="0"/>
          <w:sz w:val="30"/>
          <w:szCs w:val="30"/>
        </w:rPr>
        <w:t>七</w:t>
      </w:r>
      <w:r>
        <w:rPr>
          <w:rFonts w:ascii="Times New Roman" w:eastAsia="黑体" w:hAnsi="Times New Roman" w:hint="eastAsia"/>
          <w:b w:val="0"/>
          <w:sz w:val="30"/>
          <w:szCs w:val="30"/>
        </w:rPr>
        <w:t>、</w:t>
      </w:r>
      <w:r>
        <w:rPr>
          <w:rFonts w:ascii="Times New Roman" w:eastAsia="黑体" w:hAnsi="Times New Roman"/>
          <w:b w:val="0"/>
          <w:sz w:val="30"/>
          <w:szCs w:val="30"/>
        </w:rPr>
        <w:t>《一般公共预算财政拨款基本支出</w:t>
      </w:r>
      <w:r>
        <w:rPr>
          <w:rFonts w:ascii="Times New Roman" w:eastAsia="黑体" w:hAnsi="Times New Roman" w:hint="eastAsia"/>
          <w:b w:val="0"/>
          <w:sz w:val="30"/>
          <w:szCs w:val="30"/>
        </w:rPr>
        <w:t>决算</w:t>
      </w:r>
      <w:r>
        <w:rPr>
          <w:rFonts w:ascii="Times New Roman" w:eastAsia="黑体" w:hAnsi="Times New Roman"/>
          <w:b w:val="0"/>
          <w:sz w:val="30"/>
          <w:szCs w:val="30"/>
        </w:rPr>
        <w:t>表》</w:t>
      </w:r>
      <w:bookmarkEnd w:id="11"/>
    </w:p>
    <w:p w14:paraId="47D92C7E">
      <w:pPr>
        <w:pStyle w:val="Heading2"/>
        <w:spacing w:before="0" w:after="0" w:line="800" w:lineRule="exact"/>
        <w:ind w:firstLine="600" w:firstLineChars="200"/>
        <w:rPr>
          <w:rFonts w:ascii="Times New Roman" w:eastAsia="黑体" w:hAnsi="Times New Roman"/>
          <w:b w:val="0"/>
          <w:sz w:val="30"/>
          <w:szCs w:val="30"/>
        </w:rPr>
      </w:pPr>
      <w:bookmarkStart w:id="12" w:name="_Toc29750"/>
      <w:r>
        <w:rPr>
          <w:rFonts w:ascii="Times New Roman" w:eastAsia="黑体" w:hAnsi="Times New Roman" w:hint="eastAsia"/>
          <w:b w:val="0"/>
          <w:sz w:val="30"/>
          <w:szCs w:val="30"/>
        </w:rPr>
        <w:t>八、</w:t>
      </w:r>
      <w:r>
        <w:rPr>
          <w:rFonts w:ascii="Times New Roman" w:eastAsia="黑体" w:hAnsi="Times New Roman"/>
          <w:b w:val="0"/>
          <w:sz w:val="30"/>
          <w:szCs w:val="30"/>
        </w:rPr>
        <w:t>《政府性基金预算财政拨款</w:t>
      </w:r>
      <w:r>
        <w:rPr>
          <w:rFonts w:ascii="Times New Roman" w:eastAsia="黑体" w:hAnsi="Times New Roman" w:hint="eastAsia"/>
          <w:b w:val="0"/>
          <w:sz w:val="30"/>
          <w:szCs w:val="30"/>
        </w:rPr>
        <w:t>收入</w:t>
      </w:r>
      <w:r>
        <w:rPr>
          <w:rFonts w:ascii="Times New Roman" w:eastAsia="黑体" w:hAnsi="Times New Roman"/>
          <w:b w:val="0"/>
          <w:sz w:val="30"/>
          <w:szCs w:val="30"/>
        </w:rPr>
        <w:t>支出</w:t>
      </w:r>
      <w:r>
        <w:rPr>
          <w:rFonts w:ascii="Times New Roman" w:eastAsia="黑体" w:hAnsi="Times New Roman" w:hint="eastAsia"/>
          <w:b w:val="0"/>
          <w:sz w:val="30"/>
          <w:szCs w:val="30"/>
        </w:rPr>
        <w:t>决算</w:t>
      </w:r>
      <w:r>
        <w:rPr>
          <w:rFonts w:ascii="Times New Roman" w:eastAsia="黑体" w:hAnsi="Times New Roman"/>
          <w:b w:val="0"/>
          <w:sz w:val="30"/>
          <w:szCs w:val="30"/>
        </w:rPr>
        <w:t>表》</w:t>
      </w:r>
      <w:bookmarkEnd w:id="12"/>
    </w:p>
    <w:p w14:paraId="718CB643">
      <w:pPr>
        <w:pStyle w:val="Heading2"/>
        <w:spacing w:before="0" w:after="0" w:line="800" w:lineRule="exact"/>
        <w:ind w:firstLine="600" w:firstLineChars="200"/>
        <w:rPr>
          <w:rFonts w:ascii="Times New Roman" w:eastAsia="黑体" w:hAnsi="Times New Roman"/>
          <w:b w:val="0"/>
          <w:sz w:val="30"/>
          <w:szCs w:val="30"/>
        </w:rPr>
      </w:pPr>
      <w:bookmarkStart w:id="13" w:name="_Toc17443"/>
      <w:r>
        <w:rPr>
          <w:rFonts w:ascii="Times New Roman" w:eastAsia="黑体" w:hAnsi="Times New Roman" w:hint="eastAsia"/>
          <w:b w:val="0"/>
          <w:sz w:val="30"/>
          <w:szCs w:val="30"/>
        </w:rPr>
        <w:t>九、</w:t>
      </w:r>
      <w:r>
        <w:rPr>
          <w:rFonts w:ascii="Times New Roman" w:eastAsia="黑体" w:hAnsi="Times New Roman"/>
          <w:b w:val="0"/>
          <w:sz w:val="30"/>
          <w:szCs w:val="30"/>
        </w:rPr>
        <w:t>《国有资本经营预算财政拨款</w:t>
      </w:r>
      <w:r>
        <w:rPr>
          <w:rFonts w:ascii="Times New Roman" w:eastAsia="黑体" w:hAnsi="Times New Roman" w:hint="eastAsia"/>
          <w:b w:val="0"/>
          <w:sz w:val="30"/>
          <w:szCs w:val="30"/>
        </w:rPr>
        <w:t>收入支出决算</w:t>
      </w:r>
      <w:r>
        <w:rPr>
          <w:rFonts w:ascii="Times New Roman" w:eastAsia="黑体" w:hAnsi="Times New Roman"/>
          <w:b w:val="0"/>
          <w:sz w:val="30"/>
          <w:szCs w:val="30"/>
        </w:rPr>
        <w:t>表》</w:t>
      </w:r>
      <w:bookmarkEnd w:id="13"/>
    </w:p>
    <w:p w14:paraId="3E391609">
      <w:pPr>
        <w:pStyle w:val="Heading2"/>
        <w:spacing w:before="0" w:after="0" w:line="800" w:lineRule="exact"/>
        <w:ind w:firstLine="600" w:firstLineChars="200"/>
        <w:rPr>
          <w:rFonts w:ascii="Times New Roman" w:eastAsia="黑体" w:hAnsi="Times New Roman"/>
          <w:b w:val="0"/>
          <w:sz w:val="30"/>
          <w:szCs w:val="30"/>
        </w:rPr>
      </w:pPr>
      <w:bookmarkStart w:id="14" w:name="_Toc30096"/>
      <w:r>
        <w:rPr>
          <w:rFonts w:ascii="Times New Roman" w:eastAsia="黑体" w:hAnsi="Times New Roman" w:hint="eastAsia"/>
          <w:b w:val="0"/>
          <w:sz w:val="30"/>
          <w:szCs w:val="30"/>
        </w:rPr>
        <w:t>十、</w:t>
      </w:r>
      <w:r>
        <w:rPr>
          <w:rFonts w:ascii="Times New Roman" w:eastAsia="黑体" w:hAnsi="Times New Roman"/>
          <w:b w:val="0"/>
          <w:sz w:val="30"/>
          <w:szCs w:val="30"/>
        </w:rPr>
        <w:t>《财政拨款“三公”经费支出</w:t>
      </w:r>
      <w:r>
        <w:rPr>
          <w:rFonts w:ascii="Times New Roman" w:eastAsia="黑体" w:hAnsi="Times New Roman" w:hint="eastAsia"/>
          <w:b w:val="0"/>
          <w:sz w:val="30"/>
          <w:szCs w:val="30"/>
        </w:rPr>
        <w:t>决算</w:t>
      </w:r>
      <w:r>
        <w:rPr>
          <w:rFonts w:ascii="Times New Roman" w:eastAsia="黑体" w:hAnsi="Times New Roman"/>
          <w:b w:val="0"/>
          <w:sz w:val="30"/>
          <w:szCs w:val="30"/>
        </w:rPr>
        <w:t>表》</w:t>
      </w:r>
      <w:bookmarkEnd w:id="14"/>
    </w:p>
    <w:p w14:paraId="2F0F2E1D">
      <w:pPr>
        <w:pStyle w:val="Heading2"/>
        <w:spacing w:before="0" w:after="0" w:line="800" w:lineRule="exact"/>
        <w:ind w:firstLine="600" w:firstLineChars="200"/>
        <w:rPr>
          <w:rFonts w:ascii="Times New Roman" w:eastAsia="黑体" w:hAnsi="Times New Roman"/>
          <w:b w:val="0"/>
          <w:sz w:val="30"/>
          <w:szCs w:val="30"/>
        </w:rPr>
      </w:pPr>
      <w:bookmarkStart w:id="15" w:name="_Toc21214"/>
      <w:r>
        <w:rPr>
          <w:rFonts w:ascii="Times New Roman" w:eastAsia="黑体" w:hAnsi="Times New Roman"/>
          <w:b w:val="0"/>
          <w:sz w:val="30"/>
          <w:szCs w:val="30"/>
        </w:rPr>
        <w:t>十</w:t>
      </w:r>
      <w:r>
        <w:rPr>
          <w:rFonts w:ascii="Times New Roman" w:eastAsia="黑体" w:hAnsi="Times New Roman" w:hint="eastAsia"/>
          <w:b w:val="0"/>
          <w:sz w:val="30"/>
          <w:szCs w:val="30"/>
        </w:rPr>
        <w:t>一、</w:t>
      </w:r>
      <w:r>
        <w:rPr>
          <w:rFonts w:ascii="Times New Roman" w:eastAsia="黑体" w:hAnsi="Times New Roman"/>
          <w:b w:val="0"/>
          <w:sz w:val="30"/>
          <w:szCs w:val="30"/>
        </w:rPr>
        <w:t>《项目支出决算表》</w:t>
      </w:r>
      <w:bookmarkEnd w:id="15"/>
    </w:p>
    <w:p w14:paraId="2794261F">
      <w:pPr>
        <w:spacing w:line="800" w:lineRule="exact"/>
        <w:ind w:left="600" w:hanging="600" w:hangingChars="200"/>
        <w:rPr>
          <w:rFonts w:ascii="Times New Roman" w:eastAsia="楷体" w:hAnsi="Times New Roman" w:hint="eastAsia"/>
          <w:sz w:val="30"/>
          <w:szCs w:val="30"/>
        </w:rPr>
      </w:pPr>
      <w:r>
        <w:rPr>
          <w:rFonts w:ascii="Times New Roman" w:eastAsia="楷体" w:hAnsi="Times New Roman" w:hint="eastAsia"/>
          <w:sz w:val="30"/>
          <w:szCs w:val="30"/>
        </w:rPr>
        <w:t>注：以上决算公开表均作为附表，附于决算公开说明文档后。</w:t>
      </w:r>
    </w:p>
    <w:p w14:paraId="01D37A2E">
      <w:pPr>
        <w:pStyle w:val="Heading2"/>
        <w:spacing w:before="0" w:after="0" w:line="800" w:lineRule="exact"/>
        <w:ind w:firstLine="600" w:firstLineChars="200"/>
        <w:rPr>
          <w:rFonts w:ascii="Times New Roman" w:eastAsia="黑体" w:hAnsi="Times New Roman"/>
          <w:b w:val="0"/>
          <w:sz w:val="30"/>
          <w:szCs w:val="30"/>
        </w:rPr>
      </w:pPr>
      <w:bookmarkStart w:id="16" w:name="_Toc9893"/>
      <w:r>
        <w:rPr>
          <w:rFonts w:ascii="Times New Roman" w:eastAsia="黑体" w:hAnsi="Times New Roman" w:hint="eastAsia"/>
          <w:b w:val="0"/>
          <w:sz w:val="30"/>
          <w:szCs w:val="30"/>
        </w:rPr>
        <w:t>十二、关于空表的说明</w:t>
      </w:r>
      <w:bookmarkEnd w:id="16"/>
    </w:p>
    <w:p w14:paraId="2902ECD0">
      <w:pPr>
        <w:spacing w:line="600" w:lineRule="exact"/>
        <w:ind w:firstLine="600" w:firstLineChars="200"/>
        <w:jc w:val="both"/>
        <w:rPr>
          <w:rFonts w:ascii="Times New Roman" w:eastAsia="仿宋_GB2312" w:hAnsi="Times New Roman"/>
          <w:sz w:val="30"/>
          <w:szCs w:val="30"/>
        </w:rPr>
        <w:sectPr>
          <w:footerReference w:type="default" r:id="rId6"/>
          <w:pgSz w:w="11906" w:h="16838"/>
          <w:pgMar w:top="1440" w:right="1800" w:bottom="1440" w:left="1800" w:header="851" w:footer="992" w:gutter="0"/>
          <w:pgNumType w:start="1"/>
          <w:cols w:num="1" w:space="720"/>
          <w:docGrid w:type="lines" w:linePitch="312" w:charSpace="0"/>
        </w:sectPr>
      </w:pPr>
      <w:r>
        <w:rPr>
          <w:rFonts w:ascii="Times New Roman" w:eastAsia="仿宋_GB2312" w:hAnsi="Times New Roman" w:hint="eastAsia"/>
          <w:sz w:val="30"/>
          <w:szCs w:val="30"/>
        </w:rPr>
        <w:t>1.天津市津南区市场监督管理局（本级）2024年度政府性基金预算财政拨款收入支出决算表为空表。</w:t>
        <w:br/>
        <w:t>　　2.天津市津南区市场监督管理局（本级）2024年度国有资本经营预算财政拨款收入支出决算表为空表。</w:t>
      </w:r>
    </w:p>
    <w:p w14:paraId="65FE891C">
      <w:pPr>
        <w:spacing w:line="600" w:lineRule="exact"/>
        <w:rPr>
          <w:rFonts w:ascii="Times New Roman" w:eastAsia="仿宋_GB2312" w:hAnsi="Times New Roman"/>
          <w:sz w:val="30"/>
          <w:szCs w:val="30"/>
        </w:rPr>
      </w:pPr>
    </w:p>
    <w:p w14:paraId="70DEE3BE">
      <w:pPr>
        <w:pStyle w:val="Heading1"/>
        <w:spacing w:before="0" w:after="0" w:line="600" w:lineRule="exact"/>
        <w:jc w:val="center"/>
        <w:rPr>
          <w:rFonts w:ascii="Times New Roman" w:eastAsia="方正小标宋简体" w:hAnsi="Times New Roman" w:cs="方正小标宋简体"/>
          <w:b w:val="0"/>
        </w:rPr>
      </w:pPr>
      <w:bookmarkStart w:id="17" w:name="_Toc26351"/>
      <w:r>
        <w:rPr>
          <w:rFonts w:ascii="Times New Roman" w:eastAsia="方正小标宋简体" w:hAnsi="Times New Roman" w:cs="方正小标宋简体"/>
          <w:b w:val="0"/>
        </w:rPr>
        <w:t>第</w:t>
      </w:r>
      <w:r>
        <w:rPr>
          <w:rFonts w:ascii="Times New Roman" w:eastAsia="方正小标宋简体" w:hAnsi="Times New Roman" w:cs="方正小标宋简体" w:hint="eastAsia"/>
          <w:b w:val="0"/>
        </w:rPr>
        <w:t>三</w:t>
      </w:r>
      <w:r>
        <w:rPr>
          <w:rFonts w:ascii="Times New Roman" w:eastAsia="方正小标宋简体" w:hAnsi="Times New Roman" w:cs="方正小标宋简体"/>
          <w:b w:val="0"/>
        </w:rPr>
        <w:t xml:space="preserve">部分  </w:t>
      </w:r>
      <w:r>
        <w:rPr>
          <w:rFonts w:ascii="Times New Roman" w:eastAsia="方正小标宋简体" w:hAnsi="Times New Roman" w:cs="方正小标宋简体" w:hint="eastAsia"/>
          <w:b w:val="0"/>
        </w:rPr>
        <w:t>2024</w:t>
      </w:r>
      <w:r>
        <w:rPr>
          <w:rFonts w:ascii="Times New Roman" w:eastAsia="方正小标宋简体" w:hAnsi="Times New Roman" w:cs="方正小标宋简体"/>
          <w:b w:val="0"/>
        </w:rPr>
        <w:t>年度部门决算</w:t>
      </w:r>
      <w:r>
        <w:rPr>
          <w:rFonts w:ascii="Times New Roman" w:eastAsia="方正小标宋简体" w:hAnsi="Times New Roman" w:cs="方正小标宋简体" w:hint="eastAsia"/>
          <w:b w:val="0"/>
        </w:rPr>
        <w:t>情况</w:t>
      </w:r>
      <w:r>
        <w:rPr>
          <w:rFonts w:ascii="Times New Roman" w:eastAsia="方正小标宋简体" w:hAnsi="Times New Roman" w:cs="方正小标宋简体"/>
          <w:b w:val="0"/>
        </w:rPr>
        <w:t>说明</w:t>
      </w:r>
      <w:bookmarkEnd w:id="17"/>
    </w:p>
    <w:p w14:paraId="31D3D16E">
      <w:pPr>
        <w:spacing w:line="600" w:lineRule="exact"/>
        <w:ind w:firstLine="600" w:firstLineChars="200"/>
        <w:rPr>
          <w:rFonts w:ascii="Times New Roman" w:eastAsia="黑体" w:hAnsi="Times New Roman"/>
          <w:sz w:val="30"/>
          <w:szCs w:val="30"/>
        </w:rPr>
      </w:pPr>
    </w:p>
    <w:p w14:paraId="261647E6">
      <w:pPr>
        <w:pStyle w:val="Heading2"/>
        <w:spacing w:before="0" w:after="0" w:line="600" w:lineRule="exact"/>
        <w:ind w:firstLine="600" w:firstLineChars="200"/>
        <w:rPr>
          <w:rFonts w:ascii="Times New Roman" w:eastAsia="黑体" w:hAnsi="Times New Roman"/>
          <w:b w:val="0"/>
          <w:sz w:val="30"/>
          <w:szCs w:val="30"/>
        </w:rPr>
      </w:pPr>
      <w:bookmarkStart w:id="18" w:name="_Toc14113"/>
      <w:r>
        <w:rPr>
          <w:rFonts w:ascii="Times New Roman" w:eastAsia="黑体" w:hAnsi="Times New Roman" w:hint="eastAsia"/>
          <w:b w:val="0"/>
          <w:sz w:val="30"/>
          <w:szCs w:val="30"/>
        </w:rPr>
        <w:t>一、收入支出决算总体情况说明</w:t>
      </w:r>
      <w:bookmarkEnd w:id="18"/>
    </w:p>
    <w:p w14:paraId="3FD0FB5A">
      <w:pPr>
        <w:spacing w:line="600" w:lineRule="exact"/>
        <w:ind w:firstLine="600" w:firstLineChars="200"/>
        <w:jc w:val="both"/>
        <w:rPr>
          <w:rFonts w:ascii="Times New Roman" w:eastAsia="仿宋_GB2312" w:hAnsi="Times New Roman"/>
          <w:sz w:val="30"/>
          <w:szCs w:val="30"/>
        </w:rPr>
      </w:pPr>
      <w:r>
        <w:rPr>
          <w:rFonts w:ascii="Times New Roman" w:eastAsia="仿宋_GB2312" w:hAnsi="Times New Roman" w:cs="仿宋_GB2312" w:hint="eastAsia"/>
          <w:sz w:val="30"/>
          <w:szCs w:val="30"/>
        </w:rPr>
        <w:t>天津市津南区市场监督管理局（本级）2024年度收入、支出决算总计77,246,813.42元。与2023年度相比，收、支总计各减少180,891.42元，下降0.2%，主要原因是单位人员减少。</w:t>
        <w:br/>
        <w:t>　　收入包括：一般公共预算财政拨款收入77,244,687.93元、其他收入1,394.23元。</w:t>
        <w:br/>
        <w:t>　　支出包括：一般公共服务支出（类）支出63,882,466.99元、社会保障和就业支出（类）支出6,154,447.68元、卫生健康支出（类）支出3,396,172.51元、住房保障支出（类）支出3,792,420元。</w:t>
      </w:r>
    </w:p>
    <w:p w14:paraId="4F477965">
      <w:pPr>
        <w:pStyle w:val="Heading2"/>
        <w:spacing w:before="0" w:after="0" w:line="600" w:lineRule="exact"/>
        <w:ind w:firstLine="600" w:firstLineChars="200"/>
        <w:rPr>
          <w:rFonts w:ascii="Times New Roman" w:eastAsia="黑体" w:hAnsi="Times New Roman" w:cs="仿宋_GB2312"/>
          <w:b w:val="0"/>
          <w:sz w:val="30"/>
          <w:szCs w:val="30"/>
        </w:rPr>
      </w:pPr>
      <w:bookmarkStart w:id="19" w:name="_Toc1931"/>
      <w:r>
        <w:rPr>
          <w:rFonts w:ascii="Times New Roman" w:eastAsia="黑体" w:hAnsi="Times New Roman" w:cs="仿宋_GB2312" w:hint="eastAsia"/>
          <w:b w:val="0"/>
          <w:sz w:val="30"/>
          <w:szCs w:val="30"/>
        </w:rPr>
        <w:t>二、收入决算情况说明</w:t>
      </w:r>
      <w:bookmarkEnd w:id="19"/>
    </w:p>
    <w:p w14:paraId="0408FF65">
      <w:pPr>
        <w:spacing w:line="600" w:lineRule="exact"/>
        <w:ind w:firstLine="600" w:firstLineChars="200"/>
        <w:jc w:val="both"/>
        <w:rPr>
          <w:rFonts w:ascii="Times New Roman" w:eastAsia="仿宋_GB2312" w:hAnsi="Times New Roman"/>
          <w:sz w:val="30"/>
          <w:szCs w:val="30"/>
        </w:rPr>
      </w:pPr>
      <w:r>
        <w:rPr>
          <w:rFonts w:ascii="Times New Roman" w:eastAsia="仿宋_GB2312" w:hAnsi="Times New Roman" w:cs="仿宋_GB2312" w:hint="eastAsia"/>
          <w:sz w:val="30"/>
          <w:szCs w:val="30"/>
        </w:rPr>
        <w:t>天津市津南区市场监督管理局（本级）2024年度本年收入合计77,246,082.16元。与2023年度相比减少98,713.75元，主要原因是单位人员减少。其中：一般公共预算财政拨款收入77,244,687.93元，占100%；其他收入1,394.23元，占0%。</w:t>
      </w:r>
    </w:p>
    <w:p w14:paraId="683A8827">
      <w:pPr>
        <w:pStyle w:val="Heading2"/>
        <w:spacing w:before="0" w:after="0" w:line="600" w:lineRule="exact"/>
        <w:ind w:firstLine="600" w:firstLineChars="200"/>
        <w:rPr>
          <w:rFonts w:ascii="Times New Roman" w:eastAsia="黑体" w:hAnsi="Times New Roman" w:cs="仿宋_GB2312"/>
          <w:b w:val="0"/>
          <w:sz w:val="30"/>
          <w:szCs w:val="30"/>
        </w:rPr>
      </w:pPr>
      <w:bookmarkStart w:id="20" w:name="_Toc14007"/>
      <w:r>
        <w:rPr>
          <w:rFonts w:ascii="Times New Roman" w:eastAsia="黑体" w:hAnsi="Times New Roman" w:cs="仿宋_GB2312" w:hint="eastAsia"/>
          <w:b w:val="0"/>
          <w:sz w:val="30"/>
          <w:szCs w:val="30"/>
        </w:rPr>
        <w:t>三、</w:t>
      </w:r>
      <w:r>
        <w:rPr>
          <w:rFonts w:ascii="Times New Roman" w:eastAsia="黑体" w:hAnsi="Times New Roman" w:cs="仿宋_GB2312"/>
          <w:b w:val="0"/>
          <w:sz w:val="30"/>
          <w:szCs w:val="30"/>
        </w:rPr>
        <w:t>支出</w:t>
      </w:r>
      <w:r>
        <w:rPr>
          <w:rFonts w:ascii="Times New Roman" w:eastAsia="黑体" w:hAnsi="Times New Roman" w:cs="仿宋_GB2312" w:hint="eastAsia"/>
          <w:b w:val="0"/>
          <w:sz w:val="30"/>
          <w:szCs w:val="30"/>
        </w:rPr>
        <w:t>决算</w:t>
      </w:r>
      <w:r>
        <w:rPr>
          <w:rFonts w:ascii="Times New Roman" w:eastAsia="黑体" w:hAnsi="Times New Roman" w:cs="仿宋_GB2312"/>
          <w:b w:val="0"/>
          <w:sz w:val="30"/>
          <w:szCs w:val="30"/>
        </w:rPr>
        <w:t>情况</w:t>
      </w:r>
      <w:r>
        <w:rPr>
          <w:rFonts w:ascii="Times New Roman" w:eastAsia="黑体" w:hAnsi="Times New Roman" w:cs="仿宋_GB2312" w:hint="eastAsia"/>
          <w:b w:val="0"/>
          <w:sz w:val="30"/>
          <w:szCs w:val="30"/>
        </w:rPr>
        <w:t>说明</w:t>
      </w:r>
      <w:bookmarkEnd w:id="20"/>
    </w:p>
    <w:p w14:paraId="28861E6E">
      <w:pPr>
        <w:spacing w:line="600" w:lineRule="exact"/>
        <w:ind w:firstLine="600" w:firstLineChars="200"/>
        <w:jc w:val="both"/>
        <w:rPr>
          <w:rFonts w:ascii="Times New Roman" w:eastAsia="仿宋_GB2312" w:hAnsi="Times New Roman"/>
          <w:sz w:val="30"/>
          <w:szCs w:val="30"/>
        </w:rPr>
      </w:pPr>
      <w:r>
        <w:rPr>
          <w:rFonts w:ascii="Times New Roman" w:eastAsia="仿宋_GB2312" w:hAnsi="Times New Roman" w:cs="仿宋_GB2312" w:hint="eastAsia"/>
          <w:sz w:val="30"/>
          <w:szCs w:val="30"/>
        </w:rPr>
        <w:t>天津市津南区市场监督管理局（本级）2024年度本年支出合计77,225,507.18元。与2023年度相比增加746,704.26元，主要原因是项目支出增加，增加了食品安全协管员经费支出。其中：基本支出62,957,695.52元，占81.5%；项目支出14,267,811.66元，占18.5%。</w:t>
      </w:r>
    </w:p>
    <w:p w14:paraId="3C4A28C5">
      <w:pPr>
        <w:pStyle w:val="Heading2"/>
        <w:spacing w:before="0" w:after="0" w:line="600" w:lineRule="exact"/>
        <w:ind w:firstLine="600" w:firstLineChars="200"/>
        <w:rPr>
          <w:rFonts w:ascii="Times New Roman" w:eastAsia="黑体" w:hAnsi="Times New Roman"/>
          <w:b w:val="0"/>
          <w:sz w:val="30"/>
          <w:szCs w:val="30"/>
        </w:rPr>
      </w:pPr>
      <w:bookmarkStart w:id="21" w:name="_Toc23974"/>
      <w:r>
        <w:rPr>
          <w:rFonts w:ascii="Times New Roman" w:eastAsia="黑体" w:hAnsi="Times New Roman" w:hint="eastAsia"/>
          <w:b w:val="0"/>
          <w:sz w:val="30"/>
          <w:szCs w:val="30"/>
        </w:rPr>
        <w:t>四、财政拨款收支决算总体情况说明</w:t>
      </w:r>
      <w:bookmarkEnd w:id="21"/>
    </w:p>
    <w:p w14:paraId="040AD9FF">
      <w:pPr>
        <w:spacing w:line="600" w:lineRule="exact"/>
        <w:ind w:firstLine="600" w:firstLineChars="200"/>
        <w:jc w:val="both"/>
        <w:rPr>
          <w:rFonts w:ascii="Times New Roman" w:eastAsia="仿宋_GB2312" w:hAnsi="Times New Roman"/>
          <w:sz w:val="30"/>
          <w:szCs w:val="30"/>
        </w:rPr>
      </w:pPr>
      <w:r>
        <w:rPr>
          <w:rFonts w:ascii="Times New Roman" w:eastAsia="仿宋_GB2312" w:hAnsi="Times New Roman" w:cs="仿宋_GB2312" w:hint="eastAsia"/>
          <w:sz w:val="30"/>
          <w:szCs w:val="30"/>
        </w:rPr>
        <w:t>天津市津南区市场监督管理局（本级）2024年度财政拨款收入、支出决算总计77,244,687.93元。与2023年度相比，财政拨款收、支总计各减少88,892.23元，下降0.1%，主要原因是单位人员减少。</w:t>
        <w:br/>
        <w:t>　　收入包括：一般公共预算财政拨款收入77,244,687.93元。</w:t>
        <w:br/>
        <w:t>　　支出包括：一般公共服务支出（类）支出63,881,126.99元、社会保障和就业支出（类）支出6,154,447.68元、卫生健康支出（类）支出3,396,172.51元、住房保障支出（类）支出3,792,420元。</w:t>
      </w:r>
    </w:p>
    <w:p w14:paraId="2F59C99B">
      <w:pPr>
        <w:pStyle w:val="Heading2"/>
        <w:spacing w:before="0" w:after="0" w:line="600" w:lineRule="exact"/>
        <w:ind w:firstLine="600" w:firstLineChars="200"/>
        <w:rPr>
          <w:rFonts w:ascii="Times New Roman" w:eastAsia="黑体" w:hAnsi="Times New Roman"/>
          <w:b w:val="0"/>
          <w:sz w:val="30"/>
          <w:szCs w:val="30"/>
        </w:rPr>
      </w:pPr>
      <w:bookmarkStart w:id="22" w:name="_Toc19057"/>
      <w:r>
        <w:rPr>
          <w:rFonts w:ascii="Times New Roman" w:eastAsia="黑体" w:hAnsi="Times New Roman"/>
          <w:b w:val="0"/>
          <w:sz w:val="30"/>
          <w:szCs w:val="30"/>
        </w:rPr>
        <w:t>五</w:t>
      </w:r>
      <w:r>
        <w:rPr>
          <w:rFonts w:ascii="Times New Roman" w:eastAsia="黑体" w:hAnsi="Times New Roman" w:hint="eastAsia"/>
          <w:b w:val="0"/>
          <w:sz w:val="30"/>
          <w:szCs w:val="30"/>
        </w:rPr>
        <w:t>、</w:t>
      </w:r>
      <w:r>
        <w:rPr>
          <w:rFonts w:ascii="Times New Roman" w:eastAsia="黑体" w:hAnsi="Times New Roman"/>
          <w:b w:val="0"/>
          <w:sz w:val="30"/>
          <w:szCs w:val="30"/>
        </w:rPr>
        <w:t>一般公共预算财政拨款支出决算情况</w:t>
      </w:r>
      <w:r>
        <w:rPr>
          <w:rFonts w:ascii="Times New Roman" w:eastAsia="黑体" w:hAnsi="Times New Roman" w:hint="eastAsia"/>
          <w:b w:val="0"/>
          <w:sz w:val="30"/>
          <w:szCs w:val="30"/>
        </w:rPr>
        <w:t>说明</w:t>
      </w:r>
      <w:bookmarkEnd w:id="22"/>
    </w:p>
    <w:p w14:paraId="2297FB1A">
      <w:pPr>
        <w:keepNext w:val="0"/>
        <w:keepLines w:val="0"/>
        <w:pageBreakBefore w:val="0"/>
        <w:widowControl w:val="0"/>
        <w:kinsoku/>
        <w:wordWrap/>
        <w:overflowPunct/>
        <w:topLinePunct w:val="0"/>
        <w:autoSpaceDE/>
        <w:autoSpaceDN/>
        <w:bidi w:val="0"/>
        <w:adjustRightInd w:val="0"/>
        <w:snapToGrid/>
        <w:spacing w:line="600" w:lineRule="exact"/>
        <w:ind w:left="0" w:firstLine="600" w:leftChars="0" w:firstLineChars="200"/>
        <w:textAlignment w:val="baseline"/>
        <w:rPr>
          <w:rFonts w:ascii="Times New Roman" w:eastAsia="楷体" w:hAnsi="Times New Roman" w:cs="仿宋_GB2312"/>
          <w:b/>
          <w:sz w:val="30"/>
          <w:szCs w:val="30"/>
        </w:rPr>
      </w:pPr>
      <w:r>
        <w:rPr>
          <w:rFonts w:ascii="Times New Roman" w:eastAsia="楷体" w:hAnsi="Times New Roman" w:cs="仿宋_GB2312" w:hint="eastAsia"/>
          <w:b/>
          <w:sz w:val="30"/>
          <w:szCs w:val="30"/>
        </w:rPr>
        <w:t>（一）总体情况</w:t>
      </w:r>
    </w:p>
    <w:p w14:paraId="3B88EC56">
      <w:pPr>
        <w:spacing w:line="600" w:lineRule="exact"/>
        <w:ind w:firstLine="600" w:firstLineChars="200"/>
        <w:jc w:val="both"/>
        <w:rPr>
          <w:rFonts w:ascii="Times New Roman" w:eastAsia="仿宋_GB2312" w:hAnsi="Times New Roman"/>
          <w:sz w:val="30"/>
          <w:szCs w:val="30"/>
        </w:rPr>
      </w:pPr>
      <w:r>
        <w:rPr>
          <w:rFonts w:ascii="Times New Roman" w:eastAsia="仿宋_GB2312" w:hAnsi="Times New Roman" w:cs="仿宋_GB2312" w:hint="eastAsia"/>
          <w:sz w:val="30"/>
          <w:szCs w:val="30"/>
        </w:rPr>
        <w:t>天津市津南区市场监督管理局（本级）2024年度部门决算一般公共预算财政拨款支出合计77,224,167.18元，占本年支出合计的100%。与2023年度相比，一般公共预算财政拨款支出增加801,906.95元，增长1.1%，主要原因是增加了食品安全协管员经费支出。</w:t>
      </w:r>
    </w:p>
    <w:p w14:paraId="0EDF7B8F">
      <w:pPr>
        <w:spacing w:line="600" w:lineRule="exact"/>
        <w:ind w:firstLine="600" w:firstLineChars="200"/>
        <w:rPr>
          <w:rFonts w:ascii="Times New Roman" w:eastAsia="楷体" w:hAnsi="Times New Roman" w:cs="仿宋_GB2312"/>
          <w:b/>
          <w:sz w:val="30"/>
          <w:szCs w:val="30"/>
        </w:rPr>
      </w:pPr>
      <w:r>
        <w:rPr>
          <w:rFonts w:ascii="Times New Roman" w:eastAsia="楷体" w:hAnsi="Times New Roman" w:cs="仿宋_GB2312" w:hint="eastAsia"/>
          <w:b/>
          <w:sz w:val="30"/>
          <w:szCs w:val="30"/>
        </w:rPr>
        <w:t>（二）支出结构情况</w:t>
      </w:r>
    </w:p>
    <w:p w14:paraId="2E93C809">
      <w:pPr>
        <w:spacing w:line="600" w:lineRule="exact"/>
        <w:ind w:firstLine="600" w:firstLineChars="200"/>
        <w:jc w:val="both"/>
        <w:rPr>
          <w:rFonts w:ascii="Times New Roman" w:eastAsia="仿宋_GB2312" w:hAnsi="Times New Roman"/>
          <w:sz w:val="30"/>
          <w:szCs w:val="30"/>
        </w:rPr>
      </w:pPr>
      <w:r>
        <w:rPr>
          <w:rFonts w:ascii="Times New Roman" w:eastAsia="仿宋_GB2312" w:hAnsi="Times New Roman" w:cs="仿宋_GB2312" w:hint="eastAsia"/>
          <w:sz w:val="30"/>
          <w:szCs w:val="30"/>
        </w:rPr>
        <w:t>2024年度一般公共预算财政拨款支出77,224,167.18元，主要用于以下方面：</w:t>
        <w:br/>
        <w:t>　　一般公共服务支出（类）支出63,881,126.99元，占82.7%；</w:t>
        <w:br/>
        <w:t>　　社会保障和就业支出（类）支出6,154,447.68元，占8%；</w:t>
        <w:br/>
        <w:t>　　卫生健康支出（类）支出3,396,172.51元，占4.4%；</w:t>
        <w:br/>
        <w:t>　　住房保障支出（类）支出3,792,420元，占4.9%。</w:t>
      </w:r>
    </w:p>
    <w:p w14:paraId="766DC5C0">
      <w:pPr>
        <w:numPr>
          <w:ilvl w:val="0"/>
          <w:numId w:val="1"/>
        </w:numPr>
        <w:spacing w:line="600" w:lineRule="exact"/>
        <w:ind w:firstLine="600" w:firstLineChars="200"/>
        <w:rPr>
          <w:rFonts w:ascii="Times New Roman" w:eastAsia="楷体" w:hAnsi="Times New Roman" w:cs="仿宋_GB2312"/>
          <w:b/>
          <w:sz w:val="30"/>
          <w:szCs w:val="30"/>
        </w:rPr>
      </w:pPr>
      <w:r>
        <w:rPr>
          <w:rFonts w:ascii="Times New Roman" w:eastAsia="楷体" w:hAnsi="Times New Roman" w:cs="仿宋_GB2312"/>
          <w:b/>
          <w:sz w:val="30"/>
          <w:szCs w:val="30"/>
        </w:rPr>
        <w:t>具体情况</w:t>
      </w:r>
    </w:p>
    <w:p w14:paraId="6C4857B3">
      <w:pPr>
        <w:spacing w:line="600" w:lineRule="exact"/>
        <w:ind w:firstLine="600" w:firstLineChars="200"/>
        <w:jc w:val="both"/>
        <w:rPr>
          <w:rFonts w:ascii="Times New Roman" w:eastAsia="仿宋_GB2312" w:hAnsi="Times New Roman"/>
          <w:sz w:val="30"/>
          <w:szCs w:val="30"/>
        </w:rPr>
      </w:pPr>
      <w:r>
        <w:rPr>
          <w:rFonts w:ascii="Times New Roman" w:eastAsia="仿宋_GB2312" w:hAnsi="Times New Roman" w:cs="仿宋_GB2312" w:hint="eastAsia"/>
          <w:sz w:val="30"/>
          <w:szCs w:val="30"/>
        </w:rPr>
        <w:t>2024年度一般公共预算财政拨款支出年初预算为73,558,661.87元，支出决算为77,224,167.18元，完成年初预算的105%。其中：</w:t>
        <w:br/>
        <w:t>　　1.一般公共服务支出（类）知识产权事务（款）知识产权宏观管理（项）年初预算为200,000元，支出决算为196,190元，完成年初预算的98.1%，决算数小于年初预算数的主要原因是落实过紧日子要求，从严控制各项支出，节省财政资金。</w:t>
        <w:br/>
        <w:t>　　2.一般公共服务支出（类）组织事务（款）其他组织事务支出（项）年初预算为320元，支出决算为317.5元，完成年初预算的99.2%，决算数小于年初预算数的主要原因是落实过紧日子要求，从严控制各项支出，节省财政资金。</w:t>
        <w:br/>
        <w:t>　　3.一般公共服务支出（类）市场监督管理事务（款）行政运行（项）年初预算为49,342,481.47元，支出决算为52,753,354元，完成年初预算的106.9%，决算数大于年初预算数的主要原因是公务员奖励性绩效、晋级晋档工资未纳入年初预算。</w:t>
        <w:br/>
        <w:t>　　4.一般公共服务支出（类）市场监督管理事务（款）机关服务（项）年初预算为600,000元，支出决算为0元，完成年初预算的0%，决算数小于年初预算数的主要原因是把2013803机关服务年初预算调剂到2013899其他市场监督管理事务支出。</w:t>
        <w:br/>
        <w:t>　　5.一般公共服务支出（类）市场监督管理事务（款）市场主体管理（项）年初预算为8,000元，支出决算为5,135元，完成年初预算的64.2%，决算数小于年初预算数的主要原因是落实过紧日子要求，从严控制各项支出，节省财政资金。</w:t>
        <w:br/>
        <w:t>　　6.一般公共服务支出（类）市场监督管理事务（款）市场秩序执法（项）年初预算为77,000元，支出决算为77,000元，完成年初预算的100%。与年初预算数持平的主要原因是严格执行预算管理制度，未发生超预算支出的情况。</w:t>
        <w:br/>
        <w:t>　　7.一般公共服务支出（类）市场监督管理事务（款）质量基础（项）年初预算为10,000元，支出决算为11,300元，完成年初预算的113%，决算数大于年初预算数的主要原因是增加标准化宣传用品印刷费。</w:t>
        <w:br/>
        <w:t>　　8.一般公共服务支出（类）市场监督管理事务（款）药品事务（项）年初预算为400,000元，支出决算为477,420.38元，完成年初预算的119.4%，决算数大于年初预算数的主要原因是支付2023年度药品抽检费用。</w:t>
        <w:br/>
        <w:t>　　9.一般公共服务支出（类）市场监督管理事务（款）医疗器械事务（项）年初预算为0元，支出决算为150,000元，完成年初预算的0%，决算数大于年初预算数的主要原因是根据监管需求，增加医疗器械抽检业务。</w:t>
        <w:br/>
        <w:t>　　10.一般公共服务支出（类）市场监督管理事务（款）化妆品事务（项）年初预算为0元，支出决算为10,000元，完成年初预算的0%，决算数大于年初预算数的主要原因是根据监管需求，增加化妆品抽检业务。</w:t>
        <w:br/>
        <w:t>　　11.一般公共服务支出（类）市场监督管理事务（款）质量安全监管（项）年初预算为1,100,000元，支出决算为1,089,761.91元，完成年初预算的99.1%，决算数小于年初预算数的主要原因是落实过紧日子要求，从严控制各项支出，节省财政资金。</w:t>
        <w:br/>
        <w:t>　　12.一般公共服务支出（类）市场监督管理事务（款）食品安全监管（项）年初预算为5,200,000元，支出决算为6,326,115.48元，完成年初预算的121.7%，决算数大于年初预算数的主要原因是增加了食品安全协管员经费支出。</w:t>
        <w:br/>
        <w:t>　　13.一般公共服务支出（类）市场监督管理事务（款）事业运行（项）年初预算为1,349,765.28元，支出决算为1,379,697.28元，完成年初预算的102.2%，决算数大于年初预算数的主要原因是事业人员工资增加（晋级晋档）。</w:t>
        <w:br/>
        <w:t>　　14.一般公共服务支出（类）市场监督管理事务（款）其他市场监督管理事务（项）年初预算为525,000元，支出决算为1,404,835.44元，完成年初预算的267.6%，决算数大于年初预算数的主要原因是把2013803机关服务年初预算调剂到2013899其他市场监督管理事务支出，还增加了退休人员抚恤金支出。</w:t>
        <w:br/>
        <w:t>　　15.社会保障和就业支出（类）行政事业单位养老支出（款）机关事业单位基本养老保险缴费支出（项）年初预算为4,308,739.32元，支出决算为4,102,965.12元，完成年初预算的95.2%，决算数小于年初预算数的主要原因是单位人员减少。</w:t>
        <w:br/>
        <w:t>　　16.社会保障和就业支出（类）行政事业单位养老支出（款）机关事业单位职业年金缴费支出（项）年初预算为2,154,366.24元，支出决算为2,051,482.56元，完成年初预算的95.2%，决算数小于年初预算数的主要原因是单位人员减少。</w:t>
        <w:br/>
        <w:t>　　17.卫生健康支出（类）行政事业单位医疗（款）行政单位医疗（项）年初预算为3,707,738.64元，支出决算为2,810,975.75元，完成年初预算的75.8%，决算数小于年初预算数的主要原因是单位人员减少。</w:t>
        <w:br/>
        <w:t>　　18.卫生健康支出（类）行政事业单位医疗（款）事业单位医疗（项）年初预算为79,871.76元，支出决算为78,907.56元，完成年初预算的98.8%，决算数小于年初预算数的主要原因是单位人员减少。</w:t>
        <w:br/>
        <w:t>　　19.卫生健康支出（类）行政事业单位医疗（款）公务员医疗补助（项）年初预算为523,379.16元，支出决算为497,089.2元，完成年初预算的95%，决算数小于年初预算数的主要原因是单位人员减少。</w:t>
        <w:br/>
        <w:t>　　20.卫生健康支出（类）行政事业单位医疗（款）其他行政事业单位医疗支出（项）年初预算为9,600元，支出决算为9,200元，完成年初预算的95.8%，决算数小于年初预算数的主要原因是中国人民健康保险股份有限公司天津分公司有优惠。</w:t>
        <w:br/>
        <w:t>　　21.住房保障支出（类）住房改革支出（款）住房公积金（项）年初预算为3,962,400元，支出决算为3,792,420元，完成年初预算的95.7%，决算数小于年初预算数的主要原因是单位人员减少。</w:t>
      </w:r>
    </w:p>
    <w:p w14:paraId="2E595F18">
      <w:pPr>
        <w:pStyle w:val="Heading2"/>
        <w:spacing w:before="0" w:after="0" w:line="600" w:lineRule="exact"/>
        <w:ind w:firstLine="600" w:firstLineChars="200"/>
        <w:rPr>
          <w:rFonts w:ascii="Times New Roman" w:eastAsia="黑体" w:hAnsi="Times New Roman"/>
          <w:b w:val="0"/>
          <w:sz w:val="30"/>
          <w:szCs w:val="30"/>
        </w:rPr>
      </w:pPr>
      <w:bookmarkStart w:id="23" w:name="_Toc8826"/>
      <w:r>
        <w:rPr>
          <w:rFonts w:ascii="Times New Roman" w:eastAsia="黑体" w:hAnsi="Times New Roman"/>
          <w:b w:val="0"/>
          <w:sz w:val="30"/>
          <w:szCs w:val="30"/>
        </w:rPr>
        <w:t>六、一般公共预算财政拨款基本支出决算情况</w:t>
      </w:r>
      <w:r>
        <w:rPr>
          <w:rFonts w:ascii="Times New Roman" w:eastAsia="黑体" w:hAnsi="Times New Roman" w:hint="eastAsia"/>
          <w:b w:val="0"/>
          <w:sz w:val="30"/>
          <w:szCs w:val="30"/>
        </w:rPr>
        <w:t>说明</w:t>
      </w:r>
      <w:bookmarkEnd w:id="23"/>
    </w:p>
    <w:p w14:paraId="35A1F94E">
      <w:pPr>
        <w:spacing w:line="600" w:lineRule="exact"/>
        <w:ind w:firstLine="600" w:firstLineChars="200"/>
        <w:jc w:val="both"/>
        <w:rPr>
          <w:rFonts w:ascii="Times New Roman" w:eastAsia="仿宋_GB2312" w:hAnsi="Times New Roman"/>
          <w:sz w:val="30"/>
          <w:szCs w:val="30"/>
        </w:rPr>
      </w:pPr>
      <w:r>
        <w:rPr>
          <w:rFonts w:ascii="Times New Roman" w:eastAsia="仿宋_GB2312" w:hAnsi="Times New Roman" w:cs="仿宋_GB2312" w:hint="eastAsia"/>
          <w:sz w:val="30"/>
          <w:szCs w:val="30"/>
        </w:rPr>
        <w:t>天津市津南区市场监督管理局（本级）2024年度部门决算一般公共预算财政拨款基本支出合计62,956,355.52元，与2023年度相比减少1,808,622.01元，主要原因是单位人员减少。其中：</w:t>
        <w:br/>
        <w:t>　　人员经费57,334,538.95元，主要包括基本工资、津贴补贴、奖金、绩效工资、机关事业单位养老保险缴费、职业年金缴费、职工基本医疗保险缴费、公务员医疗补助缴费、其他社会保障缴费、住房公积金、其他工资福利支出、离休费、退休费；</w:t>
        <w:br/>
        <w:t>　　公用经费5,621,816.57元，主要包括办公费、印刷费、水费、电费、邮电费、取暖费、物业管理费、差旅费、维修（护）费、培训费、劳务费、委托物业费、工会经费、福利费、公务用车运行维护费、其他交通费用、其他商品和服务支出、办公设备购置。</w:t>
      </w:r>
    </w:p>
    <w:p w14:paraId="21E5FA28">
      <w:pPr>
        <w:pStyle w:val="Heading2"/>
        <w:spacing w:before="0" w:after="0" w:line="600" w:lineRule="exact"/>
        <w:ind w:firstLine="600" w:firstLineChars="200"/>
        <w:rPr>
          <w:rFonts w:ascii="Times New Roman" w:eastAsia="楷体" w:hAnsi="Times New Roman" w:cs="仿宋_GB2312"/>
          <w:b w:val="0"/>
          <w:sz w:val="30"/>
          <w:szCs w:val="30"/>
        </w:rPr>
      </w:pPr>
      <w:bookmarkStart w:id="24" w:name="_Toc13712"/>
      <w:r>
        <w:rPr>
          <w:rFonts w:ascii="Times New Roman" w:eastAsia="黑体" w:hAnsi="Times New Roman" w:hint="eastAsia"/>
          <w:b w:val="0"/>
          <w:sz w:val="30"/>
          <w:szCs w:val="30"/>
        </w:rPr>
        <w:t>七</w:t>
      </w:r>
      <w:r>
        <w:rPr>
          <w:rFonts w:ascii="Times New Roman" w:eastAsia="黑体" w:hAnsi="Times New Roman"/>
          <w:b w:val="0"/>
          <w:sz w:val="30"/>
          <w:szCs w:val="30"/>
        </w:rPr>
        <w:t>、政府性基金预算财政拨款</w:t>
      </w:r>
      <w:r>
        <w:rPr>
          <w:rFonts w:ascii="Times New Roman" w:eastAsia="黑体" w:hAnsi="Times New Roman" w:hint="eastAsia"/>
          <w:b w:val="0"/>
          <w:sz w:val="30"/>
          <w:szCs w:val="30"/>
        </w:rPr>
        <w:t>收支决算</w:t>
      </w:r>
      <w:r>
        <w:rPr>
          <w:rFonts w:ascii="Times New Roman" w:eastAsia="黑体" w:hAnsi="Times New Roman"/>
          <w:b w:val="0"/>
          <w:sz w:val="30"/>
          <w:szCs w:val="30"/>
        </w:rPr>
        <w:t>情况</w:t>
      </w:r>
      <w:r>
        <w:rPr>
          <w:rFonts w:ascii="Times New Roman" w:eastAsia="黑体" w:hAnsi="Times New Roman" w:hint="eastAsia"/>
          <w:b w:val="0"/>
          <w:bCs w:val="0"/>
          <w:sz w:val="30"/>
          <w:szCs w:val="30"/>
        </w:rPr>
        <w:t>说明</w:t>
      </w:r>
      <w:bookmarkEnd w:id="24"/>
    </w:p>
    <w:p w14:paraId="0EBA9BB0">
      <w:pPr>
        <w:keepNext w:val="0"/>
        <w:keepLines w:val="0"/>
        <w:pageBreakBefore w:val="0"/>
        <w:widowControl w:val="0"/>
        <w:kinsoku/>
        <w:wordWrap/>
        <w:overflowPunct/>
        <w:topLinePunct w:val="0"/>
        <w:autoSpaceDE/>
        <w:autoSpaceDN/>
        <w:bidi w:val="0"/>
        <w:adjustRightInd w:val="0"/>
        <w:snapToGrid/>
        <w:spacing w:line="600" w:lineRule="exact"/>
        <w:ind w:left="0" w:firstLine="600" w:leftChars="0" w:firstLineChars="200"/>
        <w:textAlignment w:val="baseline"/>
        <w:rPr>
          <w:rFonts w:ascii="Times New Roman" w:eastAsia="楷体" w:hAnsi="Times New Roman" w:cs="仿宋_GB2312"/>
          <w:b/>
          <w:sz w:val="30"/>
          <w:szCs w:val="30"/>
        </w:rPr>
      </w:pPr>
      <w:r>
        <w:rPr>
          <w:rFonts w:ascii="Times New Roman" w:eastAsia="楷体" w:hAnsi="Times New Roman" w:cs="仿宋_GB2312" w:hint="eastAsia"/>
          <w:b/>
          <w:sz w:val="30"/>
          <w:szCs w:val="30"/>
        </w:rPr>
        <w:t>（一）总体情况</w:t>
      </w:r>
    </w:p>
    <w:p w14:paraId="27F36989">
      <w:pPr>
        <w:spacing w:line="600" w:lineRule="exact"/>
        <w:ind w:firstLine="600" w:firstLineChars="200"/>
        <w:jc w:val="both"/>
        <w:rPr>
          <w:rFonts w:ascii="Times New Roman" w:eastAsia="仿宋_GB2312" w:hAnsi="Times New Roman"/>
          <w:sz w:val="30"/>
          <w:szCs w:val="30"/>
        </w:rPr>
      </w:pPr>
      <w:r>
        <w:rPr>
          <w:rFonts w:ascii="Times New Roman" w:eastAsia="仿宋_GB2312" w:hAnsi="Times New Roman" w:cs="仿宋_GB2312" w:hint="eastAsia"/>
          <w:sz w:val="30"/>
          <w:szCs w:val="30"/>
        </w:rPr>
        <w:t>天津市津南区市场监督管理局（本级）2024年度无政府性基金预算财政拨款收入、支出和结转结余。</w:t>
      </w:r>
    </w:p>
    <w:p w14:paraId="402461E5">
      <w:pPr>
        <w:spacing w:line="600" w:lineRule="exact"/>
        <w:ind w:firstLine="600" w:firstLineChars="200"/>
        <w:rPr>
          <w:rFonts w:ascii="Times New Roman" w:eastAsia="楷体" w:hAnsi="Times New Roman" w:cs="仿宋_GB2312"/>
          <w:b/>
          <w:sz w:val="30"/>
          <w:szCs w:val="30"/>
        </w:rPr>
      </w:pPr>
      <w:r>
        <w:rPr>
          <w:rFonts w:ascii="Times New Roman" w:eastAsia="楷体" w:hAnsi="Times New Roman" w:cs="仿宋_GB2312" w:hint="eastAsia"/>
          <w:b/>
          <w:sz w:val="30"/>
          <w:szCs w:val="30"/>
        </w:rPr>
        <w:t>（二）支出结构情况</w:t>
      </w:r>
    </w:p>
    <w:p w14:paraId="4ECC5FB6">
      <w:pPr>
        <w:spacing w:line="600" w:lineRule="exact"/>
        <w:ind w:firstLine="600" w:firstLineChars="200"/>
        <w:jc w:val="both"/>
        <w:rPr>
          <w:rFonts w:ascii="Times New Roman" w:eastAsia="仿宋_GB2312" w:hAnsi="Times New Roman"/>
          <w:sz w:val="30"/>
          <w:szCs w:val="30"/>
        </w:rPr>
      </w:pPr>
      <w:r>
        <w:rPr>
          <w:rFonts w:ascii="Times New Roman" w:eastAsia="仿宋_GB2312" w:hAnsi="Times New Roman" w:cs="仿宋_GB2312" w:hint="eastAsia"/>
          <w:sz w:val="30"/>
          <w:szCs w:val="30"/>
        </w:rPr>
        <w:t>不涉及此项内容。</w:t>
      </w:r>
    </w:p>
    <w:p w14:paraId="1180BAF0">
      <w:pPr>
        <w:spacing w:line="600" w:lineRule="exact"/>
        <w:rPr>
          <w:rFonts w:ascii="Times New Roman" w:eastAsia="楷体" w:hAnsi="Times New Roman" w:cs="仿宋_GB2312"/>
          <w:b/>
          <w:sz w:val="30"/>
          <w:szCs w:val="30"/>
        </w:rPr>
      </w:pPr>
      <w:r>
        <w:rPr>
          <w:rFonts w:ascii="Times New Roman" w:eastAsia="楷体" w:hAnsi="Times New Roman" w:cs="仿宋_GB2312" w:hint="eastAsia"/>
          <w:b/>
          <w:sz w:val="30"/>
          <w:szCs w:val="30"/>
        </w:rPr>
        <w:t xml:space="preserve">    （三）</w:t>
      </w:r>
      <w:r>
        <w:rPr>
          <w:rFonts w:ascii="Times New Roman" w:eastAsia="楷体" w:hAnsi="Times New Roman" w:cs="仿宋_GB2312"/>
          <w:b/>
          <w:sz w:val="30"/>
          <w:szCs w:val="30"/>
        </w:rPr>
        <w:t>具体情况</w:t>
      </w:r>
    </w:p>
    <w:p w14:paraId="1290394B">
      <w:pPr>
        <w:spacing w:line="600" w:lineRule="exact"/>
        <w:ind w:firstLine="600" w:firstLineChars="200"/>
        <w:jc w:val="both"/>
        <w:rPr>
          <w:rFonts w:ascii="Times New Roman" w:eastAsia="仿宋_GB2312" w:hAnsi="Times New Roman"/>
          <w:sz w:val="30"/>
          <w:szCs w:val="30"/>
        </w:rPr>
      </w:pPr>
      <w:r>
        <w:rPr>
          <w:rFonts w:ascii="Times New Roman" w:eastAsia="仿宋_GB2312" w:hAnsi="Times New Roman" w:cs="仿宋_GB2312" w:hint="eastAsia"/>
          <w:sz w:val="30"/>
          <w:szCs w:val="30"/>
        </w:rPr>
        <w:t>不涉及此项内容。</w:t>
      </w:r>
    </w:p>
    <w:p w14:paraId="41F2BD40">
      <w:pPr>
        <w:pStyle w:val="Heading2"/>
        <w:spacing w:before="0" w:after="0" w:line="600" w:lineRule="exact"/>
        <w:ind w:firstLine="600" w:firstLineChars="200"/>
        <w:rPr>
          <w:rFonts w:ascii="Times New Roman" w:eastAsia="黑体" w:hAnsi="Times New Roman"/>
          <w:b w:val="0"/>
          <w:sz w:val="30"/>
          <w:szCs w:val="30"/>
        </w:rPr>
      </w:pPr>
      <w:bookmarkStart w:id="25" w:name="_Toc1902"/>
      <w:r>
        <w:rPr>
          <w:rFonts w:ascii="Times New Roman" w:eastAsia="黑体" w:hAnsi="Times New Roman" w:hint="eastAsia"/>
          <w:b w:val="0"/>
          <w:sz w:val="30"/>
          <w:szCs w:val="30"/>
        </w:rPr>
        <w:t>八、国有资本经营预算财政拨款收支决算情况</w:t>
      </w:r>
      <w:r>
        <w:rPr>
          <w:rFonts w:ascii="Times New Roman" w:eastAsia="黑体" w:hAnsi="Times New Roman" w:hint="eastAsia"/>
          <w:b w:val="0"/>
          <w:bCs w:val="0"/>
          <w:sz w:val="30"/>
          <w:szCs w:val="30"/>
        </w:rPr>
        <w:t>说明</w:t>
      </w:r>
      <w:bookmarkEnd w:id="25"/>
    </w:p>
    <w:p w14:paraId="18531346">
      <w:pPr>
        <w:spacing w:line="600" w:lineRule="exact"/>
        <w:ind w:firstLine="600" w:firstLineChars="200"/>
        <w:rPr>
          <w:rFonts w:ascii="Times New Roman" w:eastAsia="仿宋_GB2312" w:hAnsi="Times New Roman"/>
          <w:sz w:val="30"/>
          <w:szCs w:val="30"/>
        </w:rPr>
      </w:pPr>
      <w:r>
        <w:rPr>
          <w:rFonts w:ascii="Times New Roman" w:eastAsia="楷体" w:hAnsi="Times New Roman" w:cs="仿宋_GB2312" w:hint="eastAsia"/>
          <w:b/>
          <w:sz w:val="30"/>
          <w:szCs w:val="30"/>
        </w:rPr>
        <w:t>（一）总体情况</w:t>
      </w:r>
    </w:p>
    <w:p w14:paraId="461721CC">
      <w:pPr>
        <w:spacing w:line="600" w:lineRule="exact"/>
        <w:ind w:firstLine="600" w:firstLineChars="200"/>
        <w:jc w:val="both"/>
        <w:rPr>
          <w:rFonts w:ascii="Times New Roman" w:eastAsia="仿宋_GB2312" w:hAnsi="Times New Roman"/>
          <w:sz w:val="30"/>
          <w:szCs w:val="30"/>
        </w:rPr>
      </w:pPr>
      <w:r>
        <w:rPr>
          <w:rFonts w:ascii="Times New Roman" w:eastAsia="仿宋_GB2312" w:hAnsi="Times New Roman" w:cs="仿宋_GB2312" w:hint="eastAsia"/>
          <w:sz w:val="30"/>
          <w:szCs w:val="30"/>
        </w:rPr>
        <w:t>天津市津南区市场监督管理局（本级）2024年度无国有资本经营预算财政拨款收入、支出和结转结余。</w:t>
      </w:r>
    </w:p>
    <w:p w14:paraId="00785FE3">
      <w:pPr>
        <w:spacing w:line="600" w:lineRule="exact"/>
        <w:ind w:firstLine="600" w:firstLineChars="200"/>
        <w:rPr>
          <w:rFonts w:ascii="Times New Roman" w:eastAsia="楷体" w:hAnsi="Times New Roman" w:cs="仿宋_GB2312"/>
          <w:b/>
          <w:sz w:val="30"/>
          <w:szCs w:val="30"/>
        </w:rPr>
      </w:pPr>
      <w:r>
        <w:rPr>
          <w:rFonts w:ascii="Times New Roman" w:eastAsia="楷体" w:hAnsi="Times New Roman" w:cs="仿宋_GB2312" w:hint="eastAsia"/>
          <w:b/>
          <w:sz w:val="30"/>
          <w:szCs w:val="30"/>
        </w:rPr>
        <w:t>（二）支出结构情况</w:t>
      </w:r>
    </w:p>
    <w:p w14:paraId="25033399">
      <w:pPr>
        <w:spacing w:line="600" w:lineRule="exact"/>
        <w:ind w:firstLine="600" w:firstLineChars="200"/>
        <w:jc w:val="both"/>
        <w:rPr>
          <w:rFonts w:ascii="Times New Roman" w:eastAsia="仿宋_GB2312" w:hAnsi="Times New Roman"/>
          <w:sz w:val="30"/>
          <w:szCs w:val="30"/>
        </w:rPr>
      </w:pPr>
      <w:r>
        <w:rPr>
          <w:rFonts w:ascii="Times New Roman" w:eastAsia="仿宋_GB2312" w:hAnsi="Times New Roman" w:cs="仿宋_GB2312" w:hint="eastAsia"/>
          <w:sz w:val="30"/>
          <w:szCs w:val="30"/>
        </w:rPr>
        <w:t>不涉及此项内容。</w:t>
      </w:r>
    </w:p>
    <w:p w14:paraId="06DF4DE7">
      <w:pPr>
        <w:spacing w:line="600" w:lineRule="exact"/>
        <w:rPr>
          <w:rFonts w:ascii="Times New Roman" w:eastAsia="楷体" w:hAnsi="Times New Roman" w:cs="仿宋_GB2312"/>
          <w:b/>
          <w:sz w:val="30"/>
          <w:szCs w:val="30"/>
        </w:rPr>
      </w:pPr>
      <w:r>
        <w:rPr>
          <w:rFonts w:ascii="Times New Roman" w:eastAsia="楷体" w:hAnsi="Times New Roman" w:cs="仿宋_GB2312" w:hint="eastAsia"/>
          <w:b/>
          <w:sz w:val="30"/>
          <w:szCs w:val="30"/>
        </w:rPr>
        <w:t xml:space="preserve">    （三）</w:t>
      </w:r>
      <w:r>
        <w:rPr>
          <w:rFonts w:ascii="Times New Roman" w:eastAsia="楷体" w:hAnsi="Times New Roman" w:cs="仿宋_GB2312"/>
          <w:b/>
          <w:sz w:val="30"/>
          <w:szCs w:val="30"/>
        </w:rPr>
        <w:t>具体情况</w:t>
      </w:r>
    </w:p>
    <w:p w14:paraId="3FBC4350">
      <w:pPr>
        <w:spacing w:line="600" w:lineRule="exact"/>
        <w:ind w:firstLine="600" w:firstLineChars="200"/>
        <w:jc w:val="both"/>
        <w:rPr>
          <w:rFonts w:ascii="Times New Roman" w:eastAsia="仿宋_GB2312" w:hAnsi="Times New Roman"/>
          <w:sz w:val="30"/>
          <w:szCs w:val="30"/>
        </w:rPr>
      </w:pPr>
      <w:r>
        <w:rPr>
          <w:rFonts w:ascii="Times New Roman" w:eastAsia="仿宋_GB2312" w:hAnsi="Times New Roman" w:cs="仿宋_GB2312" w:hint="eastAsia"/>
          <w:sz w:val="30"/>
          <w:szCs w:val="30"/>
        </w:rPr>
        <w:t>不涉及此项内容。</w:t>
      </w:r>
    </w:p>
    <w:p w14:paraId="346F3296">
      <w:pPr>
        <w:pStyle w:val="Heading2"/>
        <w:spacing w:before="0" w:after="0" w:line="600" w:lineRule="exact"/>
        <w:ind w:firstLine="600" w:firstLineChars="200"/>
        <w:rPr>
          <w:rFonts w:ascii="Times New Roman" w:eastAsia="黑体" w:hAnsi="Times New Roman"/>
          <w:b w:val="0"/>
          <w:sz w:val="30"/>
          <w:szCs w:val="30"/>
        </w:rPr>
      </w:pPr>
      <w:bookmarkStart w:id="26" w:name="_Toc6751"/>
      <w:r>
        <w:rPr>
          <w:rFonts w:ascii="Times New Roman" w:eastAsia="黑体" w:hAnsi="Times New Roman" w:hint="eastAsia"/>
          <w:b w:val="0"/>
          <w:sz w:val="30"/>
          <w:szCs w:val="30"/>
        </w:rPr>
        <w:t>九、</w:t>
      </w:r>
      <w:r>
        <w:rPr>
          <w:rFonts w:ascii="Times New Roman" w:eastAsia="黑体" w:hAnsi="Times New Roman"/>
          <w:b w:val="0"/>
          <w:sz w:val="30"/>
          <w:szCs w:val="30"/>
        </w:rPr>
        <w:t>财政拨款“三公”经费</w:t>
      </w:r>
      <w:r>
        <w:rPr>
          <w:rFonts w:ascii="Times New Roman" w:eastAsia="黑体" w:hAnsi="Times New Roman" w:hint="eastAsia"/>
          <w:b w:val="0"/>
          <w:sz w:val="30"/>
          <w:szCs w:val="30"/>
        </w:rPr>
        <w:t>支出决算</w:t>
      </w:r>
      <w:r>
        <w:rPr>
          <w:rFonts w:ascii="Times New Roman" w:eastAsia="黑体" w:hAnsi="Times New Roman"/>
          <w:b w:val="0"/>
          <w:sz w:val="30"/>
          <w:szCs w:val="30"/>
        </w:rPr>
        <w:t>情况</w:t>
      </w:r>
      <w:r>
        <w:rPr>
          <w:rFonts w:ascii="Times New Roman" w:eastAsia="黑体" w:hAnsi="Times New Roman" w:hint="eastAsia"/>
          <w:b w:val="0"/>
          <w:bCs w:val="0"/>
          <w:sz w:val="30"/>
          <w:szCs w:val="30"/>
        </w:rPr>
        <w:t>说明</w:t>
      </w:r>
      <w:bookmarkEnd w:id="26"/>
    </w:p>
    <w:p w14:paraId="28F47079">
      <w:pPr>
        <w:spacing w:line="600" w:lineRule="exact"/>
        <w:ind w:firstLine="600" w:firstLineChars="200"/>
        <w:rPr>
          <w:rFonts w:ascii="Times New Roman" w:eastAsia="楷体" w:hAnsi="Times New Roman" w:cs="楷体"/>
          <w:b/>
          <w:bCs/>
          <w:sz w:val="30"/>
          <w:szCs w:val="30"/>
        </w:rPr>
      </w:pPr>
      <w:r>
        <w:rPr>
          <w:rFonts w:ascii="Times New Roman" w:eastAsia="楷体" w:hAnsi="Times New Roman" w:cs="楷体" w:hint="eastAsia"/>
          <w:b/>
          <w:bCs/>
          <w:sz w:val="30"/>
          <w:szCs w:val="30"/>
        </w:rPr>
        <w:t>（一）总体情况</w:t>
      </w:r>
    </w:p>
    <w:p w14:paraId="448B8C7A">
      <w:pPr>
        <w:spacing w:line="600" w:lineRule="exact"/>
        <w:ind w:firstLine="600" w:firstLineChars="200"/>
        <w:jc w:val="both"/>
        <w:rPr>
          <w:rFonts w:ascii="Times New Roman" w:eastAsia="仿宋_GB2312" w:hAnsi="Times New Roman"/>
          <w:sz w:val="30"/>
          <w:szCs w:val="30"/>
        </w:rPr>
      </w:pPr>
      <w:r>
        <w:rPr>
          <w:rFonts w:ascii="Times New Roman" w:eastAsia="仿宋_GB2312" w:hAnsi="Times New Roman" w:cs="仿宋_GB2312" w:hint="eastAsia"/>
          <w:sz w:val="30"/>
          <w:szCs w:val="30"/>
        </w:rPr>
        <w:t>2024年财政拨款“三公”经费预算1,043,866.02元，支出决算1,043,866.02元（去年同期588,085.89元），支出决算与2024年预算相比持平，完成预算的100%；支出决算较上年增加455,780.13元，增长77.5%。决算数与预算数相比持平的主要原因是年内未执行完的“三公”经费预算在年末核减。决算数较上年增加的主要原因是今年新购置4辆车,公车购置费增加。</w:t>
      </w:r>
    </w:p>
    <w:p w14:paraId="3898F8D7">
      <w:pPr>
        <w:spacing w:line="600" w:lineRule="exact"/>
        <w:ind w:firstLine="600" w:firstLineChars="200"/>
        <w:rPr>
          <w:rFonts w:ascii="Times New Roman" w:eastAsia="楷体" w:hAnsi="Times New Roman" w:cs="楷体"/>
          <w:b/>
          <w:bCs/>
          <w:sz w:val="30"/>
          <w:szCs w:val="30"/>
        </w:rPr>
      </w:pPr>
      <w:r>
        <w:rPr>
          <w:rFonts w:ascii="Times New Roman" w:eastAsia="楷体" w:hAnsi="Times New Roman" w:cs="楷体" w:hint="eastAsia"/>
          <w:b/>
          <w:bCs/>
          <w:sz w:val="30"/>
          <w:szCs w:val="30"/>
        </w:rPr>
        <w:t>（二）具体情况</w:t>
      </w:r>
    </w:p>
    <w:p w14:paraId="5F8F25BF">
      <w:pPr>
        <w:spacing w:line="600" w:lineRule="exact"/>
        <w:ind w:firstLine="600" w:firstLineChars="200"/>
        <w:jc w:val="both"/>
        <w:rPr>
          <w:rFonts w:ascii="Times New Roman" w:eastAsia="仿宋_GB2312" w:hAnsi="Times New Roman" w:cs="仿宋_GB2312"/>
          <w:sz w:val="30"/>
          <w:szCs w:val="30"/>
        </w:rPr>
      </w:pPr>
      <w:r>
        <w:rPr>
          <w:rFonts w:ascii="Times New Roman" w:eastAsia="仿宋_GB2312" w:hAnsi="Times New Roman" w:cs="仿宋_GB2312" w:hint="eastAsia"/>
          <w:sz w:val="30"/>
          <w:szCs w:val="30"/>
        </w:rPr>
        <w:t>1.因公出国（境）费预算0元，支出决算0元（去年同期0元），支出决算与2024年预算相比持平；支出决算较上年持平。因本年及去年同期均未使用财政拨款列支因公出国（境）费，故本年支出决算与本年预算、上年支出决算均持平为0。</w:t>
        <w:br/>
        <w:t>　　2024年本单位组织的出国团组0个，出国0人次。</w:t>
      </w:r>
    </w:p>
    <w:p w14:paraId="11A801D5">
      <w:pPr>
        <w:spacing w:line="600" w:lineRule="exact"/>
        <w:ind w:firstLine="600" w:firstLineChars="200"/>
        <w:jc w:val="both"/>
        <w:rPr>
          <w:rFonts w:ascii="Times New Roman" w:eastAsia="仿宋_GB2312" w:hAnsi="Times New Roman" w:cs="仿宋_GB2312"/>
          <w:sz w:val="30"/>
          <w:szCs w:val="30"/>
        </w:rPr>
      </w:pPr>
      <w:r>
        <w:rPr>
          <w:rFonts w:ascii="Times New Roman" w:eastAsia="仿宋_GB2312" w:hAnsi="Times New Roman" w:cs="仿宋_GB2312" w:hint="eastAsia"/>
          <w:sz w:val="30"/>
          <w:szCs w:val="30"/>
        </w:rPr>
        <w:t>2.公务用车购置及运行维护费预算1,043,866.02元，支出决算1,043,866.02元（去年同期588,085.89元），支出决算与2024年预算相比持平，完成预算的100%；支出决算较上年增加455,780.13元，增长77.5%。决算数与预算数相比持平的主要原因是年内未执行完的公务用车购置及运行维护费预算在年末核减。决算数较上年增加的主要原因是今年新购置4辆车,公车购置费增加。其中：</w:t>
        <w:br/>
        <w:t>　　公务用车运行维护费预算443,972.04元，支出决算443,972.04元（去年同期588,085.89元），支出决算与2024年预算相比持平，完成预算的100%；支出决算较上年减少144,113.85元，下降24.5%。决算数与预算数相比持平的主要原因是年内未执行完的公务用车运行维护费预算在年末核减。决算数较上年减少的主要原因是落实过紧日子要求，从严控制各项支出，公务用车运行维护费支出减少。</w:t>
        <w:br/>
        <w:t>　　截至2024年12月31日，使用财政拨款开支运行维护费的公务用车保有量为32辆。</w:t>
        <w:br/>
        <w:t>　　公务用车购置费预算599,893.98元，支出决算599,893.98元（去年同期0元），支出决算与2024年预算相比持平，完成预算的100%；支出决算较上年增加599,893.98元。决算数与预算数相比持平的主要原因是年内未执行完的公务用车购置费预算在年末核减。决算数较上年增加的主要原因是2024年购置公务用车4辆。</w:t>
        <w:br/>
        <w:t>　　2024年购置公务用车4辆。</w:t>
      </w:r>
    </w:p>
    <w:p w14:paraId="755AFC00">
      <w:pPr>
        <w:spacing w:line="600" w:lineRule="exact"/>
        <w:ind w:firstLine="600" w:firstLineChars="200"/>
        <w:jc w:val="both"/>
        <w:rPr>
          <w:rFonts w:ascii="Times New Roman" w:eastAsia="仿宋_GB2312" w:hAnsi="Times New Roman" w:cs="仿宋_GB2312"/>
          <w:sz w:val="30"/>
          <w:szCs w:val="30"/>
        </w:rPr>
      </w:pPr>
      <w:r>
        <w:rPr>
          <w:rFonts w:ascii="Times New Roman" w:eastAsia="仿宋_GB2312" w:hAnsi="Times New Roman" w:cs="仿宋_GB2312" w:hint="eastAsia"/>
          <w:sz w:val="30"/>
          <w:szCs w:val="30"/>
        </w:rPr>
        <w:t>3.公务接待费预算0元，支出决算0元（去年同期0元），支出决算与2024年预算相比持平；支出决算较上年持平。因本年及去年同期均未使用财政拨款列支公务接待费，故本年支出决算与本年预算、上年支出决算均持平为0。</w:t>
        <w:br/>
        <w:t>　　2024年本单位国内公务接待0批次，0人次；其中，外事接待0批次，0人次。</w:t>
      </w:r>
    </w:p>
    <w:p w14:paraId="3E8291F9">
      <w:pPr>
        <w:pStyle w:val="Heading2"/>
        <w:spacing w:before="0" w:after="0" w:line="600" w:lineRule="exact"/>
        <w:ind w:firstLine="600" w:firstLineChars="200"/>
        <w:rPr>
          <w:rFonts w:ascii="Times New Roman" w:eastAsia="黑体" w:hAnsi="Times New Roman"/>
          <w:b w:val="0"/>
          <w:sz w:val="30"/>
          <w:szCs w:val="30"/>
        </w:rPr>
      </w:pPr>
      <w:bookmarkStart w:id="27" w:name="_Toc2589"/>
      <w:r>
        <w:rPr>
          <w:rFonts w:ascii="Times New Roman" w:eastAsia="黑体" w:hAnsi="Times New Roman" w:hint="eastAsia"/>
          <w:b w:val="0"/>
          <w:sz w:val="30"/>
          <w:szCs w:val="30"/>
        </w:rPr>
        <w:t>十、</w:t>
      </w:r>
      <w:r>
        <w:rPr>
          <w:rFonts w:ascii="Times New Roman" w:eastAsia="黑体" w:hAnsi="Times New Roman"/>
          <w:b w:val="0"/>
          <w:sz w:val="30"/>
          <w:szCs w:val="30"/>
        </w:rPr>
        <w:t>机关运行经费</w:t>
      </w:r>
      <w:r>
        <w:rPr>
          <w:rFonts w:ascii="Times New Roman" w:eastAsia="黑体" w:hAnsi="Times New Roman" w:hint="eastAsia"/>
          <w:b w:val="0"/>
          <w:sz w:val="30"/>
          <w:szCs w:val="30"/>
        </w:rPr>
        <w:t>支出情况</w:t>
      </w:r>
      <w:r>
        <w:rPr>
          <w:rFonts w:ascii="Times New Roman" w:eastAsia="黑体" w:hAnsi="Times New Roman" w:hint="eastAsia"/>
          <w:b w:val="0"/>
          <w:bCs w:val="0"/>
          <w:sz w:val="30"/>
          <w:szCs w:val="30"/>
        </w:rPr>
        <w:t>说明</w:t>
      </w:r>
      <w:bookmarkEnd w:id="27"/>
    </w:p>
    <w:p w14:paraId="3226CE9B">
      <w:pPr>
        <w:spacing w:line="600" w:lineRule="exact"/>
        <w:ind w:firstLine="600"/>
        <w:jc w:val="both"/>
        <w:rPr>
          <w:rFonts w:ascii="Times New Roman" w:eastAsia="楷体" w:hAnsi="Times New Roman"/>
          <w:sz w:val="30"/>
          <w:szCs w:val="30"/>
        </w:rPr>
      </w:pPr>
      <w:r>
        <w:rPr>
          <w:rFonts w:ascii="Times New Roman" w:eastAsia="仿宋_GB2312" w:hAnsi="Times New Roman" w:cs="仿宋_GB2312" w:hint="eastAsia"/>
          <w:sz w:val="30"/>
          <w:szCs w:val="30"/>
        </w:rPr>
        <w:t>机关运行经费是指行政单位和参照公务员法管理的事业单位使用财政拨款安排的基本支出中的日常公用经费支出，天津市津南区市场监督管理局（本级）2024年度机关运行经费年初预算4,580,683.95元，决算数5,621,816.57元，与年初预算相比增加1,041,132.62元，完成年初预算的122.7%；比2023年减少425,865.08元，下降7%，主要原因是落实过紧日子要求，从严控制各项支出，机关运行经费支出减少。</w:t>
      </w:r>
    </w:p>
    <w:p w14:paraId="15D0DF49">
      <w:pPr>
        <w:pStyle w:val="Heading2"/>
        <w:spacing w:before="0" w:after="0" w:line="600" w:lineRule="exact"/>
        <w:ind w:firstLine="600" w:firstLineChars="200"/>
        <w:rPr>
          <w:rFonts w:ascii="Times New Roman" w:eastAsia="黑体" w:hAnsi="Times New Roman"/>
          <w:b w:val="0"/>
          <w:sz w:val="30"/>
          <w:szCs w:val="30"/>
        </w:rPr>
      </w:pPr>
      <w:bookmarkStart w:id="28" w:name="_Toc15010"/>
      <w:r>
        <w:rPr>
          <w:rFonts w:ascii="Times New Roman" w:eastAsia="黑体" w:hAnsi="Times New Roman" w:hint="eastAsia"/>
          <w:b w:val="0"/>
          <w:sz w:val="30"/>
          <w:szCs w:val="30"/>
        </w:rPr>
        <w:t>十一、</w:t>
      </w:r>
      <w:r>
        <w:rPr>
          <w:rFonts w:ascii="Times New Roman" w:eastAsia="黑体" w:hAnsi="Times New Roman"/>
          <w:b w:val="0"/>
          <w:sz w:val="30"/>
          <w:szCs w:val="30"/>
        </w:rPr>
        <w:t>政府采购</w:t>
      </w:r>
      <w:r>
        <w:rPr>
          <w:rFonts w:ascii="Times New Roman" w:eastAsia="黑体" w:hAnsi="Times New Roman" w:hint="eastAsia"/>
          <w:b w:val="0"/>
          <w:sz w:val="30"/>
          <w:szCs w:val="30"/>
        </w:rPr>
        <w:t>支出</w:t>
      </w:r>
      <w:r>
        <w:rPr>
          <w:rFonts w:ascii="Times New Roman" w:eastAsia="黑体" w:hAnsi="Times New Roman"/>
          <w:b w:val="0"/>
          <w:sz w:val="30"/>
          <w:szCs w:val="30"/>
        </w:rPr>
        <w:t>情况</w:t>
      </w:r>
      <w:r>
        <w:rPr>
          <w:rFonts w:ascii="Times New Roman" w:eastAsia="黑体" w:hAnsi="Times New Roman" w:hint="eastAsia"/>
          <w:b w:val="0"/>
          <w:bCs w:val="0"/>
          <w:sz w:val="30"/>
          <w:szCs w:val="30"/>
        </w:rPr>
        <w:t>说明</w:t>
      </w:r>
      <w:bookmarkEnd w:id="28"/>
    </w:p>
    <w:p w14:paraId="0912B83C">
      <w:pPr>
        <w:spacing w:line="600" w:lineRule="exact"/>
        <w:ind w:firstLine="600" w:firstLineChars="200"/>
        <w:jc w:val="both"/>
        <w:rPr>
          <w:rFonts w:ascii="Times New Roman" w:eastAsia="楷体" w:hAnsi="Times New Roman"/>
          <w:sz w:val="30"/>
          <w:szCs w:val="30"/>
        </w:rPr>
      </w:pPr>
      <w:r>
        <w:rPr>
          <w:rFonts w:ascii="Times New Roman" w:eastAsia="仿宋_GB2312" w:hAnsi="Times New Roman" w:cs="仿宋_GB2312" w:hint="eastAsia"/>
          <w:sz w:val="30"/>
          <w:szCs w:val="30"/>
        </w:rPr>
        <w:t>天津市津南区市场监督管理局（本级）2024年政府采购支出总额9,259,685元，其中：政府采购货物支出668,660元、政府采购工程支出0元、政府采购服务支出8,591,025元。授予中小企业合同金额7,954,685元，占政府采购支出总额的85.9%，其中：授予小微企业合同金额2,715,285元，占政府采购支出总额的29.3%；货物采购授予中小企业合同金额占货物支出金额的100%，工程采购授予中小企业合同金额占工程支出金额的0%，服务采购授予中小企业合同金额占服务支出金额的100%。</w:t>
      </w:r>
    </w:p>
    <w:p w14:paraId="2E327891">
      <w:pPr>
        <w:pStyle w:val="Heading2"/>
        <w:spacing w:before="0" w:after="0" w:line="600" w:lineRule="exact"/>
        <w:ind w:firstLine="600" w:firstLineChars="200"/>
        <w:rPr>
          <w:rFonts w:ascii="Times New Roman" w:eastAsia="黑体" w:hAnsi="Times New Roman"/>
          <w:b w:val="0"/>
          <w:sz w:val="30"/>
          <w:szCs w:val="30"/>
        </w:rPr>
      </w:pPr>
      <w:bookmarkStart w:id="29" w:name="_Toc32128"/>
      <w:r>
        <w:rPr>
          <w:rFonts w:ascii="Times New Roman" w:eastAsia="黑体" w:hAnsi="Times New Roman" w:hint="eastAsia"/>
          <w:b w:val="0"/>
          <w:sz w:val="30"/>
          <w:szCs w:val="30"/>
        </w:rPr>
        <w:t>十二、国有资产占有使用情况</w:t>
      </w:r>
      <w:r>
        <w:rPr>
          <w:rFonts w:ascii="Times New Roman" w:eastAsia="黑体" w:hAnsi="Times New Roman" w:hint="eastAsia"/>
          <w:b w:val="0"/>
          <w:bCs w:val="0"/>
          <w:sz w:val="30"/>
          <w:szCs w:val="30"/>
        </w:rPr>
        <w:t>说明</w:t>
      </w:r>
      <w:bookmarkEnd w:id="29"/>
    </w:p>
    <w:p w14:paraId="614810F1">
      <w:pPr>
        <w:spacing w:line="600" w:lineRule="exact"/>
        <w:ind w:firstLine="600" w:firstLineChars="200"/>
        <w:jc w:val="both"/>
        <w:rPr>
          <w:rFonts w:ascii="Times New Roman" w:eastAsia="楷体" w:hAnsi="Times New Roman"/>
          <w:sz w:val="30"/>
          <w:szCs w:val="30"/>
        </w:rPr>
      </w:pPr>
      <w:r>
        <w:rPr>
          <w:rFonts w:ascii="Times New Roman" w:eastAsia="仿宋_GB2312" w:hAnsi="Times New Roman" w:cs="仿宋_GB2312" w:hint="eastAsia"/>
          <w:sz w:val="30"/>
          <w:szCs w:val="30"/>
        </w:rPr>
        <w:t>截至2024年12月31日，天津市津南区市场监督管理局（本级）共有车辆36辆，其中：副部（省）级及以上领导用车0辆、主要负责人用车0辆、机要通信用车0辆、应急保障用车0辆、执法执勤用车27辆、特种专业技术用车0辆、离退休干部用车0辆、其他用车9辆，其他用车主要包括抽检业务用车。单价100万元以上的设备0台（套）。</w:t>
      </w:r>
    </w:p>
    <w:p w14:paraId="24BEC538">
      <w:pPr>
        <w:pStyle w:val="Heading2"/>
        <w:spacing w:before="0" w:after="0" w:line="540" w:lineRule="exact"/>
        <w:ind w:firstLine="600" w:firstLineChars="200"/>
        <w:rPr>
          <w:rFonts w:ascii="Times New Roman" w:eastAsia="黑体" w:hAnsi="Times New Roman"/>
          <w:b w:val="0"/>
          <w:bCs w:val="0"/>
          <w:sz w:val="30"/>
          <w:szCs w:val="30"/>
        </w:rPr>
      </w:pPr>
      <w:bookmarkStart w:id="30" w:name="_Toc31889"/>
      <w:r>
        <w:rPr>
          <w:rFonts w:ascii="Times New Roman" w:eastAsia="黑体" w:hAnsi="Times New Roman" w:hint="eastAsia"/>
          <w:b w:val="0"/>
          <w:bCs w:val="0"/>
          <w:sz w:val="30"/>
          <w:szCs w:val="30"/>
        </w:rPr>
        <w:t>十三、预算绩效情况说明</w:t>
      </w:r>
      <w:bookmarkEnd w:id="30"/>
    </w:p>
    <w:p w14:paraId="45A0BCC0">
      <w:pPr>
        <w:spacing w:line="600" w:lineRule="exact"/>
        <w:ind w:firstLine="600" w:firstLineChars="200"/>
        <w:jc w:val="both"/>
        <w:rPr>
          <w:rFonts w:ascii="Times New Roman" w:eastAsia="仿宋_GB2312" w:hAnsi="Times New Roman"/>
          <w:sz w:val="30"/>
          <w:szCs w:val="30"/>
          <w:highlight w:val="yellow"/>
        </w:rPr>
      </w:pPr>
      <w:r>
        <w:rPr>
          <w:rFonts w:ascii="Times New Roman" w:eastAsia="仿宋_GB2312" w:hAnsi="Times New Roman" w:cs="仿宋_GB2312" w:hint="eastAsia"/>
          <w:sz w:val="30"/>
          <w:szCs w:val="30"/>
        </w:rPr>
        <w:t>根据预算绩效管理要求，天津市津南区市场监督管理局（本级）2024年度已对26个区级项目开展绩效自评，涉及金额14267811.66元，自评结果已随部门决算一并公开。</w:t>
      </w:r>
    </w:p>
    <w:p w14:paraId="4275EF8F">
      <w:pPr>
        <w:pStyle w:val="Heading2"/>
        <w:spacing w:before="0" w:after="0" w:line="600" w:lineRule="exact"/>
        <w:ind w:firstLine="600" w:firstLineChars="200"/>
        <w:rPr>
          <w:rFonts w:ascii="Times New Roman" w:eastAsia="黑体" w:hAnsi="Times New Roman"/>
          <w:b w:val="0"/>
          <w:sz w:val="30"/>
          <w:szCs w:val="30"/>
        </w:rPr>
      </w:pPr>
      <w:bookmarkStart w:id="31" w:name="_Toc6543"/>
      <w:r>
        <w:rPr>
          <w:rFonts w:ascii="Times New Roman" w:eastAsia="黑体" w:hAnsi="Times New Roman" w:hint="eastAsia"/>
          <w:b w:val="0"/>
          <w:sz w:val="30"/>
          <w:szCs w:val="30"/>
        </w:rPr>
        <w:t>十四、</w:t>
      </w:r>
      <w:r>
        <w:rPr>
          <w:rFonts w:ascii="Times New Roman" w:eastAsia="黑体" w:hAnsi="Times New Roman"/>
          <w:b w:val="0"/>
          <w:sz w:val="30"/>
          <w:szCs w:val="30"/>
        </w:rPr>
        <w:t>教育、医疗卫生、社会保障和就业、住房保障、涉农补贴等民生支出情况</w:t>
      </w:r>
      <w:r>
        <w:rPr>
          <w:rFonts w:ascii="Times New Roman" w:eastAsia="黑体" w:hAnsi="Times New Roman" w:hint="eastAsia"/>
          <w:b w:val="0"/>
          <w:bCs w:val="0"/>
          <w:sz w:val="30"/>
          <w:szCs w:val="30"/>
        </w:rPr>
        <w:t>说明</w:t>
      </w:r>
      <w:bookmarkEnd w:id="31"/>
    </w:p>
    <w:p w14:paraId="7B1ECD1D">
      <w:pPr>
        <w:spacing w:line="600" w:lineRule="exact"/>
        <w:ind w:firstLine="600"/>
        <w:jc w:val="both"/>
        <w:rPr>
          <w:rFonts w:ascii="Times New Roman" w:eastAsia="楷体" w:hAnsi="Times New Roman"/>
          <w:b/>
          <w:bCs/>
          <w:sz w:val="30"/>
          <w:szCs w:val="30"/>
        </w:rPr>
        <w:sectPr>
          <w:pgSz w:w="11906" w:h="16838"/>
          <w:pgMar w:top="1440" w:right="1800" w:bottom="1440" w:left="1800" w:header="851" w:footer="992" w:gutter="0"/>
          <w:cols w:num="1" w:space="720"/>
          <w:docGrid w:type="lines" w:linePitch="312" w:charSpace="0"/>
        </w:sectPr>
      </w:pPr>
      <w:r>
        <w:rPr>
          <w:rFonts w:ascii="Times New Roman" w:eastAsia="仿宋_GB2312" w:hAnsi="Times New Roman" w:cs="仿宋_GB2312" w:hint="eastAsia"/>
          <w:sz w:val="30"/>
          <w:szCs w:val="30"/>
        </w:rPr>
        <w:t>天津市津南区市场监督管理局（本级）不属于乡、镇、街级单位，不涉及公开2024年度教育、医疗卫生、社会保障和就业、住房保障、涉农补贴等民生支出情况。</w:t>
      </w:r>
      <w:r>
        <w:rPr>
          <w:rFonts w:ascii="Times New Roman" w:eastAsia="楷体" w:hAnsi="Times New Roman"/>
          <w:b/>
          <w:bCs/>
          <w:sz w:val="30"/>
          <w:szCs w:val="30"/>
        </w:rPr>
        <w:t xml:space="preserve"> </w:t>
      </w:r>
    </w:p>
    <w:p w14:paraId="67AFD435">
      <w:pPr>
        <w:pStyle w:val="Heading1"/>
        <w:spacing w:before="0" w:after="0" w:line="600" w:lineRule="exact"/>
        <w:jc w:val="center"/>
        <w:rPr>
          <w:rFonts w:ascii="Times New Roman" w:eastAsia="方正小标宋简体" w:hAnsi="Times New Roman" w:cs="方正小标宋简体"/>
          <w:b w:val="0"/>
        </w:rPr>
      </w:pPr>
      <w:bookmarkStart w:id="32" w:name="_Toc24691"/>
      <w:bookmarkStart w:id="33" w:name="_Toc17573"/>
      <w:r>
        <w:rPr>
          <w:rFonts w:ascii="Times New Roman" w:eastAsia="方正小标宋简体" w:hAnsi="Times New Roman" w:cs="方正小标宋简体" w:hint="eastAsia"/>
          <w:b w:val="0"/>
        </w:rPr>
        <w:t>第四部分  名词解释</w:t>
      </w:r>
      <w:bookmarkEnd w:id="32"/>
      <w:bookmarkEnd w:id="33"/>
    </w:p>
    <w:p w14:paraId="5F6CED10">
      <w:pPr>
        <w:spacing w:line="600" w:lineRule="exact"/>
        <w:ind w:firstLine="600" w:firstLineChars="200"/>
        <w:rPr>
          <w:rFonts w:ascii="Times New Roman" w:eastAsia="仿宋_GB2312" w:hAnsi="Times New Roman"/>
          <w:sz w:val="30"/>
          <w:szCs w:val="30"/>
        </w:rPr>
      </w:pPr>
    </w:p>
    <w:p w14:paraId="70CF69A8">
      <w:pPr>
        <w:numPr>
          <w:ilvl w:val="0"/>
          <w:numId w:val="2"/>
        </w:numPr>
        <w:spacing w:line="600" w:lineRule="exact"/>
        <w:ind w:firstLine="600" w:firstLineChars="200"/>
        <w:rPr>
          <w:rFonts w:ascii="Times New Roman" w:eastAsia="仿宋_GB2312" w:hAnsi="Times New Roman"/>
          <w:sz w:val="30"/>
          <w:szCs w:val="30"/>
        </w:rPr>
      </w:pPr>
      <w:r>
        <w:rPr>
          <w:rFonts w:ascii="Times New Roman" w:eastAsia="仿宋_GB2312" w:hAnsi="Times New Roman" w:hint="eastAsia"/>
          <w:sz w:val="30"/>
          <w:szCs w:val="30"/>
        </w:rPr>
        <w:t>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14:paraId="601552FB">
      <w:pPr>
        <w:spacing w:line="600" w:lineRule="exact"/>
        <w:ind w:firstLine="600" w:firstLineChars="200"/>
        <w:rPr>
          <w:rFonts w:ascii="Times New Roman" w:eastAsia="仿宋_GB2312" w:hAnsi="Times New Roman"/>
          <w:sz w:val="30"/>
          <w:szCs w:val="30"/>
        </w:rPr>
      </w:pPr>
      <w:r>
        <w:rPr>
          <w:rFonts w:ascii="Times New Roman" w:eastAsia="仿宋_GB2312" w:hAnsi="Times New Roman" w:hint="eastAsia"/>
          <w:sz w:val="30"/>
          <w:szCs w:val="30"/>
        </w:rPr>
        <w:t>2.机关运行经费。反映为保障行政单位（含参照公务员管理事业单位）运行用于购买货物和服务的各项资金，包括办公及印刷费、邮电费、差旅费、会议费、福利费、日常维修费及一般设备购置费、办公用房水电费、办公用房取暖费、办公用房物业管理费、公务用车运行维护费以及其他费用。</w:t>
      </w:r>
    </w:p>
    <w:p w14:paraId="2D1D5840">
      <w:pPr>
        <w:spacing w:line="600" w:lineRule="exact"/>
        <w:ind w:firstLine="600" w:firstLineChars="200"/>
        <w:rPr>
          <w:rFonts w:ascii="Times New Roman" w:eastAsia="仿宋_GB2312" w:hAnsi="Times New Roman"/>
          <w:sz w:val="30"/>
          <w:szCs w:val="30"/>
        </w:rPr>
      </w:pPr>
      <w:r>
        <w:rPr>
          <w:rFonts w:ascii="Times New Roman" w:eastAsia="仿宋_GB2312" w:hAnsi="Times New Roman" w:hint="eastAsia"/>
          <w:sz w:val="30"/>
          <w:szCs w:val="30"/>
        </w:rPr>
        <w:t>3.“三公”经费。是指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燃料费、维修费、过桥过路费、保险费、安全奖励费用等支出；公务接待费反映单位按规定开支的各类公务接待（含外宾接待）支出。</w:t>
      </w:r>
    </w:p>
    <w:p w14:paraId="360EE6DE">
      <w:pPr>
        <w:spacing w:line="600" w:lineRule="exact"/>
        <w:ind w:firstLine="600"/>
        <w:rPr>
          <w:rFonts w:ascii="Times New Roman" w:eastAsia="仿宋_GB2312" w:hAnsi="Times New Roman"/>
          <w:sz w:val="30"/>
          <w:szCs w:val="30"/>
        </w:rPr>
      </w:pPr>
    </w:p>
    <w:sectPr>
      <w:footerReference w:type="default" r:id="rId7"/>
      <w:pgSz w:w="11906" w:h="16838"/>
      <w:pgMar w:top="1440" w:right="1800" w:bottom="1440" w:left="1800" w:header="851" w:footer="992" w:gutter="0"/>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8B355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C601E2E">
    <w:pPr>
      <w:pStyle w:val="Footer"/>
    </w:pPr>
    <w:r>
      <mc:AlternateContent>
        <mc:Choice Requires="wps">
          <w:drawing>
            <wp:anchor distT="0" distB="0" distL="114300" distR="114300" simplePos="0" relativeHeight="251661312" behindDoc="0" locked="0" layoutInCell="1" allowOverlap="1">
              <wp:simplePos x="0" y="0"/>
              <wp:positionH relativeFrom="margin">
                <wp:posOffset>2632075</wp:posOffset>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15875">
                        <a:noFill/>
                      </a:ln>
                    </wps:spPr>
                    <wps:txbx>
                      <w:txbxContent>
                        <w:p>
                          <w:pPr>
                            <w:snapToGrid w:val="0"/>
                            <w:rPr>
                              <w:szCs w:val="24"/>
                            </w:rPr>
                          </w:pPr>
                          <w:r>
                            <w:rPr>
                              <w:rFonts w:hint="eastAsia"/>
                              <w:szCs w:val="24"/>
                            </w:rPr>
                            <w:fldChar w:fldCharType="begin"/>
                          </w:r>
                          <w:r>
                            <w:rPr>
                              <w:rFonts w:hint="eastAsia"/>
                              <w:szCs w:val="24"/>
                            </w:rPr>
                            <w:instrText xml:space="preserve"> PAGE  \* MERGEFORMAT </w:instrText>
                          </w:r>
                          <w:r>
                            <w:rPr>
                              <w:rFonts w:hint="eastAsia"/>
                              <w:szCs w:val="24"/>
                            </w:rPr>
                            <w:fldChar w:fldCharType="separate"/>
                          </w:r>
                          <w:r>
                            <w:rPr>
                              <w:szCs w:val="24"/>
                            </w:rPr>
                            <w:t>14</w:t>
                          </w:r>
                          <w:r>
                            <w:rPr>
                              <w:rFonts w:hint="eastAsia"/>
                              <w:szCs w:val="2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6" o:spid="_x0000_s2049" type="#_x0000_t202" style="width:2in;height:2in;margin-top:0;margin-left:207.25pt;mso-position-horizontal-relative:margin;mso-wrap-distance-bottom:0;mso-wrap-distance-left:9pt;mso-wrap-distance-right:9pt;mso-wrap-distance-top:0;mso-wrap-style:none;position:absolute;v-text-anchor:top;z-index:251660288" filled="f" fillcolor="this" stroked="f" strokeweight="1.25pt">
              <v:textbox style="mso-fit-shape-to-text:t" inset="0,0,0,0">
                <w:txbxContent>
                  <w:p w14:paraId="6D746DBC">
                    <w:pPr>
                      <w:snapToGrid w:val="0"/>
                      <w:rPr>
                        <w:szCs w:val="24"/>
                      </w:rPr>
                    </w:pPr>
                    <w:r>
                      <w:rPr>
                        <w:rFonts w:hint="eastAsia"/>
                        <w:szCs w:val="24"/>
                      </w:rPr>
                      <w:fldChar w:fldCharType="begin"/>
                    </w:r>
                    <w:r>
                      <w:rPr>
                        <w:rFonts w:hint="eastAsia"/>
                        <w:szCs w:val="24"/>
                      </w:rPr>
                      <w:instrText xml:space="preserve"> PAGE  \* MERGEFORMAT </w:instrText>
                    </w:r>
                    <w:r>
                      <w:rPr>
                        <w:rFonts w:hint="eastAsia"/>
                        <w:szCs w:val="24"/>
                      </w:rPr>
                      <w:fldChar w:fldCharType="separate"/>
                    </w:r>
                    <w:r>
                      <w:rPr>
                        <w:szCs w:val="24"/>
                      </w:rPr>
                      <w:t>14</w:t>
                    </w:r>
                    <w:r>
                      <w:rPr>
                        <w:rFonts w:hint="eastAsia"/>
                        <w:szCs w:val="24"/>
                      </w:rP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C4CCE6D">
    <w:pPr>
      <w:pStyle w:val="Footer"/>
    </w:pPr>
    <w:r>
      <mc:AlternateContent>
        <mc:Choice Requires="wps">
          <w:drawing>
            <wp:anchor distT="0" distB="0" distL="114300" distR="114300" simplePos="0" relativeHeight="251659264" behindDoc="0" locked="0" layoutInCell="1" allowOverlap="1">
              <wp:simplePos x="0" y="0"/>
              <wp:positionH relativeFrom="margin">
                <wp:posOffset>2632075</wp:posOffset>
              </wp:positionH>
              <wp:positionV relativeFrom="paragraph">
                <wp:posOffset>0</wp:posOffset>
              </wp:positionV>
              <wp:extent cx="1828800" cy="1828800"/>
              <wp:effectExtent l="3175" t="0" r="0" b="0"/>
              <wp:wrapNone/>
              <wp:docPr id="1" name="文本框 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828800" cy="1828800"/>
                      </a:xfrm>
                      <a:prstGeom prst="rect">
                        <a:avLst/>
                      </a:prstGeom>
                      <a:noFill/>
                      <a:ln>
                        <a:noFill/>
                      </a:ln>
                    </wps:spPr>
                    <wps:txbx>
                      <w:txbxContent>
                        <w:p>
                          <w:pPr>
                            <w:snapToGrid w:val="0"/>
                            <w:rPr>
                              <w:szCs w:val="24"/>
                            </w:rPr>
                          </w:pPr>
                          <w:r>
                            <w:rPr>
                              <w:rFonts w:hint="eastAsia"/>
                              <w:szCs w:val="24"/>
                            </w:rPr>
                            <w:fldChar w:fldCharType="begin"/>
                          </w:r>
                          <w:r>
                            <w:rPr>
                              <w:rFonts w:hint="eastAsia"/>
                              <w:szCs w:val="24"/>
                            </w:rPr>
                            <w:instrText xml:space="preserve"> PAGE  \* MERGEFORMAT </w:instrText>
                          </w:r>
                          <w:r>
                            <w:rPr>
                              <w:rFonts w:hint="eastAsia"/>
                              <w:szCs w:val="24"/>
                            </w:rPr>
                            <w:fldChar w:fldCharType="separate"/>
                          </w:r>
                          <w:r>
                            <w:rPr>
                              <w:szCs w:val="24"/>
                            </w:rPr>
                            <w:t>15</w:t>
                          </w:r>
                          <w:r>
                            <w:rPr>
                              <w:rFonts w:hint="eastAsia"/>
                              <w:szCs w:val="24"/>
                            </w:rPr>
                            <w:fldChar w:fldCharType="end"/>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6" o:spid="_x0000_s2050" type="#_x0000_t202" style="width:2in;height:2in;margin-top:0;margin-left:207.25pt;mso-position-horizontal-relative:margin;mso-wrap-distance-bottom:0;mso-wrap-distance-left:9pt;mso-wrap-distance-right:9pt;mso-wrap-distance-top:0;mso-wrap-style:none;position:absolute;v-text-anchor:top;z-index:251658240" filled="f" fillcolor="this" stroked="f">
              <v:textbox style="mso-fit-shape-to-text:t" inset="0,0,0,0">
                <w:txbxContent>
                  <w:p w14:paraId="3E944889">
                    <w:pPr>
                      <w:snapToGrid w:val="0"/>
                      <w:rPr>
                        <w:szCs w:val="24"/>
                      </w:rPr>
                    </w:pPr>
                    <w:r>
                      <w:rPr>
                        <w:rFonts w:hint="eastAsia"/>
                        <w:szCs w:val="24"/>
                      </w:rPr>
                      <w:fldChar w:fldCharType="begin"/>
                    </w:r>
                    <w:r>
                      <w:rPr>
                        <w:rFonts w:hint="eastAsia"/>
                        <w:szCs w:val="24"/>
                      </w:rPr>
                      <w:instrText xml:space="preserve"> PAGE  \* MERGEFORMAT </w:instrText>
                    </w:r>
                    <w:r>
                      <w:rPr>
                        <w:rFonts w:hint="eastAsia"/>
                        <w:szCs w:val="24"/>
                      </w:rPr>
                      <w:fldChar w:fldCharType="separate"/>
                    </w:r>
                    <w:r>
                      <w:rPr>
                        <w:szCs w:val="24"/>
                      </w:rPr>
                      <w:t>15</w:t>
                    </w:r>
                    <w:r>
                      <w:rPr>
                        <w:rFonts w:hint="eastAsia"/>
                        <w:szCs w:val="24"/>
                      </w:rPr>
                      <w:fldChar w:fldCharType="end"/>
                    </w:r>
                  </w:p>
                </w:txbxContent>
              </v:textbox>
              <w10:wrap anchorx="margin"/>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62CB79B7"/>
    <w:multiLevelType w:val="singleLevel"/>
    <w:tmpl w:val="62CB79B7"/>
    <w:lvl w:ilvl="0">
      <w:start w:val="3"/>
      <w:numFmt w:val="chineseCounting"/>
      <w:suff w:val="nothing"/>
      <w:lvlText w:val="（%1）"/>
      <w:lvlJc w:val="left"/>
    </w:lvl>
  </w:abstractNum>
  <w:abstractNum w:abstractNumId="1">
    <w:nsid w:val="62CB88B4"/>
    <w:multiLevelType w:val="singleLevel"/>
    <w:tmpl w:val="62CB88B4"/>
    <w:lvl w:ilvl="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1D802DB"/>
    <w:rsid w:val="D74FDF30"/>
    <w:rsid w:val="DEAEE68D"/>
    <w:rsid w:val="F7F97754"/>
    <w:rsid w:val="FB7FC3E7"/>
    <w:rsid w:val="FF3F61B6"/>
    <w:rsid w:val="FFC7ECE8"/>
    <w:rsid w:val="00015911"/>
    <w:rsid w:val="00046E1C"/>
    <w:rsid w:val="00053901"/>
    <w:rsid w:val="000864BF"/>
    <w:rsid w:val="00092AB8"/>
    <w:rsid w:val="000B4E39"/>
    <w:rsid w:val="000E2F8C"/>
    <w:rsid w:val="00100BE7"/>
    <w:rsid w:val="00112C55"/>
    <w:rsid w:val="001179AF"/>
    <w:rsid w:val="0012059C"/>
    <w:rsid w:val="00124993"/>
    <w:rsid w:val="0012531C"/>
    <w:rsid w:val="00126E2D"/>
    <w:rsid w:val="00132705"/>
    <w:rsid w:val="001829A0"/>
    <w:rsid w:val="00186ED8"/>
    <w:rsid w:val="001F0A7F"/>
    <w:rsid w:val="001F61CD"/>
    <w:rsid w:val="00203AAA"/>
    <w:rsid w:val="00241712"/>
    <w:rsid w:val="00243B89"/>
    <w:rsid w:val="002532F7"/>
    <w:rsid w:val="002566ED"/>
    <w:rsid w:val="00257643"/>
    <w:rsid w:val="00287148"/>
    <w:rsid w:val="002912A7"/>
    <w:rsid w:val="002952C1"/>
    <w:rsid w:val="002D2BBE"/>
    <w:rsid w:val="002E091E"/>
    <w:rsid w:val="002F00A9"/>
    <w:rsid w:val="003326FB"/>
    <w:rsid w:val="003365DD"/>
    <w:rsid w:val="003714D5"/>
    <w:rsid w:val="00381206"/>
    <w:rsid w:val="0038216E"/>
    <w:rsid w:val="003942CD"/>
    <w:rsid w:val="003A4529"/>
    <w:rsid w:val="003B47DF"/>
    <w:rsid w:val="003D48A6"/>
    <w:rsid w:val="004040D1"/>
    <w:rsid w:val="00432D37"/>
    <w:rsid w:val="00464079"/>
    <w:rsid w:val="00465602"/>
    <w:rsid w:val="004918AD"/>
    <w:rsid w:val="004A10D3"/>
    <w:rsid w:val="004A1361"/>
    <w:rsid w:val="0050332F"/>
    <w:rsid w:val="00503464"/>
    <w:rsid w:val="0052293E"/>
    <w:rsid w:val="00525F27"/>
    <w:rsid w:val="00532C4C"/>
    <w:rsid w:val="005438C2"/>
    <w:rsid w:val="00570354"/>
    <w:rsid w:val="005828D7"/>
    <w:rsid w:val="005B60DB"/>
    <w:rsid w:val="005C22AF"/>
    <w:rsid w:val="005F2510"/>
    <w:rsid w:val="00604094"/>
    <w:rsid w:val="006566FC"/>
    <w:rsid w:val="00676A5E"/>
    <w:rsid w:val="00684825"/>
    <w:rsid w:val="006A54BF"/>
    <w:rsid w:val="006D05B2"/>
    <w:rsid w:val="006D71B2"/>
    <w:rsid w:val="006E6D9E"/>
    <w:rsid w:val="00724386"/>
    <w:rsid w:val="00727434"/>
    <w:rsid w:val="00734D29"/>
    <w:rsid w:val="0077787E"/>
    <w:rsid w:val="00780DDB"/>
    <w:rsid w:val="0078399B"/>
    <w:rsid w:val="0079348B"/>
    <w:rsid w:val="007A3491"/>
    <w:rsid w:val="007B4B58"/>
    <w:rsid w:val="007F3679"/>
    <w:rsid w:val="007F448B"/>
    <w:rsid w:val="007F718E"/>
    <w:rsid w:val="00801B2B"/>
    <w:rsid w:val="00803B43"/>
    <w:rsid w:val="00817AE2"/>
    <w:rsid w:val="0085671E"/>
    <w:rsid w:val="00876FA4"/>
    <w:rsid w:val="00887A19"/>
    <w:rsid w:val="00893EAC"/>
    <w:rsid w:val="008A6092"/>
    <w:rsid w:val="008C3474"/>
    <w:rsid w:val="008C677C"/>
    <w:rsid w:val="008D2605"/>
    <w:rsid w:val="008D64CE"/>
    <w:rsid w:val="009142B8"/>
    <w:rsid w:val="00915276"/>
    <w:rsid w:val="00936468"/>
    <w:rsid w:val="009371C3"/>
    <w:rsid w:val="0094195A"/>
    <w:rsid w:val="00973659"/>
    <w:rsid w:val="0098387F"/>
    <w:rsid w:val="009E0EF5"/>
    <w:rsid w:val="009F18E1"/>
    <w:rsid w:val="009F6C2B"/>
    <w:rsid w:val="009F712F"/>
    <w:rsid w:val="00A026D9"/>
    <w:rsid w:val="00A03F1F"/>
    <w:rsid w:val="00A12C57"/>
    <w:rsid w:val="00A14B8A"/>
    <w:rsid w:val="00A41813"/>
    <w:rsid w:val="00A557F8"/>
    <w:rsid w:val="00A609A1"/>
    <w:rsid w:val="00AA676A"/>
    <w:rsid w:val="00B13870"/>
    <w:rsid w:val="00B14558"/>
    <w:rsid w:val="00B17258"/>
    <w:rsid w:val="00B210F5"/>
    <w:rsid w:val="00B44EDA"/>
    <w:rsid w:val="00B53416"/>
    <w:rsid w:val="00B70243"/>
    <w:rsid w:val="00B807AE"/>
    <w:rsid w:val="00BA3182"/>
    <w:rsid w:val="00BB0047"/>
    <w:rsid w:val="00BB051A"/>
    <w:rsid w:val="00BC1AE3"/>
    <w:rsid w:val="00BD343E"/>
    <w:rsid w:val="00BE511A"/>
    <w:rsid w:val="00BE682B"/>
    <w:rsid w:val="00C0672E"/>
    <w:rsid w:val="00C23867"/>
    <w:rsid w:val="00C33362"/>
    <w:rsid w:val="00C4105D"/>
    <w:rsid w:val="00C47864"/>
    <w:rsid w:val="00C50C4F"/>
    <w:rsid w:val="00C528B3"/>
    <w:rsid w:val="00C52B2B"/>
    <w:rsid w:val="00C53602"/>
    <w:rsid w:val="00C56340"/>
    <w:rsid w:val="00C77332"/>
    <w:rsid w:val="00C83F29"/>
    <w:rsid w:val="00CA5CD5"/>
    <w:rsid w:val="00CB5EF5"/>
    <w:rsid w:val="00CE4C80"/>
    <w:rsid w:val="00CE7A0E"/>
    <w:rsid w:val="00CF0671"/>
    <w:rsid w:val="00CF4ADE"/>
    <w:rsid w:val="00D20562"/>
    <w:rsid w:val="00D56FBF"/>
    <w:rsid w:val="00DA3A83"/>
    <w:rsid w:val="00DA7E95"/>
    <w:rsid w:val="00DB0D2B"/>
    <w:rsid w:val="00DC0D31"/>
    <w:rsid w:val="00E21DD7"/>
    <w:rsid w:val="00E412B5"/>
    <w:rsid w:val="00E42082"/>
    <w:rsid w:val="00E4337C"/>
    <w:rsid w:val="00E56EBF"/>
    <w:rsid w:val="00E56F06"/>
    <w:rsid w:val="00E576CC"/>
    <w:rsid w:val="00E61DF9"/>
    <w:rsid w:val="00E8285A"/>
    <w:rsid w:val="00E8795B"/>
    <w:rsid w:val="00EB277E"/>
    <w:rsid w:val="00EB7B3B"/>
    <w:rsid w:val="00EE2CA4"/>
    <w:rsid w:val="00F008E4"/>
    <w:rsid w:val="00F14DB8"/>
    <w:rsid w:val="00F3454D"/>
    <w:rsid w:val="00F3737B"/>
    <w:rsid w:val="00F6315A"/>
    <w:rsid w:val="00FF6CDB"/>
    <w:rsid w:val="01582EB3"/>
    <w:rsid w:val="01D92F4B"/>
    <w:rsid w:val="021D09AE"/>
    <w:rsid w:val="02317CA1"/>
    <w:rsid w:val="02C26D17"/>
    <w:rsid w:val="032B2B72"/>
    <w:rsid w:val="03633F1C"/>
    <w:rsid w:val="03877CF5"/>
    <w:rsid w:val="03971CD2"/>
    <w:rsid w:val="03A73B20"/>
    <w:rsid w:val="03AF5F26"/>
    <w:rsid w:val="04D27C6A"/>
    <w:rsid w:val="04DA6E85"/>
    <w:rsid w:val="054E0E8D"/>
    <w:rsid w:val="059D199E"/>
    <w:rsid w:val="065A73D7"/>
    <w:rsid w:val="068D56CD"/>
    <w:rsid w:val="068F1656"/>
    <w:rsid w:val="06CE3C39"/>
    <w:rsid w:val="070745F4"/>
    <w:rsid w:val="0750320D"/>
    <w:rsid w:val="080C427F"/>
    <w:rsid w:val="08496DC5"/>
    <w:rsid w:val="08601190"/>
    <w:rsid w:val="08610C17"/>
    <w:rsid w:val="08754C50"/>
    <w:rsid w:val="08AB76E6"/>
    <w:rsid w:val="08B17C7F"/>
    <w:rsid w:val="09794F69"/>
    <w:rsid w:val="09965884"/>
    <w:rsid w:val="09A97994"/>
    <w:rsid w:val="09BC7107"/>
    <w:rsid w:val="09C86481"/>
    <w:rsid w:val="09CD6F6A"/>
    <w:rsid w:val="0ABD2EA9"/>
    <w:rsid w:val="0AF02B7A"/>
    <w:rsid w:val="0B0C0657"/>
    <w:rsid w:val="0B2F7E6E"/>
    <w:rsid w:val="0B7057C8"/>
    <w:rsid w:val="0BF51CAC"/>
    <w:rsid w:val="0C327E5C"/>
    <w:rsid w:val="0C782ACE"/>
    <w:rsid w:val="0CD8398F"/>
    <w:rsid w:val="0D66464C"/>
    <w:rsid w:val="0DCA24E7"/>
    <w:rsid w:val="0E1905E8"/>
    <w:rsid w:val="0E3D2D31"/>
    <w:rsid w:val="0E6B081A"/>
    <w:rsid w:val="0E812A35"/>
    <w:rsid w:val="0F1A64E0"/>
    <w:rsid w:val="0F3A7BBE"/>
    <w:rsid w:val="0FB146BC"/>
    <w:rsid w:val="10D0376E"/>
    <w:rsid w:val="11D75F2F"/>
    <w:rsid w:val="11D802DB"/>
    <w:rsid w:val="121401BA"/>
    <w:rsid w:val="122136E2"/>
    <w:rsid w:val="122B009F"/>
    <w:rsid w:val="135D03D9"/>
    <w:rsid w:val="136D0116"/>
    <w:rsid w:val="13A17616"/>
    <w:rsid w:val="149264E6"/>
    <w:rsid w:val="14B05B25"/>
    <w:rsid w:val="14F31DE2"/>
    <w:rsid w:val="15127621"/>
    <w:rsid w:val="15147EEB"/>
    <w:rsid w:val="156A2C3E"/>
    <w:rsid w:val="157A3189"/>
    <w:rsid w:val="15E37C52"/>
    <w:rsid w:val="166938A9"/>
    <w:rsid w:val="169221B4"/>
    <w:rsid w:val="16EA0A1B"/>
    <w:rsid w:val="181D0AF6"/>
    <w:rsid w:val="18E12A26"/>
    <w:rsid w:val="1A2F34CF"/>
    <w:rsid w:val="1AEF4D78"/>
    <w:rsid w:val="1B0B6786"/>
    <w:rsid w:val="1C2E1750"/>
    <w:rsid w:val="1C8A5079"/>
    <w:rsid w:val="1D520C3E"/>
    <w:rsid w:val="1D886D0B"/>
    <w:rsid w:val="1DA340AC"/>
    <w:rsid w:val="1E2F4E67"/>
    <w:rsid w:val="1E506972"/>
    <w:rsid w:val="1E8146FC"/>
    <w:rsid w:val="1EC8639D"/>
    <w:rsid w:val="1EC97805"/>
    <w:rsid w:val="1EFB07B0"/>
    <w:rsid w:val="1F6101B7"/>
    <w:rsid w:val="1FABD71D"/>
    <w:rsid w:val="20505929"/>
    <w:rsid w:val="2093268B"/>
    <w:rsid w:val="21134B3E"/>
    <w:rsid w:val="228770CD"/>
    <w:rsid w:val="236906A5"/>
    <w:rsid w:val="23AA7995"/>
    <w:rsid w:val="23BA0D09"/>
    <w:rsid w:val="24BA0C0F"/>
    <w:rsid w:val="259F5563"/>
    <w:rsid w:val="25AD749C"/>
    <w:rsid w:val="25AE4162"/>
    <w:rsid w:val="261B2634"/>
    <w:rsid w:val="26872640"/>
    <w:rsid w:val="26C653DA"/>
    <w:rsid w:val="26EC5D21"/>
    <w:rsid w:val="27615821"/>
    <w:rsid w:val="27A13E6E"/>
    <w:rsid w:val="28863E70"/>
    <w:rsid w:val="288A6337"/>
    <w:rsid w:val="28994B2A"/>
    <w:rsid w:val="28CD1B01"/>
    <w:rsid w:val="290441D9"/>
    <w:rsid w:val="292E4395"/>
    <w:rsid w:val="29867FF5"/>
    <w:rsid w:val="29D72E63"/>
    <w:rsid w:val="29F01BC9"/>
    <w:rsid w:val="2A1248CB"/>
    <w:rsid w:val="2A24302B"/>
    <w:rsid w:val="2A7456B8"/>
    <w:rsid w:val="2CA270C4"/>
    <w:rsid w:val="2CB024EC"/>
    <w:rsid w:val="2CD45AC9"/>
    <w:rsid w:val="2CE61692"/>
    <w:rsid w:val="2D2B1A30"/>
    <w:rsid w:val="2D5BB7F4"/>
    <w:rsid w:val="2DA87FE3"/>
    <w:rsid w:val="2DAB1C1C"/>
    <w:rsid w:val="2E6455AA"/>
    <w:rsid w:val="2E6E5875"/>
    <w:rsid w:val="2EAA1E45"/>
    <w:rsid w:val="2EBA2F30"/>
    <w:rsid w:val="2F8573F4"/>
    <w:rsid w:val="2FFD4B55"/>
    <w:rsid w:val="31F32BCC"/>
    <w:rsid w:val="322D5537"/>
    <w:rsid w:val="32500429"/>
    <w:rsid w:val="32B00783"/>
    <w:rsid w:val="33987EA4"/>
    <w:rsid w:val="33E55770"/>
    <w:rsid w:val="343041E9"/>
    <w:rsid w:val="343E2C5A"/>
    <w:rsid w:val="347167BC"/>
    <w:rsid w:val="34AD4440"/>
    <w:rsid w:val="34E404B6"/>
    <w:rsid w:val="353874A5"/>
    <w:rsid w:val="356C4B0F"/>
    <w:rsid w:val="357756D0"/>
    <w:rsid w:val="35F83418"/>
    <w:rsid w:val="36433E0B"/>
    <w:rsid w:val="3685618C"/>
    <w:rsid w:val="36DF7E92"/>
    <w:rsid w:val="37210A48"/>
    <w:rsid w:val="37C605ED"/>
    <w:rsid w:val="37EC07D4"/>
    <w:rsid w:val="39054161"/>
    <w:rsid w:val="395157DA"/>
    <w:rsid w:val="39D81DB4"/>
    <w:rsid w:val="39DD1F63"/>
    <w:rsid w:val="3A875795"/>
    <w:rsid w:val="3B3A6848"/>
    <w:rsid w:val="3C7702D9"/>
    <w:rsid w:val="3C822FFF"/>
    <w:rsid w:val="3C987755"/>
    <w:rsid w:val="3D1712DB"/>
    <w:rsid w:val="3D6E4CFB"/>
    <w:rsid w:val="3DB948D9"/>
    <w:rsid w:val="3DED19CC"/>
    <w:rsid w:val="3E551C1D"/>
    <w:rsid w:val="3EAA16DD"/>
    <w:rsid w:val="3EE7006C"/>
    <w:rsid w:val="3F043070"/>
    <w:rsid w:val="3F397145"/>
    <w:rsid w:val="3F3C12AC"/>
    <w:rsid w:val="419141BF"/>
    <w:rsid w:val="41C01A6A"/>
    <w:rsid w:val="41C515FE"/>
    <w:rsid w:val="42C52D12"/>
    <w:rsid w:val="42EA0B90"/>
    <w:rsid w:val="436E1D48"/>
    <w:rsid w:val="442221E6"/>
    <w:rsid w:val="44FC0AD9"/>
    <w:rsid w:val="45C66F5A"/>
    <w:rsid w:val="464311BD"/>
    <w:rsid w:val="46762869"/>
    <w:rsid w:val="46800ECA"/>
    <w:rsid w:val="46C0784B"/>
    <w:rsid w:val="46D65DFF"/>
    <w:rsid w:val="46ED43C8"/>
    <w:rsid w:val="47655748"/>
    <w:rsid w:val="481F5D29"/>
    <w:rsid w:val="485B08F6"/>
    <w:rsid w:val="48CB3DCC"/>
    <w:rsid w:val="48E65506"/>
    <w:rsid w:val="49A95325"/>
    <w:rsid w:val="49C60D15"/>
    <w:rsid w:val="4A601190"/>
    <w:rsid w:val="4C72500A"/>
    <w:rsid w:val="4E470451"/>
    <w:rsid w:val="4E5A4E46"/>
    <w:rsid w:val="4E776E4B"/>
    <w:rsid w:val="4EBE5040"/>
    <w:rsid w:val="4EC635D4"/>
    <w:rsid w:val="4EF42DDE"/>
    <w:rsid w:val="4F021DFD"/>
    <w:rsid w:val="4FA93361"/>
    <w:rsid w:val="50491464"/>
    <w:rsid w:val="50EB4351"/>
    <w:rsid w:val="516E5D30"/>
    <w:rsid w:val="519A61B8"/>
    <w:rsid w:val="529328AD"/>
    <w:rsid w:val="52A26688"/>
    <w:rsid w:val="52C3106D"/>
    <w:rsid w:val="532D1C0A"/>
    <w:rsid w:val="53583E88"/>
    <w:rsid w:val="54D72BF4"/>
    <w:rsid w:val="54F6709D"/>
    <w:rsid w:val="566138B1"/>
    <w:rsid w:val="56F540E8"/>
    <w:rsid w:val="57814C22"/>
    <w:rsid w:val="579303E0"/>
    <w:rsid w:val="57BD125F"/>
    <w:rsid w:val="59005937"/>
    <w:rsid w:val="596D5572"/>
    <w:rsid w:val="5A106A61"/>
    <w:rsid w:val="5B012DD6"/>
    <w:rsid w:val="5B4A303E"/>
    <w:rsid w:val="5B867F38"/>
    <w:rsid w:val="5BBF1EDC"/>
    <w:rsid w:val="5C0D5EDF"/>
    <w:rsid w:val="5CCB520D"/>
    <w:rsid w:val="5CDE5F6B"/>
    <w:rsid w:val="5CE729B2"/>
    <w:rsid w:val="5D072615"/>
    <w:rsid w:val="5D820B03"/>
    <w:rsid w:val="5DDC291B"/>
    <w:rsid w:val="5DE919D2"/>
    <w:rsid w:val="5DE96BF2"/>
    <w:rsid w:val="5E3B56D9"/>
    <w:rsid w:val="5E7F01AB"/>
    <w:rsid w:val="5E910416"/>
    <w:rsid w:val="5FC652D8"/>
    <w:rsid w:val="6043407E"/>
    <w:rsid w:val="605F74B4"/>
    <w:rsid w:val="607B68FE"/>
    <w:rsid w:val="617007B5"/>
    <w:rsid w:val="61E56E86"/>
    <w:rsid w:val="621870FC"/>
    <w:rsid w:val="62DA2A3D"/>
    <w:rsid w:val="637B3A8F"/>
    <w:rsid w:val="63A65E89"/>
    <w:rsid w:val="656453FF"/>
    <w:rsid w:val="65737FA2"/>
    <w:rsid w:val="65C02263"/>
    <w:rsid w:val="65D920E1"/>
    <w:rsid w:val="65D95650"/>
    <w:rsid w:val="65D9655D"/>
    <w:rsid w:val="6656630C"/>
    <w:rsid w:val="66EC0C69"/>
    <w:rsid w:val="67AD24B8"/>
    <w:rsid w:val="67F5DAB5"/>
    <w:rsid w:val="68261741"/>
    <w:rsid w:val="68817BAC"/>
    <w:rsid w:val="68B41451"/>
    <w:rsid w:val="693E2FAD"/>
    <w:rsid w:val="698062FC"/>
    <w:rsid w:val="69BD5EE8"/>
    <w:rsid w:val="6A740B43"/>
    <w:rsid w:val="6ABD46BF"/>
    <w:rsid w:val="6AF730BD"/>
    <w:rsid w:val="6B617BE2"/>
    <w:rsid w:val="6BA66029"/>
    <w:rsid w:val="6CA041B2"/>
    <w:rsid w:val="6CE11BF2"/>
    <w:rsid w:val="6DDD5EBF"/>
    <w:rsid w:val="6E2E2D6D"/>
    <w:rsid w:val="6E460B96"/>
    <w:rsid w:val="6EA82131"/>
    <w:rsid w:val="6F046708"/>
    <w:rsid w:val="6FB410D2"/>
    <w:rsid w:val="6FC54BEF"/>
    <w:rsid w:val="706921FA"/>
    <w:rsid w:val="70B22C23"/>
    <w:rsid w:val="71411B5D"/>
    <w:rsid w:val="719931E1"/>
    <w:rsid w:val="7240055A"/>
    <w:rsid w:val="728E0BA0"/>
    <w:rsid w:val="736064A7"/>
    <w:rsid w:val="73F71039"/>
    <w:rsid w:val="73F91498"/>
    <w:rsid w:val="74D975E2"/>
    <w:rsid w:val="754E52B9"/>
    <w:rsid w:val="756B7D6A"/>
    <w:rsid w:val="757C417D"/>
    <w:rsid w:val="759455DB"/>
    <w:rsid w:val="75D160D9"/>
    <w:rsid w:val="762914BB"/>
    <w:rsid w:val="773A73AB"/>
    <w:rsid w:val="775767BB"/>
    <w:rsid w:val="7779068F"/>
    <w:rsid w:val="77B92148"/>
    <w:rsid w:val="77FFE39F"/>
    <w:rsid w:val="781B1736"/>
    <w:rsid w:val="78F051A8"/>
    <w:rsid w:val="79EF18A6"/>
    <w:rsid w:val="7A903B21"/>
    <w:rsid w:val="7C646F9B"/>
    <w:rsid w:val="7CF2196B"/>
    <w:rsid w:val="7D2E7430"/>
    <w:rsid w:val="7D9A013D"/>
    <w:rsid w:val="7E9160CF"/>
    <w:rsid w:val="7EC635B1"/>
    <w:rsid w:val="7EC677D3"/>
    <w:rsid w:val="7FDC2489"/>
    <w:rsid w:val="7FFDEEFD"/>
  </w:rsids>
  <w:docVars>
    <w:docVar w:name="commondata" w:val="eyJoZGlkIjoiMDYyNzRjODIwNDMyMWFhMzA3ZWZkM2QwNzBjNmI1ZGY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lsdException w:name="footer" w:semiHidden="0" w:uiPriority="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semiHidden="0" w:qFormat="1"/>
    <w:lsdException w:name="Table Grid" w:semiHidden="0" w:unhideWhenUsed="0"/>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adjustRightInd w:val="0"/>
      <w:spacing w:line="360" w:lineRule="atLeast"/>
      <w:textAlignment w:val="baseline"/>
    </w:pPr>
    <w:rPr>
      <w:rFonts w:ascii="Times New Roman" w:eastAsia="宋体" w:hAnsi="Times New Roman" w:cs="Times New Roman"/>
      <w:sz w:val="24"/>
      <w:lang w:val="en-US" w:eastAsia="zh-CN" w:bidi="ar-SA"/>
    </w:rPr>
  </w:style>
  <w:style w:type="paragraph" w:styleId="Heading1">
    <w:name w:val="heading 1"/>
    <w:basedOn w:val="Normal"/>
    <w:next w:val="Normal"/>
    <w:link w:val="1"/>
    <w:uiPriority w:val="9"/>
    <w:qFormat/>
    <w:pPr>
      <w:keepNext/>
      <w:keepLines/>
      <w:spacing w:before="340" w:after="330" w:line="578" w:lineRule="atLeast"/>
      <w:outlineLvl w:val="0"/>
    </w:pPr>
    <w:rPr>
      <w:b/>
      <w:bCs/>
      <w:kern w:val="44"/>
      <w:sz w:val="44"/>
      <w:szCs w:val="44"/>
    </w:rPr>
  </w:style>
  <w:style w:type="paragraph" w:styleId="Heading2">
    <w:name w:val="heading 2"/>
    <w:basedOn w:val="Normal"/>
    <w:next w:val="Normal"/>
    <w:link w:val="2"/>
    <w:uiPriority w:val="9"/>
    <w:qFormat/>
    <w:pPr>
      <w:keepNext/>
      <w:keepLines/>
      <w:spacing w:before="260" w:after="260" w:line="416" w:lineRule="atLeast"/>
      <w:outlineLvl w:val="1"/>
    </w:pPr>
    <w:rPr>
      <w:rFonts w:ascii="Cambria" w:hAnsi="Cambria"/>
      <w:b/>
      <w:bCs/>
      <w:sz w:val="32"/>
      <w:szCs w:val="32"/>
    </w:rPr>
  </w:style>
  <w:style w:type="paragraph" w:styleId="Heading3">
    <w:name w:val="heading 3"/>
    <w:basedOn w:val="Normal"/>
    <w:next w:val="Normal"/>
    <w:link w:val="3"/>
    <w:uiPriority w:val="9"/>
    <w:qFormat/>
    <w:pPr>
      <w:keepNext/>
      <w:keepLines/>
      <w:spacing w:before="260" w:after="260" w:line="416" w:lineRule="atLeast"/>
      <w:outlineLvl w:val="2"/>
    </w:pPr>
    <w:rPr>
      <w:b/>
      <w:bCs/>
      <w:sz w:val="32"/>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TOC3">
    <w:name w:val="toc 3"/>
    <w:basedOn w:val="Normal"/>
    <w:next w:val="Normal"/>
    <w:uiPriority w:val="39"/>
    <w:unhideWhenUsed/>
    <w:qFormat/>
    <w:pPr>
      <w:widowControl/>
      <w:adjustRightInd/>
      <w:spacing w:after="100" w:line="276" w:lineRule="auto"/>
      <w:ind w:left="440"/>
      <w:textAlignment w:val="auto"/>
    </w:pPr>
    <w:rPr>
      <w:rFonts w:ascii="Calibri" w:hAnsi="Calibri"/>
      <w:sz w:val="22"/>
      <w:szCs w:val="22"/>
    </w:rPr>
  </w:style>
  <w:style w:type="paragraph" w:styleId="BalloonText">
    <w:name w:val="Balloon Text"/>
    <w:basedOn w:val="Normal"/>
    <w:link w:val="a1"/>
    <w:uiPriority w:val="99"/>
    <w:unhideWhenUsed/>
    <w:qFormat/>
    <w:pPr>
      <w:spacing w:line="240" w:lineRule="auto"/>
    </w:pPr>
    <w:rPr>
      <w:sz w:val="18"/>
      <w:szCs w:val="18"/>
    </w:rPr>
  </w:style>
  <w:style w:type="paragraph" w:styleId="Footer">
    <w:name w:val="footer"/>
    <w:basedOn w:val="Normal"/>
    <w:link w:val="a"/>
    <w:unhideWhenUsed/>
    <w:qFormat/>
    <w:pPr>
      <w:tabs>
        <w:tab w:val="center" w:pos="4153"/>
        <w:tab w:val="right" w:pos="8306"/>
      </w:tabs>
      <w:snapToGrid w:val="0"/>
      <w:spacing w:line="240" w:lineRule="atLeast"/>
    </w:pPr>
    <w:rPr>
      <w:sz w:val="18"/>
      <w:szCs w:val="18"/>
    </w:rPr>
  </w:style>
  <w:style w:type="paragraph" w:styleId="Header">
    <w:name w:val="header"/>
    <w:basedOn w:val="Normal"/>
    <w:link w:val="a0"/>
    <w:unhideWhenUsed/>
    <w:pPr>
      <w:pBdr>
        <w:bottom w:val="single" w:sz="6" w:space="1" w:color="auto"/>
      </w:pBdr>
      <w:tabs>
        <w:tab w:val="center" w:pos="4153"/>
        <w:tab w:val="right" w:pos="8306"/>
      </w:tabs>
      <w:snapToGrid w:val="0"/>
      <w:spacing w:line="240" w:lineRule="atLeast"/>
      <w:jc w:val="center"/>
    </w:pPr>
    <w:rPr>
      <w:sz w:val="18"/>
      <w:szCs w:val="18"/>
    </w:rPr>
  </w:style>
  <w:style w:type="paragraph" w:styleId="TOC1">
    <w:name w:val="toc 1"/>
    <w:basedOn w:val="Normal"/>
    <w:next w:val="Normal"/>
    <w:uiPriority w:val="39"/>
    <w:unhideWhenUsed/>
    <w:qFormat/>
    <w:pPr>
      <w:widowControl/>
      <w:tabs>
        <w:tab w:val="right" w:leader="dot" w:pos="8296"/>
      </w:tabs>
      <w:adjustRightInd/>
      <w:spacing w:after="100" w:line="276" w:lineRule="auto"/>
      <w:textAlignment w:val="auto"/>
    </w:pPr>
    <w:rPr>
      <w:rFonts w:ascii="黑体" w:eastAsia="黑体" w:hAnsi="黑体" w:cs="方正小标宋简体"/>
      <w:sz w:val="22"/>
      <w:szCs w:val="22"/>
    </w:rPr>
  </w:style>
  <w:style w:type="paragraph" w:styleId="TOC2">
    <w:name w:val="toc 2"/>
    <w:basedOn w:val="Normal"/>
    <w:next w:val="Normal"/>
    <w:uiPriority w:val="39"/>
    <w:unhideWhenUsed/>
    <w:qFormat/>
    <w:pPr>
      <w:widowControl/>
      <w:adjustRightInd/>
      <w:spacing w:after="100" w:line="276" w:lineRule="auto"/>
      <w:ind w:left="220"/>
      <w:textAlignment w:val="auto"/>
    </w:pPr>
    <w:rPr>
      <w:rFonts w:ascii="Calibri" w:hAnsi="Calibri"/>
      <w:sz w:val="22"/>
      <w:szCs w:val="22"/>
    </w:rPr>
  </w:style>
  <w:style w:type="character" w:styleId="Hyperlink">
    <w:name w:val="Hyperlink"/>
    <w:uiPriority w:val="99"/>
    <w:unhideWhenUsed/>
    <w:rPr>
      <w:color w:val="0000FF"/>
      <w:u w:val="single"/>
    </w:rPr>
  </w:style>
  <w:style w:type="character" w:customStyle="1" w:styleId="3">
    <w:name w:val="标题 3 字符"/>
    <w:link w:val="Heading3"/>
    <w:uiPriority w:val="9"/>
    <w:semiHidden/>
    <w:qFormat/>
    <w:rPr>
      <w:b/>
      <w:bCs/>
      <w:sz w:val="32"/>
      <w:szCs w:val="32"/>
    </w:rPr>
  </w:style>
  <w:style w:type="character" w:customStyle="1" w:styleId="a">
    <w:name w:val="页脚 字符"/>
    <w:link w:val="Footer"/>
    <w:semiHidden/>
    <w:qFormat/>
    <w:rPr>
      <w:sz w:val="18"/>
      <w:szCs w:val="18"/>
    </w:rPr>
  </w:style>
  <w:style w:type="character" w:customStyle="1" w:styleId="a0">
    <w:name w:val="页眉 字符"/>
    <w:link w:val="Header"/>
    <w:semiHidden/>
    <w:rPr>
      <w:sz w:val="18"/>
      <w:szCs w:val="18"/>
    </w:rPr>
  </w:style>
  <w:style w:type="character" w:customStyle="1" w:styleId="a1">
    <w:name w:val="批注框文本 字符"/>
    <w:link w:val="BalloonText"/>
    <w:uiPriority w:val="99"/>
    <w:semiHidden/>
    <w:qFormat/>
    <w:rPr>
      <w:sz w:val="18"/>
      <w:szCs w:val="18"/>
    </w:rPr>
  </w:style>
  <w:style w:type="character" w:customStyle="1" w:styleId="2">
    <w:name w:val="标题 2 字符"/>
    <w:link w:val="Heading2"/>
    <w:uiPriority w:val="9"/>
    <w:semiHidden/>
    <w:rPr>
      <w:rFonts w:ascii="Cambria" w:eastAsia="宋体" w:hAnsi="Cambria" w:cs="Times New Roman"/>
      <w:b/>
      <w:bCs/>
      <w:sz w:val="32"/>
      <w:szCs w:val="32"/>
    </w:rPr>
  </w:style>
  <w:style w:type="character" w:customStyle="1" w:styleId="1">
    <w:name w:val="标题 1 字符"/>
    <w:link w:val="Heading1"/>
    <w:uiPriority w:val="9"/>
    <w:qFormat/>
    <w:rPr>
      <w:b/>
      <w:bCs/>
      <w:kern w:val="44"/>
      <w:sz w:val="44"/>
      <w:szCs w:val="44"/>
    </w:rPr>
  </w:style>
  <w:style w:type="paragraph" w:customStyle="1" w:styleId="TOCHeading">
    <w:name w:val="TOC Heading"/>
    <w:basedOn w:val="Heading1"/>
    <w:next w:val="Normal"/>
    <w:uiPriority w:val="39"/>
    <w:qFormat/>
    <w:pPr>
      <w:widowControl/>
      <w:adjustRightInd/>
      <w:spacing w:before="480" w:after="0" w:line="276" w:lineRule="auto"/>
      <w:textAlignment w:val="auto"/>
      <w:outlineLvl w:val="9"/>
    </w:pPr>
    <w:rPr>
      <w:rFonts w:ascii="Cambria" w:hAnsi="Cambria"/>
      <w:color w:val="365F91"/>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18</Pages>
  <Words>1589</Words>
  <Characters>1795</Characters>
  <Application>Microsoft Office Word</Application>
  <DocSecurity>0</DocSecurity>
  <Lines>24</Lines>
  <Paragraphs>7</Paragraphs>
  <ScaleCrop>false</ScaleCrop>
  <Company>Microsoft</Company>
  <LinksUpToDate>false</LinksUpToDate>
  <CharactersWithSpaces>1855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creator>Administrator</dc:creator>
  <cp:lastModifiedBy>WPS_1602396612</cp:lastModifiedBy>
  <cp:revision>5</cp:revision>
  <cp:lastPrinted>2025-06-25T07:52:00Z</cp:lastPrinted>
  <dcterms:created xsi:type="dcterms:W3CDTF">2025-09-05T02:36:00Z</dcterms:created>
  <dcterms:modified xsi:type="dcterms:W3CDTF">2025-09-23T02:17:34Z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45B29D27DA12464F966D89E11FB82948</vt:lpwstr>
  </property>
  <property fmtid="{D5CDD505-2E9C-101B-9397-08002B2CF9AE}" pid="3" name="KSOProductBuildVer">
    <vt:lpwstr>2052-12.1.0.22529</vt:lpwstr>
  </property>
  <property fmtid="{D5CDD505-2E9C-101B-9397-08002B2CF9AE}" pid="4" name="KSOTemplateDocerSaveRecord">
    <vt:lpwstr>eyJoZGlkIjoiMWE3MzhjZTJhNmRiZjRhZTk5OGNlZTAzZTMxZDJlNTkiLCJ1c2VySWQiOiIxMTI5ODg0NTQ0In0=</vt:lpwstr>
  </property>
</Properties>
</file>