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ackground w:color="ffffff">
    <v:background id="_x0000_s1025" filled="t"/>
  </w:background>
  <w:body>
    <w:p w14:paraId="07A8E3C4">
      <w:pPr>
        <w:spacing w:line="580" w:lineRule="exact"/>
        <w:jc w:val="center"/>
        <w:rPr>
          <w:rFonts w:ascii="Times New Roman" w:eastAsia="黑体" w:hAnsi="Times New Roman"/>
          <w:w w:val="95"/>
          <w:sz w:val="44"/>
          <w:szCs w:val="44"/>
        </w:rPr>
      </w:pPr>
      <w:bookmarkStart w:id="0" w:name="_GoBack"/>
      <w:bookmarkEnd w:id="0"/>
    </w:p>
    <w:p w14:paraId="75368315">
      <w:pPr>
        <w:spacing w:line="580" w:lineRule="exact"/>
        <w:jc w:val="center"/>
        <w:rPr>
          <w:rFonts w:ascii="Times New Roman" w:eastAsia="黑体" w:hAnsi="Times New Roman"/>
          <w:w w:val="95"/>
          <w:sz w:val="44"/>
          <w:szCs w:val="44"/>
        </w:rPr>
      </w:pPr>
    </w:p>
    <w:p w14:paraId="474FB543">
      <w:pPr>
        <w:spacing w:line="580" w:lineRule="exact"/>
        <w:jc w:val="center"/>
        <w:rPr>
          <w:rFonts w:ascii="Times New Roman" w:eastAsia="黑体" w:hAnsi="Times New Roman"/>
          <w:w w:val="95"/>
          <w:sz w:val="44"/>
          <w:szCs w:val="44"/>
        </w:rPr>
      </w:pPr>
    </w:p>
    <w:p w14:paraId="57E9B643">
      <w:pPr>
        <w:spacing w:line="580" w:lineRule="exact"/>
        <w:jc w:val="center"/>
        <w:rPr>
          <w:rFonts w:ascii="Times New Roman" w:eastAsia="黑体" w:hAnsi="Times New Roman"/>
          <w:w w:val="95"/>
          <w:sz w:val="44"/>
          <w:szCs w:val="44"/>
        </w:rPr>
      </w:pPr>
    </w:p>
    <w:p w14:paraId="3C0209E6">
      <w:pPr>
        <w:spacing w:line="580" w:lineRule="exact"/>
        <w:jc w:val="center"/>
        <w:rPr>
          <w:rFonts w:ascii="Times New Roman" w:eastAsia="黑体" w:hAnsi="Times New Roman"/>
          <w:w w:val="95"/>
          <w:sz w:val="44"/>
          <w:szCs w:val="44"/>
        </w:rPr>
      </w:pPr>
    </w:p>
    <w:p w14:paraId="35428310">
      <w:pPr>
        <w:spacing w:line="580" w:lineRule="exact"/>
        <w:jc w:val="center"/>
        <w:rPr>
          <w:rFonts w:ascii="Times New Roman" w:eastAsia="黑体" w:hAnsi="Times New Roman"/>
          <w:w w:val="95"/>
          <w:sz w:val="44"/>
          <w:szCs w:val="44"/>
        </w:rPr>
      </w:pPr>
    </w:p>
    <w:p w14:paraId="53AAD3BA">
      <w:pPr>
        <w:spacing w:line="580" w:lineRule="exact"/>
        <w:jc w:val="center"/>
        <w:rPr>
          <w:rFonts w:ascii="Times New Roman" w:eastAsia="黑体" w:hAnsi="Times New Roman"/>
          <w:w w:val="95"/>
          <w:sz w:val="44"/>
          <w:szCs w:val="44"/>
        </w:rPr>
      </w:pPr>
    </w:p>
    <w:p w14:paraId="5B897B62">
      <w:pPr>
        <w:spacing w:line="580" w:lineRule="exact"/>
        <w:jc w:val="center"/>
        <w:rPr>
          <w:rFonts w:ascii="Times New Roman" w:eastAsia="黑体" w:hAnsi="Times New Roman"/>
          <w:w w:val="95"/>
          <w:sz w:val="44"/>
          <w:szCs w:val="44"/>
        </w:rPr>
      </w:pPr>
    </w:p>
    <w:p w14:paraId="444F3F42">
      <w:pPr>
        <w:spacing w:line="240" w:lineRule="auto"/>
        <w:jc w:val="center"/>
        <w:rPr>
          <w:rFonts w:ascii="Times New Roman" w:eastAsia="方正小标宋简体" w:hAnsi="Times New Roman" w:cs="方正小标宋简体"/>
          <w:sz w:val="48"/>
          <w:szCs w:val="48"/>
        </w:rPr>
      </w:pPr>
      <w:r>
        <w:rPr>
          <w:rFonts w:ascii="Times New Roman" w:eastAsia="方正小标宋简体" w:hAnsi="Times New Roman" w:cs="方正小标宋简体" w:hint="eastAsia"/>
          <w:sz w:val="48"/>
          <w:szCs w:val="48"/>
        </w:rPr>
        <w:t>天津市津南区市场监督管理局</w:t>
      </w:r>
    </w:p>
    <w:p w14:paraId="2F3AACF5">
      <w:pPr>
        <w:spacing w:line="240" w:lineRule="auto"/>
        <w:jc w:val="center"/>
        <w:rPr>
          <w:rFonts w:ascii="Times New Roman" w:eastAsia="方正小标宋简体" w:hAnsi="Times New Roman" w:cs="方正小标宋简体"/>
          <w:w w:val="95"/>
          <w:sz w:val="48"/>
          <w:szCs w:val="48"/>
        </w:rPr>
      </w:pPr>
      <w:r>
        <w:rPr>
          <w:rFonts w:ascii="Times New Roman" w:eastAsia="方正小标宋简体" w:hAnsi="Times New Roman" w:cs="方正小标宋简体" w:hint="eastAsia"/>
          <w:sz w:val="48"/>
          <w:szCs w:val="48"/>
        </w:rPr>
        <w:t>2024年度部门决算</w:t>
      </w:r>
    </w:p>
    <w:p w14:paraId="7909EEA5">
      <w:pPr>
        <w:spacing w:line="580" w:lineRule="exact"/>
        <w:jc w:val="center"/>
        <w:rPr>
          <w:rFonts w:ascii="Times New Roman" w:eastAsia="黑体" w:hAnsi="Times New Roman"/>
          <w:sz w:val="30"/>
          <w:szCs w:val="30"/>
        </w:rPr>
      </w:pPr>
    </w:p>
    <w:p w14:paraId="0D152043">
      <w:pPr>
        <w:spacing w:line="580" w:lineRule="exact"/>
        <w:jc w:val="center"/>
        <w:rPr>
          <w:rFonts w:ascii="Times New Roman" w:eastAsia="黑体" w:hAnsi="Times New Roman"/>
          <w:sz w:val="30"/>
          <w:szCs w:val="30"/>
        </w:rPr>
      </w:pPr>
    </w:p>
    <w:p w14:paraId="7E83689A">
      <w:pPr>
        <w:spacing w:line="580" w:lineRule="exact"/>
        <w:jc w:val="center"/>
        <w:rPr>
          <w:rFonts w:ascii="Times New Roman" w:eastAsia="黑体" w:hAnsi="Times New Roman"/>
          <w:sz w:val="30"/>
          <w:szCs w:val="30"/>
        </w:rPr>
      </w:pPr>
    </w:p>
    <w:p w14:paraId="1250D9FA">
      <w:pPr>
        <w:spacing w:line="580" w:lineRule="exact"/>
        <w:jc w:val="center"/>
        <w:rPr>
          <w:rFonts w:ascii="Times New Roman" w:eastAsia="黑体" w:hAnsi="Times New Roman"/>
          <w:sz w:val="30"/>
          <w:szCs w:val="30"/>
        </w:rPr>
      </w:pPr>
    </w:p>
    <w:p w14:paraId="42C71361">
      <w:pPr>
        <w:spacing w:line="580" w:lineRule="exact"/>
        <w:jc w:val="center"/>
        <w:rPr>
          <w:rFonts w:ascii="Times New Roman" w:eastAsia="黑体" w:hAnsi="Times New Roman"/>
          <w:sz w:val="30"/>
          <w:szCs w:val="30"/>
        </w:rPr>
      </w:pPr>
    </w:p>
    <w:p w14:paraId="6A3F359F">
      <w:pPr>
        <w:spacing w:line="580" w:lineRule="exact"/>
        <w:jc w:val="center"/>
        <w:rPr>
          <w:rFonts w:ascii="Times New Roman" w:eastAsia="黑体" w:hAnsi="Times New Roman"/>
          <w:sz w:val="30"/>
          <w:szCs w:val="30"/>
        </w:rPr>
      </w:pPr>
    </w:p>
    <w:p w14:paraId="15F8F63F">
      <w:pPr>
        <w:spacing w:line="580" w:lineRule="exact"/>
        <w:jc w:val="center"/>
        <w:rPr>
          <w:rFonts w:ascii="Times New Roman" w:eastAsia="黑体" w:hAnsi="Times New Roman"/>
          <w:sz w:val="30"/>
          <w:szCs w:val="30"/>
        </w:rPr>
      </w:pPr>
    </w:p>
    <w:p w14:paraId="0B0B8E6E">
      <w:pPr>
        <w:spacing w:line="580" w:lineRule="exact"/>
        <w:jc w:val="center"/>
        <w:rPr>
          <w:rFonts w:ascii="Times New Roman" w:eastAsia="黑体" w:hAnsi="Times New Roman"/>
          <w:sz w:val="30"/>
          <w:szCs w:val="30"/>
        </w:rPr>
      </w:pPr>
    </w:p>
    <w:p w14:paraId="5563C6A2">
      <w:pPr>
        <w:spacing w:line="580" w:lineRule="exact"/>
        <w:jc w:val="center"/>
        <w:rPr>
          <w:rFonts w:ascii="Times New Roman" w:eastAsia="黑体" w:hAnsi="Times New Roman"/>
          <w:sz w:val="30"/>
          <w:szCs w:val="30"/>
        </w:rPr>
      </w:pPr>
    </w:p>
    <w:p w14:paraId="6FC8294A">
      <w:pPr>
        <w:spacing w:line="580" w:lineRule="exact"/>
        <w:jc w:val="center"/>
        <w:rPr>
          <w:rFonts w:ascii="Times New Roman" w:eastAsia="黑体" w:hAnsi="Times New Roman"/>
          <w:sz w:val="30"/>
          <w:szCs w:val="30"/>
        </w:rPr>
      </w:pPr>
    </w:p>
    <w:p w14:paraId="6CE4E00F">
      <w:pPr>
        <w:spacing w:line="580" w:lineRule="exact"/>
        <w:jc w:val="center"/>
        <w:rPr>
          <w:rFonts w:ascii="Times New Roman" w:eastAsia="黑体" w:hAnsi="Times New Roman"/>
          <w:sz w:val="30"/>
          <w:szCs w:val="30"/>
        </w:rPr>
      </w:pPr>
    </w:p>
    <w:p w14:paraId="23749A1C">
      <w:pPr>
        <w:spacing w:line="580" w:lineRule="exact"/>
        <w:jc w:val="center"/>
        <w:rPr>
          <w:rFonts w:ascii="Times New Roman" w:eastAsia="黑体" w:hAnsi="Times New Roman"/>
          <w:sz w:val="44"/>
          <w:szCs w:val="44"/>
        </w:rPr>
      </w:pPr>
    </w:p>
    <w:p w14:paraId="4B48E4FC">
      <w:pPr>
        <w:spacing w:line="600" w:lineRule="exact"/>
        <w:jc w:val="center"/>
        <w:rPr>
          <w:rFonts w:ascii="Times New Roman" w:eastAsia="黑体" w:hAnsi="Times New Roman"/>
          <w:sz w:val="44"/>
          <w:szCs w:val="44"/>
        </w:rPr>
        <w:sectPr>
          <w:pgSz w:w="11906" w:h="16838"/>
          <w:pgMar w:top="1440" w:right="1800" w:bottom="1440" w:left="1800" w:header="851" w:footer="992" w:gutter="0"/>
          <w:pgNumType w:start="1"/>
          <w:cols w:num="1" w:space="720"/>
          <w:docGrid w:type="lines" w:linePitch="312" w:charSpace="0"/>
        </w:sectPr>
      </w:pPr>
    </w:p>
    <w:p w14:paraId="468575F5">
      <w:pPr>
        <w:spacing w:line="600" w:lineRule="exact"/>
        <w:jc w:val="center"/>
        <w:rPr>
          <w:rFonts w:ascii="Times New Roman" w:eastAsia="黑体" w:hAnsi="Times New Roman"/>
          <w:sz w:val="44"/>
          <w:szCs w:val="44"/>
        </w:rPr>
      </w:pPr>
    </w:p>
    <w:p w14:paraId="090B0CC0">
      <w:pPr>
        <w:spacing w:line="600" w:lineRule="exact"/>
        <w:jc w:val="center"/>
        <w:rPr>
          <w:rFonts w:ascii="Times New Roman" w:eastAsia="黑体" w:hAnsi="Times New Roman"/>
          <w:sz w:val="44"/>
          <w:szCs w:val="44"/>
        </w:rPr>
      </w:pPr>
      <w:r>
        <w:rPr>
          <w:rFonts w:ascii="Times New Roman" w:eastAsia="黑体" w:hAnsi="Times New Roman" w:hint="eastAsia"/>
          <w:sz w:val="44"/>
          <w:szCs w:val="44"/>
        </w:rPr>
        <w:t>目   录</w:t>
      </w:r>
    </w:p>
    <w:p w14:paraId="07F4E5F0">
      <w:pPr>
        <w:spacing w:line="600" w:lineRule="exact"/>
        <w:rPr>
          <w:rFonts w:ascii="Times New Roman" w:eastAsia="黑体" w:hAnsi="Times New Roman"/>
          <w:sz w:val="30"/>
          <w:szCs w:val="30"/>
        </w:rPr>
      </w:pPr>
    </w:p>
    <w:p w14:paraId="05BC2129">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15895" w:history="1">
        <w:r>
          <w:rPr>
            <w:rFonts w:ascii="Times New Roman" w:eastAsia="方正小标宋简体" w:hAnsi="Times New Roman" w:cs="方正小标宋简体" w:hint="eastAsia"/>
            <w:sz w:val="30"/>
            <w:szCs w:val="30"/>
          </w:rPr>
          <w:t>第一部分  概 况</w:t>
        </w:r>
      </w:hyperlink>
    </w:p>
    <w:p w14:paraId="487505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346" w:history="1">
        <w:r>
          <w:rPr>
            <w:rFonts w:ascii="Times New Roman" w:eastAsia="仿宋_GB2312" w:hAnsi="Times New Roman" w:cs="仿宋_GB2312" w:hint="eastAsia"/>
            <w:bCs w:val="0"/>
            <w:sz w:val="30"/>
            <w:szCs w:val="30"/>
          </w:rPr>
          <w:t>一、主要职责</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_Toc28346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7C0C551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737" w:history="1">
        <w:r>
          <w:rPr>
            <w:rFonts w:ascii="Times New Roman" w:eastAsia="仿宋_GB2312" w:hAnsi="Times New Roman" w:cs="仿宋_GB2312" w:hint="eastAsia"/>
            <w:sz w:val="30"/>
            <w:szCs w:val="30"/>
          </w:rPr>
          <w:t>二、机构设置</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_Toc25737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14:paraId="67726531">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5448" w:history="1">
        <w:r>
          <w:rPr>
            <w:rFonts w:ascii="Times New Roman" w:eastAsia="方正小标宋简体" w:hAnsi="Times New Roman" w:cs="方正小标宋简体" w:hint="eastAsia"/>
            <w:sz w:val="30"/>
            <w:szCs w:val="30"/>
          </w:rPr>
          <w:t>第二部分  2024年度部门决算表</w:t>
        </w:r>
      </w:hyperlink>
    </w:p>
    <w:p w14:paraId="5E0B704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089" w:history="1">
        <w:r>
          <w:rPr>
            <w:rFonts w:ascii="Times New Roman" w:eastAsia="仿宋_GB2312" w:hAnsi="Times New Roman" w:cs="仿宋_GB2312" w:hint="eastAsia"/>
            <w:sz w:val="30"/>
            <w:szCs w:val="30"/>
          </w:rPr>
          <w:t>一、《收入支出决算总表》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_Toc8089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3AB8958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574" w:history="1">
        <w:r>
          <w:rPr>
            <w:rFonts w:ascii="Times New Roman" w:eastAsia="仿宋_GB2312" w:hAnsi="Times New Roman" w:cs="仿宋_GB2312" w:hint="eastAsia"/>
            <w:sz w:val="30"/>
            <w:szCs w:val="30"/>
          </w:rPr>
          <w:t>二、《收入决算表（按功能分类列示）》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_Toc29574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0F5581BE">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92" w:history="1">
        <w:r>
          <w:rPr>
            <w:rFonts w:ascii="Times New Roman" w:eastAsia="仿宋_GB2312" w:hAnsi="Times New Roman" w:cs="仿宋_GB2312" w:hint="eastAsia"/>
            <w:sz w:val="30"/>
            <w:szCs w:val="30"/>
          </w:rPr>
          <w:t>三、《收入决算表（按单位列示）》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_Toc1392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3116F26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8946" w:history="1">
        <w:r>
          <w:rPr>
            <w:rFonts w:ascii="Times New Roman" w:eastAsia="仿宋_GB2312" w:hAnsi="Times New Roman" w:cs="仿宋_GB2312" w:hint="eastAsia"/>
            <w:sz w:val="30"/>
            <w:szCs w:val="30"/>
          </w:rPr>
          <w:t>四、《支出决算表》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_Toc28946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5162AD2C">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0939" w:history="1">
        <w:r>
          <w:rPr>
            <w:rFonts w:ascii="Times New Roman" w:eastAsia="仿宋_GB2312" w:hAnsi="Times New Roman" w:cs="仿宋_GB2312" w:hint="eastAsia"/>
            <w:sz w:val="30"/>
            <w:szCs w:val="30"/>
          </w:rPr>
          <w:t>五、《财政拨款收入支出决算总表》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_Toc10939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7E341B0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732" w:history="1">
        <w:r>
          <w:rPr>
            <w:rFonts w:ascii="Times New Roman" w:eastAsia="仿宋_GB2312" w:hAnsi="Times New Roman" w:cs="仿宋_GB2312" w:hint="eastAsia"/>
            <w:sz w:val="30"/>
            <w:szCs w:val="30"/>
          </w:rPr>
          <w:t>六、《一般公共预算财政拨款支出决算表》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_Toc9732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52D7B52F">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588" w:history="1">
        <w:r>
          <w:rPr>
            <w:rFonts w:ascii="Times New Roman" w:eastAsia="仿宋_GB2312" w:hAnsi="Times New Roman" w:cs="仿宋_GB2312" w:hint="eastAsia"/>
            <w:sz w:val="30"/>
            <w:szCs w:val="30"/>
          </w:rPr>
          <w:t>七、《一般公共预算财政拨款基本支出决算表》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_Toc8588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32FEDC61">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9750" w:history="1">
        <w:r>
          <w:rPr>
            <w:rFonts w:ascii="Times New Roman" w:eastAsia="仿宋_GB2312" w:hAnsi="Times New Roman" w:cs="仿宋_GB2312" w:hint="eastAsia"/>
            <w:sz w:val="30"/>
            <w:szCs w:val="30"/>
          </w:rPr>
          <w:t>八、《政府性基金预算财政拨款收入支出决算表》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_Toc29750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03A3D75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7443" w:history="1">
        <w:r>
          <w:rPr>
            <w:rFonts w:ascii="Times New Roman" w:eastAsia="仿宋_GB2312" w:hAnsi="Times New Roman" w:cs="仿宋_GB2312" w:hint="eastAsia"/>
            <w:sz w:val="30"/>
            <w:szCs w:val="30"/>
          </w:rPr>
          <w:t>九、《国有资本经营预算财政拨款收入支出决算表》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_Toc17443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63811132">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0096" w:history="1">
        <w:r>
          <w:rPr>
            <w:rFonts w:ascii="Times New Roman" w:eastAsia="仿宋_GB2312" w:hAnsi="Times New Roman" w:cs="仿宋_GB2312" w:hint="eastAsia"/>
            <w:sz w:val="30"/>
            <w:szCs w:val="30"/>
          </w:rPr>
          <w:t>十、《财政拨款“三公”经费支出决算表》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_Toc30096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365E219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1214" w:history="1">
        <w:r>
          <w:rPr>
            <w:rFonts w:ascii="Times New Roman" w:eastAsia="仿宋_GB2312" w:hAnsi="Times New Roman" w:cs="仿宋_GB2312" w:hint="eastAsia"/>
            <w:sz w:val="30"/>
            <w:szCs w:val="30"/>
          </w:rPr>
          <w:t>十一、《项目支出决算表》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_Toc21214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5A8B4F7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9893" w:history="1">
        <w:r>
          <w:rPr>
            <w:rFonts w:ascii="Times New Roman" w:eastAsia="仿宋_GB2312" w:hAnsi="Times New Roman" w:cs="仿宋_GB2312" w:hint="eastAsia"/>
            <w:sz w:val="30"/>
            <w:szCs w:val="30"/>
          </w:rPr>
          <w:t>十二、关于空表的说明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_Toc9893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fldChar w:fldCharType="end"/>
        </w:r>
      </w:hyperlink>
    </w:p>
    <w:p w14:paraId="24A6FB77">
      <w:pPr>
        <w:rPr>
          <w:rFonts w:ascii="Times New Roman" w:eastAsia="仿宋_GB2312" w:hAnsi="Times New Roman" w:cs="仿宋_GB2312" w:hint="eastAsia"/>
          <w:sz w:val="30"/>
          <w:szCs w:val="30"/>
        </w:rPr>
      </w:pPr>
      <w:r>
        <w:rPr>
          <w:rFonts w:ascii="Times New Roman" w:eastAsia="仿宋_GB2312" w:hAnsi="Times New Roman" w:cs="仿宋_GB2312" w:hint="eastAsia"/>
          <w:sz w:val="30"/>
          <w:szCs w:val="30"/>
        </w:rPr>
        <w:br w:type="page"/>
      </w:r>
    </w:p>
    <w:p w14:paraId="3EE5A6A3">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6351" w:history="1">
        <w:r>
          <w:rPr>
            <w:rFonts w:ascii="Times New Roman" w:eastAsia="方正小标宋简体" w:hAnsi="Times New Roman" w:cs="方正小标宋简体" w:hint="eastAsia"/>
            <w:sz w:val="30"/>
            <w:szCs w:val="30"/>
          </w:rPr>
          <w:t>第三部分  2024年度部门决算情况说明</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_Toc26351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5</w:t>
        </w:r>
        <w:r>
          <w:rPr>
            <w:rFonts w:ascii="Times New Roman" w:eastAsia="方正小标宋简体" w:hAnsi="Times New Roman" w:cs="方正小标宋简体" w:hint="eastAsia"/>
            <w:sz w:val="30"/>
            <w:szCs w:val="30"/>
          </w:rPr>
          <w:fldChar w:fldCharType="end"/>
        </w:r>
      </w:hyperlink>
    </w:p>
    <w:p w14:paraId="503008F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113" w:history="1">
        <w:r>
          <w:rPr>
            <w:rFonts w:ascii="Times New Roman" w:eastAsia="仿宋_GB2312" w:hAnsi="Times New Roman" w:cs="仿宋_GB2312" w:hint="eastAsia"/>
            <w:sz w:val="30"/>
            <w:szCs w:val="30"/>
          </w:rPr>
          <w:t>一、收入支出决算总体情况说明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_Toc14113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4785F69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31" w:history="1">
        <w:r>
          <w:rPr>
            <w:rFonts w:ascii="Times New Roman" w:eastAsia="仿宋_GB2312" w:hAnsi="Times New Roman" w:cs="仿宋_GB2312" w:hint="eastAsia"/>
            <w:sz w:val="30"/>
            <w:szCs w:val="30"/>
          </w:rPr>
          <w:t>二、收入决算情况说明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_Toc1931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08222A3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4007" w:history="1">
        <w:r>
          <w:rPr>
            <w:rFonts w:ascii="Times New Roman" w:eastAsia="仿宋_GB2312" w:hAnsi="Times New Roman" w:cs="仿宋_GB2312" w:hint="eastAsia"/>
            <w:sz w:val="30"/>
            <w:szCs w:val="30"/>
          </w:rPr>
          <w:t>三、支出决算情况说明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_Toc14007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14:paraId="2A0776A0">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3974" w:history="1">
        <w:r>
          <w:rPr>
            <w:rFonts w:ascii="Times New Roman" w:eastAsia="仿宋_GB2312" w:hAnsi="Times New Roman" w:cs="仿宋_GB2312" w:hint="eastAsia"/>
            <w:sz w:val="30"/>
            <w:szCs w:val="30"/>
          </w:rPr>
          <w:t>四、财政拨款收支决算总体情况说明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_Toc23974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14:paraId="1354EBB3">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57" w:history="1">
        <w:r>
          <w:rPr>
            <w:rFonts w:ascii="Times New Roman" w:eastAsia="仿宋_GB2312" w:hAnsi="Times New Roman" w:cs="仿宋_GB2312" w:hint="eastAsia"/>
            <w:sz w:val="30"/>
            <w:szCs w:val="30"/>
          </w:rPr>
          <w:t>五、一般公共预算财政拨款支出决算情况说明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_Toc19057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fldChar w:fldCharType="end"/>
        </w:r>
      </w:hyperlink>
    </w:p>
    <w:p w14:paraId="75850C8A">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8826" w:history="1">
        <w:r>
          <w:rPr>
            <w:rFonts w:ascii="Times New Roman" w:eastAsia="仿宋_GB2312" w:hAnsi="Times New Roman" w:cs="仿宋_GB2312" w:hint="eastAsia"/>
            <w:sz w:val="30"/>
            <w:szCs w:val="30"/>
          </w:rPr>
          <w:t>六、一般公共预算财政拨款基本支出决算情况说明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_Toc8826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7C562DC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3712" w:history="1">
        <w:r>
          <w:rPr>
            <w:rFonts w:ascii="Times New Roman" w:eastAsia="仿宋_GB2312" w:hAnsi="Times New Roman" w:cs="仿宋_GB2312" w:hint="eastAsia"/>
            <w:sz w:val="30"/>
            <w:szCs w:val="30"/>
          </w:rPr>
          <w:t>七、政府性基金预算财政拨款收支决算情况说明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_Toc13712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6F9CCB76">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902" w:history="1">
        <w:r>
          <w:rPr>
            <w:rFonts w:ascii="Times New Roman" w:eastAsia="仿宋_GB2312" w:hAnsi="Times New Roman" w:cs="仿宋_GB2312" w:hint="eastAsia"/>
            <w:sz w:val="30"/>
            <w:szCs w:val="30"/>
          </w:rPr>
          <w:t>八、国有资本经营预算财政拨款收支决算情况说明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11</w:t>
        </w:r>
        <w:r>
          <w:rPr>
            <w:rFonts w:ascii="Times New Roman" w:eastAsia="仿宋_GB2312" w:hAnsi="Times New Roman" w:cs="仿宋_GB2312" w:hint="eastAsia"/>
            <w:sz w:val="30"/>
            <w:szCs w:val="30"/>
          </w:rPr>
          <w:fldChar w:fldCharType="end"/>
        </w:r>
      </w:hyperlink>
    </w:p>
    <w:p w14:paraId="44E6D1B7">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6751" w:history="1">
        <w:r>
          <w:rPr>
            <w:rFonts w:ascii="Times New Roman" w:eastAsia="仿宋_GB2312" w:hAnsi="Times New Roman" w:cs="仿宋_GB2312" w:hint="eastAsia"/>
            <w:sz w:val="30"/>
            <w:szCs w:val="30"/>
          </w:rPr>
          <w:t>九、财政拨款“三公”经费支出决算情况说明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_Toc6751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12</w:t>
        </w:r>
        <w:r>
          <w:rPr>
            <w:rFonts w:ascii="Times New Roman" w:eastAsia="仿宋_GB2312" w:hAnsi="Times New Roman" w:cs="仿宋_GB2312" w:hint="eastAsia"/>
            <w:sz w:val="30"/>
            <w:szCs w:val="30"/>
          </w:rPr>
          <w:fldChar w:fldCharType="end"/>
        </w:r>
      </w:hyperlink>
    </w:p>
    <w:p w14:paraId="0F0307D8">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2589" w:history="1">
        <w:r>
          <w:rPr>
            <w:rFonts w:ascii="Times New Roman" w:eastAsia="仿宋_GB2312" w:hAnsi="Times New Roman" w:cs="仿宋_GB2312" w:hint="eastAsia"/>
            <w:sz w:val="30"/>
            <w:szCs w:val="30"/>
          </w:rPr>
          <w:t>十、机关运行经费支出情况说明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14</w:t>
        </w:r>
        <w:r>
          <w:rPr>
            <w:rFonts w:ascii="Times New Roman" w:eastAsia="仿宋_GB2312" w:hAnsi="Times New Roman" w:cs="仿宋_GB2312" w:hint="eastAsia"/>
            <w:sz w:val="30"/>
            <w:szCs w:val="30"/>
          </w:rPr>
          <w:fldChar w:fldCharType="end"/>
        </w:r>
      </w:hyperlink>
    </w:p>
    <w:p w14:paraId="264E1CF5">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15010" w:history="1">
        <w:r>
          <w:rPr>
            <w:rFonts w:ascii="Times New Roman" w:eastAsia="仿宋_GB2312" w:hAnsi="Times New Roman" w:cs="仿宋_GB2312" w:hint="eastAsia"/>
            <w:sz w:val="30"/>
            <w:szCs w:val="30"/>
          </w:rPr>
          <w:t>十一、政府采购支出情况说明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_Toc15010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14</w:t>
        </w:r>
        <w:r>
          <w:rPr>
            <w:rFonts w:ascii="Times New Roman" w:eastAsia="仿宋_GB2312" w:hAnsi="Times New Roman" w:cs="仿宋_GB2312" w:hint="eastAsia"/>
            <w:sz w:val="30"/>
            <w:szCs w:val="30"/>
          </w:rPr>
          <w:fldChar w:fldCharType="end"/>
        </w:r>
      </w:hyperlink>
    </w:p>
    <w:p w14:paraId="27B9C90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2128" w:history="1">
        <w:r>
          <w:rPr>
            <w:rFonts w:ascii="Times New Roman" w:eastAsia="仿宋_GB2312" w:hAnsi="Times New Roman" w:cs="仿宋_GB2312" w:hint="eastAsia"/>
            <w:sz w:val="30"/>
            <w:szCs w:val="30"/>
          </w:rPr>
          <w:t>十二、国有资产占有使用情况说明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_Toc32128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14</w:t>
        </w:r>
        <w:r>
          <w:rPr>
            <w:rFonts w:ascii="Times New Roman" w:eastAsia="仿宋_GB2312" w:hAnsi="Times New Roman" w:cs="仿宋_GB2312" w:hint="eastAsia"/>
            <w:sz w:val="30"/>
            <w:szCs w:val="30"/>
          </w:rPr>
          <w:fldChar w:fldCharType="end"/>
        </w:r>
      </w:hyperlink>
    </w:p>
    <w:p w14:paraId="7831AB7D">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sz w:val="30"/>
          <w:szCs w:val="30"/>
        </w:rPr>
      </w:pPr>
      <w:hyperlink w:anchor="_Toc31889" w:history="1">
        <w:r>
          <w:rPr>
            <w:rFonts w:ascii="Times New Roman" w:eastAsia="仿宋_GB2312" w:hAnsi="Times New Roman" w:cs="仿宋_GB2312" w:hint="eastAsia"/>
            <w:sz w:val="30"/>
            <w:szCs w:val="30"/>
          </w:rPr>
          <w:t>十三、预算绩效情况说明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_Toc31889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15</w:t>
        </w:r>
        <w:r>
          <w:rPr>
            <w:rFonts w:ascii="Times New Roman" w:eastAsia="仿宋_GB2312" w:hAnsi="Times New Roman" w:cs="仿宋_GB2312" w:hint="eastAsia"/>
            <w:sz w:val="30"/>
            <w:szCs w:val="30"/>
          </w:rPr>
          <w:fldChar w:fldCharType="end"/>
        </w:r>
      </w:hyperlink>
    </w:p>
    <w:p w14:paraId="1EBFC414">
      <w:pPr>
        <w:pStyle w:val="TOC2"/>
        <w:keepNext w:val="0"/>
        <w:keepLines w:val="0"/>
        <w:pageBreakBefore w:val="0"/>
        <w:widowControl/>
        <w:tabs>
          <w:tab w:val="right" w:leader="dot" w:pos="8306"/>
        </w:tabs>
        <w:kinsoku/>
        <w:wordWrap/>
        <w:overflowPunct/>
        <w:topLinePunct w:val="0"/>
        <w:autoSpaceDE/>
        <w:autoSpaceDN/>
        <w:bidi w:val="0"/>
        <w:adjustRightInd/>
        <w:snapToGrid/>
        <w:spacing w:after="0" w:line="700" w:lineRule="exact"/>
        <w:ind w:left="221"/>
        <w:textAlignment w:val="auto"/>
        <w:rPr>
          <w:rFonts w:ascii="Times New Roman" w:eastAsia="仿宋_GB2312" w:hAnsi="Times New Roman" w:cs="仿宋_GB2312" w:hint="eastAsia"/>
          <w:bCs w:val="0"/>
          <w:sz w:val="30"/>
          <w:szCs w:val="30"/>
        </w:rPr>
      </w:pPr>
      <w:hyperlink w:anchor="_Toc6543" w:history="1">
        <w:r>
          <w:rPr>
            <w:rFonts w:ascii="Times New Roman"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_Toc6543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15</w:t>
        </w:r>
        <w:r>
          <w:rPr>
            <w:rFonts w:ascii="Times New Roman" w:eastAsia="仿宋_GB2312" w:hAnsi="Times New Roman" w:cs="仿宋_GB2312" w:hint="eastAsia"/>
            <w:sz w:val="30"/>
            <w:szCs w:val="30"/>
          </w:rPr>
          <w:fldChar w:fldCharType="end"/>
        </w:r>
      </w:hyperlink>
    </w:p>
    <w:p w14:paraId="753340AD">
      <w:pPr>
        <w:pStyle w:val="TOC1"/>
        <w:keepNext w:val="0"/>
        <w:keepLines w:val="0"/>
        <w:pageBreakBefore w:val="0"/>
        <w:widowControl/>
        <w:tabs>
          <w:tab w:val="clear" w:pos="8296"/>
          <w:tab w:val="right" w:leader="dot" w:pos="8306"/>
        </w:tabs>
        <w:kinsoku/>
        <w:wordWrap/>
        <w:overflowPunct/>
        <w:topLinePunct w:val="0"/>
        <w:autoSpaceDE/>
        <w:autoSpaceDN/>
        <w:bidi w:val="0"/>
        <w:adjustRightInd/>
        <w:snapToGrid/>
        <w:spacing w:after="0" w:line="700" w:lineRule="exact"/>
        <w:textAlignment w:val="auto"/>
        <w:rPr>
          <w:rFonts w:ascii="Times New Roman" w:eastAsia="方正小标宋简体" w:hAnsi="Times New Roman" w:cs="方正小标宋简体" w:hint="eastAsia"/>
          <w:sz w:val="30"/>
          <w:szCs w:val="30"/>
        </w:rPr>
      </w:pPr>
      <w:hyperlink w:anchor="_Toc24691" w:history="1">
        <w:r>
          <w:rPr>
            <w:rFonts w:ascii="Times New Roman" w:eastAsia="方正小标宋简体" w:hAnsi="Times New Roman" w:cs="方正小标宋简体" w:hint="eastAsia"/>
            <w:sz w:val="30"/>
            <w:szCs w:val="30"/>
          </w:rPr>
          <w:t>第四部分  名词解释</w:t>
        </w:r>
        <w:r>
          <w:rPr>
            <w:rFonts w:ascii="Times New Roman" w:eastAsia="方正小标宋简体" w:hAnsi="Times New Roman" w:cs="方正小标宋简体" w:hint="eastAsia"/>
            <w:sz w:val="30"/>
            <w:szCs w:val="30"/>
          </w:rPr>
          <w:tab/>
        </w:r>
        <w:r>
          <w:rPr>
            <w:rFonts w:ascii="Times New Roman" w:eastAsia="方正小标宋简体" w:hAnsi="Times New Roman" w:cs="方正小标宋简体" w:hint="eastAsia"/>
            <w:sz w:val="30"/>
            <w:szCs w:val="30"/>
          </w:rPr>
          <w:fldChar w:fldCharType="begin"/>
        </w:r>
        <w:r>
          <w:rPr>
            <w:rFonts w:ascii="Times New Roman" w:eastAsia="方正小标宋简体" w:hAnsi="Times New Roman" w:cs="方正小标宋简体" w:hint="eastAsia"/>
            <w:sz w:val="30"/>
            <w:szCs w:val="30"/>
          </w:rPr>
          <w:instrText xml:space="preserve"> PAGEREF _Toc24691 \h </w:instrText>
        </w:r>
        <w:r>
          <w:rPr>
            <w:rFonts w:ascii="Times New Roman" w:eastAsia="方正小标宋简体" w:hAnsi="Times New Roman" w:cs="方正小标宋简体" w:hint="eastAsia"/>
            <w:sz w:val="30"/>
            <w:szCs w:val="30"/>
          </w:rPr>
          <w:fldChar w:fldCharType="separate"/>
        </w:r>
        <w:r>
          <w:rPr>
            <w:rFonts w:ascii="Times New Roman" w:eastAsia="方正小标宋简体" w:hAnsi="Times New Roman" w:cs="方正小标宋简体" w:hint="eastAsia"/>
            <w:sz w:val="30"/>
            <w:szCs w:val="30"/>
          </w:rPr>
          <w:t>16</w:t>
        </w:r>
        <w:r>
          <w:rPr>
            <w:rFonts w:ascii="Times New Roman" w:eastAsia="方正小标宋简体" w:hAnsi="Times New Roman" w:cs="方正小标宋简体" w:hint="eastAsia"/>
            <w:sz w:val="30"/>
            <w:szCs w:val="30"/>
          </w:rPr>
          <w:fldChar w:fldCharType="end"/>
        </w:r>
      </w:hyperlink>
    </w:p>
    <w:p w14:paraId="50AE1AC7">
      <w:pPr>
        <w:pStyle w:val="TOC2"/>
        <w:keepNext w:val="0"/>
        <w:keepLines w:val="0"/>
        <w:pageBreakBefore w:val="0"/>
        <w:widowControl/>
        <w:tabs>
          <w:tab w:val="right" w:leader="dot" w:pos="8296"/>
        </w:tabs>
        <w:kinsoku/>
        <w:wordWrap/>
        <w:overflowPunct/>
        <w:topLinePunct w:val="0"/>
        <w:autoSpaceDE/>
        <w:autoSpaceDN/>
        <w:bidi w:val="0"/>
        <w:adjustRightInd/>
        <w:snapToGrid/>
        <w:spacing w:after="0" w:line="700" w:lineRule="exact"/>
        <w:textAlignment w:val="auto"/>
        <w:rPr>
          <w:rFonts w:ascii="Times New Roman" w:eastAsia="仿宋_GB2312" w:hAnsi="Times New Roman"/>
          <w:sz w:val="32"/>
          <w:szCs w:val="32"/>
        </w:rPr>
        <w:sectPr>
          <w:footerReference w:type="default" r:id="rId5"/>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szCs w:val="30"/>
        </w:rPr>
        <w:fldChar w:fldCharType="end"/>
      </w:r>
    </w:p>
    <w:p w14:paraId="42462793">
      <w:pPr>
        <w:rPr>
          <w:rFonts w:ascii="Times New Roman" w:hAnsi="Times New Roman"/>
        </w:rPr>
      </w:pPr>
    </w:p>
    <w:p w14:paraId="1868FFBB">
      <w:pPr>
        <w:pStyle w:val="Heading1"/>
        <w:spacing w:before="0" w:after="0" w:line="600" w:lineRule="exact"/>
        <w:jc w:val="center"/>
        <w:rPr>
          <w:rFonts w:ascii="Times New Roman" w:eastAsia="方正小标宋简体" w:hAnsi="Times New Roman" w:cs="方正小标宋简体"/>
          <w:b w:val="0"/>
          <w:sz w:val="48"/>
          <w:szCs w:val="48"/>
        </w:rPr>
      </w:pPr>
    </w:p>
    <w:p w14:paraId="0F276DCC">
      <w:pPr>
        <w:pStyle w:val="Heading1"/>
        <w:spacing w:before="0" w:after="0" w:line="600" w:lineRule="exact"/>
        <w:jc w:val="center"/>
        <w:rPr>
          <w:rFonts w:ascii="Times New Roman" w:eastAsia="方正小标宋简体" w:hAnsi="Times New Roman" w:cs="方正小标宋简体"/>
          <w:b w:val="0"/>
        </w:rPr>
      </w:pPr>
      <w:bookmarkStart w:id="1" w:name="_Toc15895"/>
      <w:r>
        <w:rPr>
          <w:rFonts w:ascii="Times New Roman" w:eastAsia="方正小标宋简体" w:hAnsi="Times New Roman" w:cs="方正小标宋简体" w:hint="eastAsia"/>
          <w:b w:val="0"/>
        </w:rPr>
        <w:t>第一部分  概 况</w:t>
      </w:r>
      <w:bookmarkEnd w:id="1"/>
    </w:p>
    <w:p w14:paraId="76ABDBCF">
      <w:pPr>
        <w:spacing w:line="600" w:lineRule="exact"/>
        <w:rPr>
          <w:rFonts w:ascii="Times New Roman" w:hAnsi="Times New Roman"/>
        </w:rPr>
      </w:pPr>
    </w:p>
    <w:p w14:paraId="3A1C96F3">
      <w:pPr>
        <w:pStyle w:val="Heading2"/>
        <w:spacing w:before="0" w:after="0" w:line="600" w:lineRule="exact"/>
        <w:ind w:firstLine="600" w:firstLineChars="200"/>
        <w:rPr>
          <w:rFonts w:ascii="Times New Roman" w:eastAsia="黑体" w:hAnsi="Times New Roman"/>
          <w:b w:val="0"/>
          <w:bCs w:val="0"/>
          <w:sz w:val="30"/>
          <w:szCs w:val="30"/>
        </w:rPr>
      </w:pPr>
      <w:bookmarkStart w:id="2" w:name="_Toc28346"/>
      <w:r>
        <w:rPr>
          <w:rFonts w:ascii="Times New Roman" w:eastAsia="黑体" w:hAnsi="Times New Roman" w:hint="eastAsia"/>
          <w:b w:val="0"/>
          <w:bCs w:val="0"/>
          <w:sz w:val="30"/>
          <w:szCs w:val="30"/>
        </w:rPr>
        <w:t>一、主要职责</w:t>
      </w:r>
      <w:bookmarkEnd w:id="2"/>
    </w:p>
    <w:p w14:paraId="75D7C0C4">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hint="eastAsia"/>
          <w:sz w:val="30"/>
          <w:szCs w:val="30"/>
        </w:rPr>
        <w:t>负责市场综合监督管理；负责本区市场主体统一登记注册；负责组织本区市场监管综合执法工作；负责本区反垄断执法；负责监督管理市场秩序；负责产品质量安全监督管理；负责特种设备监督管理；负责食品安全监督管理综合协调；负责食品安全监督管理；负责统一管理计量工作；负责统一管理标准化工作；负责本区检验检测机构监督管理工作；负责管理、监督本区认证认可工作；负责本区药品零售、医疗器械经营的许可、检查和处罚，以及化妆品经营和药品、医疗器械使用环节质量的检查和处罚；负责执行国家和本市有关商标、专利、原产地地理标志、集成电路布图设计等知识产权方面的法律法规、政府规章草案、知识产权战略和发展规划，负责知识产权的保护、运用；负责开展市场监督管理的科技发展和信息化建设；负责本区市场监督管理相关的新闻宣传、教育培训和信息发布工作；负责本领域安全生产监督管理工作；配合有关部门推动招商引资工作；负责市场监管体系人才队伍建设工作；完成区委、区政府交办的其他任务。</w:t>
      </w:r>
    </w:p>
    <w:p w14:paraId="710B0CE5">
      <w:pPr>
        <w:pStyle w:val="Heading2"/>
        <w:spacing w:before="0" w:after="0" w:line="600" w:lineRule="exact"/>
        <w:ind w:firstLine="600" w:firstLineChars="200"/>
        <w:rPr>
          <w:rFonts w:ascii="Times New Roman" w:eastAsia="黑体" w:hAnsi="Times New Roman"/>
          <w:b w:val="0"/>
          <w:bCs w:val="0"/>
          <w:sz w:val="30"/>
          <w:szCs w:val="30"/>
        </w:rPr>
      </w:pPr>
      <w:bookmarkStart w:id="3" w:name="_Toc25737"/>
      <w:r>
        <w:rPr>
          <w:rFonts w:ascii="Times New Roman" w:eastAsia="黑体" w:hAnsi="Times New Roman" w:hint="eastAsia"/>
          <w:b w:val="0"/>
          <w:bCs w:val="0"/>
          <w:sz w:val="30"/>
          <w:szCs w:val="30"/>
        </w:rPr>
        <w:t>二、机构设置</w:t>
      </w:r>
      <w:bookmarkEnd w:id="3"/>
    </w:p>
    <w:p w14:paraId="4FFAAA65">
      <w:pPr>
        <w:spacing w:line="600" w:lineRule="exact"/>
        <w:ind w:firstLine="600" w:firstLineChars="200"/>
        <w:rPr>
          <w:rFonts w:ascii="Times New Roman" w:eastAsia="楷体_GB2312" w:hAnsi="Times New Roman"/>
          <w:b/>
          <w:sz w:val="30"/>
          <w:szCs w:val="30"/>
        </w:rPr>
      </w:pPr>
      <w:r>
        <w:rPr>
          <w:rFonts w:ascii="Times New Roman" w:eastAsia="仿宋_GB2312" w:hAnsi="Times New Roman" w:hint="eastAsia"/>
          <w:sz w:val="30"/>
          <w:szCs w:val="30"/>
        </w:rPr>
        <w:t>天津市津南区市场监督管理局内设28个职能科室；下辖3个预算单位。纳入天津市津南区市场监督管理局2024年度部门决算编制范围的单位包括：</w:t>
        <w:br/>
        <w:t>　　1.天津市津南区市场监督管理局（本级）</w:t>
        <w:br/>
        <w:t>　　2.天津市津南区产品质量监督检验所</w:t>
        <w:br/>
        <w:t>　　3.天津市津南区计量检定所</w:t>
        <w:br/>
        <w:t>　　4.天津市津南区市场监督管理局12315投诉举报中心</w:t>
      </w:r>
      <w:r>
        <w:rPr>
          <w:rFonts w:ascii="Times New Roman" w:eastAsia="楷体_GB2312" w:hAnsi="Times New Roman"/>
          <w:b/>
          <w:sz w:val="30"/>
          <w:szCs w:val="30"/>
        </w:rPr>
        <w:br w:type="page"/>
      </w:r>
    </w:p>
    <w:p w14:paraId="5E67D29C">
      <w:pPr>
        <w:pStyle w:val="Heading1"/>
        <w:spacing w:before="0" w:after="0" w:line="600" w:lineRule="exact"/>
        <w:jc w:val="center"/>
        <w:rPr>
          <w:rFonts w:ascii="Times New Roman" w:eastAsia="方正小标宋简体" w:hAnsi="Times New Roman" w:cs="方正小标宋简体"/>
          <w:b w:val="0"/>
        </w:rPr>
      </w:pPr>
      <w:bookmarkStart w:id="4" w:name="_Toc25448"/>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二</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表</w:t>
      </w:r>
      <w:bookmarkEnd w:id="4"/>
    </w:p>
    <w:p w14:paraId="5007966B">
      <w:pPr>
        <w:spacing w:line="600" w:lineRule="exact"/>
        <w:rPr>
          <w:rFonts w:ascii="Times New Roman" w:hAnsi="Times New Roman"/>
        </w:rPr>
      </w:pPr>
    </w:p>
    <w:p w14:paraId="4E22685A">
      <w:pPr>
        <w:pStyle w:val="Heading2"/>
        <w:spacing w:before="0" w:after="0" w:line="800" w:lineRule="exact"/>
        <w:ind w:firstLine="600" w:firstLineChars="200"/>
        <w:rPr>
          <w:rFonts w:ascii="Times New Roman" w:eastAsia="黑体" w:hAnsi="Times New Roman"/>
          <w:b w:val="0"/>
          <w:sz w:val="30"/>
          <w:szCs w:val="30"/>
        </w:rPr>
      </w:pPr>
      <w:bookmarkStart w:id="5" w:name="_Toc8089"/>
      <w:r>
        <w:rPr>
          <w:rFonts w:ascii="Times New Roman" w:eastAsia="黑体" w:hAnsi="Times New Roman"/>
          <w:b w:val="0"/>
          <w:sz w:val="30"/>
          <w:szCs w:val="30"/>
        </w:rPr>
        <w:t>一</w:t>
      </w:r>
      <w:r>
        <w:rPr>
          <w:rFonts w:ascii="Times New Roman" w:eastAsia="黑体" w:hAnsi="Times New Roman" w:hint="eastAsia"/>
          <w:b w:val="0"/>
          <w:sz w:val="30"/>
          <w:szCs w:val="30"/>
        </w:rPr>
        <w:t>、</w:t>
      </w:r>
      <w:r>
        <w:rPr>
          <w:rFonts w:ascii="Times New Roman" w:eastAsia="黑体" w:hAnsi="Times New Roman"/>
          <w:b w:val="0"/>
          <w:sz w:val="30"/>
          <w:szCs w:val="30"/>
        </w:rPr>
        <w:t>《</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5"/>
    </w:p>
    <w:p w14:paraId="190A2A9A">
      <w:pPr>
        <w:pStyle w:val="Heading2"/>
        <w:spacing w:before="0" w:after="0" w:line="800" w:lineRule="exact"/>
        <w:ind w:firstLine="600" w:firstLineChars="200"/>
        <w:rPr>
          <w:rFonts w:ascii="Times New Roman" w:eastAsia="黑体" w:hAnsi="Times New Roman"/>
          <w:b w:val="0"/>
          <w:sz w:val="30"/>
          <w:szCs w:val="30"/>
        </w:rPr>
      </w:pPr>
      <w:bookmarkStart w:id="6" w:name="_Toc29574"/>
      <w:r>
        <w:rPr>
          <w:rFonts w:ascii="Times New Roman" w:eastAsia="黑体" w:hAnsi="Times New Roman"/>
          <w:b w:val="0"/>
          <w:sz w:val="30"/>
          <w:szCs w:val="30"/>
        </w:rPr>
        <w:t>二、《收入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（按功能分类列示）</w:t>
      </w:r>
      <w:r>
        <w:rPr>
          <w:rFonts w:ascii="Times New Roman" w:eastAsia="黑体" w:hAnsi="Times New Roman"/>
          <w:b w:val="0"/>
          <w:sz w:val="30"/>
          <w:szCs w:val="30"/>
        </w:rPr>
        <w:t>》</w:t>
      </w:r>
      <w:bookmarkEnd w:id="6"/>
    </w:p>
    <w:p w14:paraId="36110A9F">
      <w:pPr>
        <w:pStyle w:val="Heading2"/>
        <w:spacing w:before="0" w:after="0" w:line="800" w:lineRule="exact"/>
        <w:ind w:firstLine="600" w:firstLineChars="200"/>
        <w:rPr>
          <w:rFonts w:ascii="Times New Roman" w:eastAsia="黑体" w:hAnsi="Times New Roman"/>
          <w:b w:val="0"/>
          <w:sz w:val="30"/>
          <w:szCs w:val="30"/>
        </w:rPr>
      </w:pPr>
      <w:bookmarkStart w:id="7" w:name="_Toc1392"/>
      <w:r>
        <w:rPr>
          <w:rFonts w:ascii="Times New Roman" w:eastAsia="黑体" w:hAnsi="Times New Roman" w:hint="eastAsia"/>
          <w:b w:val="0"/>
          <w:sz w:val="30"/>
          <w:szCs w:val="30"/>
        </w:rPr>
        <w:t>三</w:t>
      </w:r>
      <w:r>
        <w:rPr>
          <w:rFonts w:ascii="Times New Roman" w:eastAsia="黑体" w:hAnsi="Times New Roman"/>
          <w:b w:val="0"/>
          <w:sz w:val="30"/>
          <w:szCs w:val="30"/>
        </w:rPr>
        <w:t>、《收入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（按单位列示）</w:t>
      </w:r>
      <w:r>
        <w:rPr>
          <w:rFonts w:ascii="Times New Roman" w:eastAsia="黑体" w:hAnsi="Times New Roman"/>
          <w:b w:val="0"/>
          <w:sz w:val="30"/>
          <w:szCs w:val="30"/>
        </w:rPr>
        <w:t>》</w:t>
      </w:r>
      <w:bookmarkEnd w:id="7"/>
    </w:p>
    <w:p w14:paraId="46D143D6">
      <w:pPr>
        <w:pStyle w:val="Heading2"/>
        <w:spacing w:before="0" w:after="0" w:line="800" w:lineRule="exact"/>
        <w:ind w:firstLine="600" w:firstLineChars="200"/>
        <w:rPr>
          <w:rFonts w:ascii="Times New Roman" w:eastAsia="黑体" w:hAnsi="Times New Roman"/>
          <w:b w:val="0"/>
          <w:sz w:val="30"/>
          <w:szCs w:val="30"/>
        </w:rPr>
      </w:pPr>
      <w:bookmarkStart w:id="8" w:name="_Toc28946"/>
      <w:r>
        <w:rPr>
          <w:rFonts w:ascii="Times New Roman" w:eastAsia="黑体" w:hAnsi="Times New Roman" w:hint="eastAsia"/>
          <w:b w:val="0"/>
          <w:sz w:val="30"/>
          <w:szCs w:val="30"/>
        </w:rPr>
        <w:t>四、</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8"/>
    </w:p>
    <w:p w14:paraId="65244CEB">
      <w:pPr>
        <w:pStyle w:val="Heading2"/>
        <w:spacing w:before="0" w:after="0" w:line="800" w:lineRule="exact"/>
        <w:ind w:firstLine="600" w:firstLineChars="200"/>
        <w:rPr>
          <w:rFonts w:ascii="Times New Roman" w:eastAsia="黑体" w:hAnsi="Times New Roman"/>
          <w:b w:val="0"/>
          <w:sz w:val="30"/>
          <w:szCs w:val="30"/>
        </w:rPr>
      </w:pPr>
      <w:bookmarkStart w:id="9" w:name="_Toc10939"/>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9"/>
    </w:p>
    <w:p w14:paraId="3CA7CDF4">
      <w:pPr>
        <w:pStyle w:val="Heading2"/>
        <w:spacing w:before="0" w:after="0" w:line="800" w:lineRule="exact"/>
        <w:ind w:firstLine="600" w:firstLineChars="200"/>
        <w:rPr>
          <w:rFonts w:ascii="Times New Roman" w:eastAsia="黑体" w:hAnsi="Times New Roman"/>
          <w:b w:val="0"/>
          <w:sz w:val="30"/>
          <w:szCs w:val="30"/>
        </w:rPr>
      </w:pPr>
      <w:bookmarkStart w:id="10" w:name="_Toc9732"/>
      <w:r>
        <w:rPr>
          <w:rFonts w:ascii="Times New Roman" w:eastAsia="黑体" w:hAnsi="Times New Roman"/>
          <w:b w:val="0"/>
          <w:sz w:val="30"/>
          <w:szCs w:val="30"/>
        </w:rPr>
        <w:t>六</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0"/>
    </w:p>
    <w:p w14:paraId="0C94E9C7">
      <w:pPr>
        <w:pStyle w:val="Heading2"/>
        <w:spacing w:before="0" w:after="0" w:line="800" w:lineRule="exact"/>
        <w:ind w:firstLine="600" w:firstLineChars="200"/>
        <w:rPr>
          <w:rFonts w:ascii="Times New Roman" w:eastAsia="黑体" w:hAnsi="Times New Roman"/>
          <w:b w:val="0"/>
          <w:sz w:val="30"/>
          <w:szCs w:val="30"/>
        </w:rPr>
      </w:pPr>
      <w:bookmarkStart w:id="11" w:name="_Toc8588"/>
      <w:r>
        <w:rPr>
          <w:rFonts w:ascii="Times New Roman" w:eastAsia="黑体" w:hAnsi="Times New Roman"/>
          <w:b w:val="0"/>
          <w:sz w:val="30"/>
          <w:szCs w:val="30"/>
        </w:rPr>
        <w:t>七</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《一般公共预算财政拨款基本支出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1"/>
    </w:p>
    <w:p w14:paraId="47D92C7E">
      <w:pPr>
        <w:pStyle w:val="Heading2"/>
        <w:spacing w:before="0" w:after="0" w:line="800" w:lineRule="exact"/>
        <w:ind w:firstLine="600" w:firstLineChars="200"/>
        <w:rPr>
          <w:rFonts w:ascii="Times New Roman" w:eastAsia="黑体" w:hAnsi="Times New Roman"/>
          <w:b w:val="0"/>
          <w:sz w:val="30"/>
          <w:szCs w:val="30"/>
        </w:rPr>
      </w:pPr>
      <w:bookmarkStart w:id="12" w:name="_Toc29750"/>
      <w:r>
        <w:rPr>
          <w:rFonts w:ascii="Times New Roman" w:eastAsia="黑体" w:hAnsi="Times New Roman" w:hint="eastAsia"/>
          <w:b w:val="0"/>
          <w:sz w:val="30"/>
          <w:szCs w:val="30"/>
        </w:rPr>
        <w:t>八、</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2"/>
    </w:p>
    <w:p w14:paraId="718CB643">
      <w:pPr>
        <w:pStyle w:val="Heading2"/>
        <w:spacing w:before="0" w:after="0" w:line="800" w:lineRule="exact"/>
        <w:ind w:firstLine="600" w:firstLineChars="200"/>
        <w:rPr>
          <w:rFonts w:ascii="Times New Roman" w:eastAsia="黑体" w:hAnsi="Times New Roman"/>
          <w:b w:val="0"/>
          <w:sz w:val="30"/>
          <w:szCs w:val="30"/>
        </w:rPr>
      </w:pPr>
      <w:bookmarkStart w:id="13" w:name="_Toc17443"/>
      <w:r>
        <w:rPr>
          <w:rFonts w:ascii="Times New Roman" w:eastAsia="黑体" w:hAnsi="Times New Roman" w:hint="eastAsia"/>
          <w:b w:val="0"/>
          <w:sz w:val="30"/>
          <w:szCs w:val="30"/>
        </w:rPr>
        <w:t>九、</w:t>
      </w:r>
      <w:r>
        <w:rPr>
          <w:rFonts w:ascii="Times New Roman" w:eastAsia="黑体" w:hAnsi="Times New Roman"/>
          <w:b w:val="0"/>
          <w:sz w:val="30"/>
          <w:szCs w:val="30"/>
        </w:rPr>
        <w:t>《国有资本经营预算财政拨款</w:t>
      </w:r>
      <w:r>
        <w:rPr>
          <w:rFonts w:ascii="Times New Roman" w:eastAsia="黑体" w:hAnsi="Times New Roman" w:hint="eastAsia"/>
          <w:b w:val="0"/>
          <w:sz w:val="30"/>
          <w:szCs w:val="30"/>
        </w:rPr>
        <w:t>收入支出决算</w:t>
      </w:r>
      <w:r>
        <w:rPr>
          <w:rFonts w:ascii="Times New Roman" w:eastAsia="黑体" w:hAnsi="Times New Roman"/>
          <w:b w:val="0"/>
          <w:sz w:val="30"/>
          <w:szCs w:val="30"/>
        </w:rPr>
        <w:t>表》</w:t>
      </w:r>
      <w:bookmarkEnd w:id="13"/>
    </w:p>
    <w:p w14:paraId="3E391609">
      <w:pPr>
        <w:pStyle w:val="Heading2"/>
        <w:spacing w:before="0" w:after="0" w:line="800" w:lineRule="exact"/>
        <w:ind w:firstLine="600" w:firstLineChars="200"/>
        <w:rPr>
          <w:rFonts w:ascii="Times New Roman" w:eastAsia="黑体" w:hAnsi="Times New Roman"/>
          <w:b w:val="0"/>
          <w:sz w:val="30"/>
          <w:szCs w:val="30"/>
        </w:rPr>
      </w:pPr>
      <w:bookmarkStart w:id="14" w:name="_Toc30096"/>
      <w:r>
        <w:rPr>
          <w:rFonts w:ascii="Times New Roman" w:eastAsia="黑体" w:hAnsi="Times New Roman" w:hint="eastAsia"/>
          <w:b w:val="0"/>
          <w:sz w:val="30"/>
          <w:szCs w:val="30"/>
        </w:rPr>
        <w:t>十、</w:t>
      </w:r>
      <w:r>
        <w:rPr>
          <w:rFonts w:ascii="Times New Roman" w:eastAsia="黑体" w:hAnsi="Times New Roman"/>
          <w:b w:val="0"/>
          <w:sz w:val="30"/>
          <w:szCs w:val="30"/>
        </w:rPr>
        <w:t>《财政拨款“三公”经费支出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4"/>
    </w:p>
    <w:p w14:paraId="2F0F2E1D">
      <w:pPr>
        <w:pStyle w:val="Heading2"/>
        <w:spacing w:before="0" w:after="0" w:line="800" w:lineRule="exact"/>
        <w:ind w:firstLine="600" w:firstLineChars="200"/>
        <w:rPr>
          <w:rFonts w:ascii="Times New Roman" w:eastAsia="黑体" w:hAnsi="Times New Roman"/>
          <w:b w:val="0"/>
          <w:sz w:val="30"/>
          <w:szCs w:val="30"/>
        </w:rPr>
      </w:pPr>
      <w:bookmarkStart w:id="15" w:name="_Toc21214"/>
      <w:r>
        <w:rPr>
          <w:rFonts w:ascii="Times New Roman" w:eastAsia="黑体" w:hAnsi="Times New Roman"/>
          <w:b w:val="0"/>
          <w:sz w:val="30"/>
          <w:szCs w:val="30"/>
        </w:rPr>
        <w:t>十</w:t>
      </w:r>
      <w:r>
        <w:rPr>
          <w:rFonts w:ascii="Times New Roman" w:eastAsia="黑体" w:hAnsi="Times New Roman" w:hint="eastAsia"/>
          <w:b w:val="0"/>
          <w:sz w:val="30"/>
          <w:szCs w:val="30"/>
        </w:rPr>
        <w:t>一、</w:t>
      </w:r>
      <w:r>
        <w:rPr>
          <w:rFonts w:ascii="Times New Roman" w:eastAsia="黑体" w:hAnsi="Times New Roman"/>
          <w:b w:val="0"/>
          <w:sz w:val="30"/>
          <w:szCs w:val="30"/>
        </w:rPr>
        <w:t>《项目支出决算表》</w:t>
      </w:r>
      <w:bookmarkEnd w:id="15"/>
    </w:p>
    <w:p w14:paraId="2794261F">
      <w:pPr>
        <w:spacing w:line="800" w:lineRule="exact"/>
        <w:ind w:left="600" w:hanging="600" w:hangingChars="200"/>
        <w:rPr>
          <w:rFonts w:ascii="Times New Roman" w:eastAsia="楷体" w:hAnsi="Times New Roman" w:hint="eastAsia"/>
          <w:sz w:val="30"/>
          <w:szCs w:val="30"/>
        </w:rPr>
      </w:pPr>
      <w:r>
        <w:rPr>
          <w:rFonts w:ascii="Times New Roman" w:eastAsia="楷体" w:hAnsi="Times New Roman" w:hint="eastAsia"/>
          <w:sz w:val="30"/>
          <w:szCs w:val="30"/>
        </w:rPr>
        <w:t>注：以上决算公开表均作为附表，附于决算公开说明文档后。</w:t>
      </w:r>
    </w:p>
    <w:p w14:paraId="01D37A2E">
      <w:pPr>
        <w:pStyle w:val="Heading2"/>
        <w:spacing w:before="0" w:after="0" w:line="800" w:lineRule="exact"/>
        <w:ind w:firstLine="600" w:firstLineChars="200"/>
        <w:rPr>
          <w:rFonts w:ascii="Times New Roman" w:eastAsia="黑体" w:hAnsi="Times New Roman"/>
          <w:b w:val="0"/>
          <w:sz w:val="30"/>
          <w:szCs w:val="30"/>
        </w:rPr>
      </w:pPr>
      <w:bookmarkStart w:id="16" w:name="_Toc9893"/>
      <w:r>
        <w:rPr>
          <w:rFonts w:ascii="Times New Roman" w:eastAsia="黑体" w:hAnsi="Times New Roman" w:hint="eastAsia"/>
          <w:b w:val="0"/>
          <w:sz w:val="30"/>
          <w:szCs w:val="30"/>
        </w:rPr>
        <w:t>十二、关于空表的说明</w:t>
      </w:r>
      <w:bookmarkEnd w:id="16"/>
    </w:p>
    <w:p w14:paraId="2902ECD0">
      <w:pPr>
        <w:spacing w:line="600" w:lineRule="exact"/>
        <w:ind w:firstLine="600" w:firstLineChars="200"/>
        <w:jc w:val="both"/>
        <w:rPr>
          <w:rFonts w:ascii="Times New Roman" w:eastAsia="仿宋_GB2312" w:hAnsi="Times New Roman"/>
          <w:sz w:val="30"/>
          <w:szCs w:val="30"/>
        </w:rPr>
        <w:sectPr>
          <w:footerReference w:type="default" r:id="rId6"/>
          <w:pgSz w:w="11906" w:h="16838"/>
          <w:pgMar w:top="1440" w:right="1800" w:bottom="1440" w:left="1800" w:header="851" w:footer="992" w:gutter="0"/>
          <w:pgNumType w:start="1"/>
          <w:cols w:num="1" w:space="720"/>
          <w:docGrid w:type="lines" w:linePitch="312" w:charSpace="0"/>
        </w:sectPr>
      </w:pPr>
      <w:r>
        <w:rPr>
          <w:rFonts w:ascii="Times New Roman" w:eastAsia="仿宋_GB2312" w:hAnsi="Times New Roman" w:hint="eastAsia"/>
          <w:sz w:val="30"/>
          <w:szCs w:val="30"/>
        </w:rPr>
        <w:t>1.天津市津南区市场监督管理局2024年度政府性基金预算财政拨款收入支出决算表为空表。</w:t>
        <w:br/>
        <w:t>　　2.天津市津南区市场监督管理局2024年度国有资本经营预算财政拨款收入支出决算表为空表。</w:t>
      </w:r>
    </w:p>
    <w:p w14:paraId="65FE891C">
      <w:pPr>
        <w:spacing w:line="600" w:lineRule="exact"/>
        <w:rPr>
          <w:rFonts w:ascii="Times New Roman" w:eastAsia="仿宋_GB2312" w:hAnsi="Times New Roman"/>
          <w:sz w:val="30"/>
          <w:szCs w:val="30"/>
        </w:rPr>
      </w:pPr>
    </w:p>
    <w:p w14:paraId="70DEE3BE">
      <w:pPr>
        <w:pStyle w:val="Heading1"/>
        <w:spacing w:before="0" w:after="0" w:line="600" w:lineRule="exact"/>
        <w:jc w:val="center"/>
        <w:rPr>
          <w:rFonts w:ascii="Times New Roman" w:eastAsia="方正小标宋简体" w:hAnsi="Times New Roman" w:cs="方正小标宋简体"/>
          <w:b w:val="0"/>
        </w:rPr>
      </w:pPr>
      <w:bookmarkStart w:id="17" w:name="_Toc26351"/>
      <w:r>
        <w:rPr>
          <w:rFonts w:ascii="Times New Roman" w:eastAsia="方正小标宋简体" w:hAnsi="Times New Roman" w:cs="方正小标宋简体"/>
          <w:b w:val="0"/>
        </w:rPr>
        <w:t>第</w:t>
      </w:r>
      <w:r>
        <w:rPr>
          <w:rFonts w:ascii="Times New Roman" w:eastAsia="方正小标宋简体" w:hAnsi="Times New Roman" w:cs="方正小标宋简体" w:hint="eastAsia"/>
          <w:b w:val="0"/>
        </w:rPr>
        <w:t>三</w:t>
      </w:r>
      <w:r>
        <w:rPr>
          <w:rFonts w:ascii="Times New Roman" w:eastAsia="方正小标宋简体" w:hAnsi="Times New Roman" w:cs="方正小标宋简体"/>
          <w:b w:val="0"/>
        </w:rPr>
        <w:t xml:space="preserve">部分  </w:t>
      </w:r>
      <w:r>
        <w:rPr>
          <w:rFonts w:ascii="Times New Roman" w:eastAsia="方正小标宋简体" w:hAnsi="Times New Roman" w:cs="方正小标宋简体" w:hint="eastAsia"/>
          <w:b w:val="0"/>
        </w:rPr>
        <w:t>2024</w:t>
      </w:r>
      <w:r>
        <w:rPr>
          <w:rFonts w:ascii="Times New Roman" w:eastAsia="方正小标宋简体" w:hAnsi="Times New Roman" w:cs="方正小标宋简体"/>
          <w:b w:val="0"/>
        </w:rPr>
        <w:t>年度部门决算</w:t>
      </w:r>
      <w:r>
        <w:rPr>
          <w:rFonts w:ascii="Times New Roman" w:eastAsia="方正小标宋简体" w:hAnsi="Times New Roman" w:cs="方正小标宋简体" w:hint="eastAsia"/>
          <w:b w:val="0"/>
        </w:rPr>
        <w:t>情况</w:t>
      </w:r>
      <w:r>
        <w:rPr>
          <w:rFonts w:ascii="Times New Roman" w:eastAsia="方正小标宋简体" w:hAnsi="Times New Roman" w:cs="方正小标宋简体"/>
          <w:b w:val="0"/>
        </w:rPr>
        <w:t>说明</w:t>
      </w:r>
      <w:bookmarkEnd w:id="17"/>
    </w:p>
    <w:p w14:paraId="31D3D16E">
      <w:pPr>
        <w:spacing w:line="600" w:lineRule="exact"/>
        <w:ind w:firstLine="600" w:firstLineChars="200"/>
        <w:rPr>
          <w:rFonts w:ascii="Times New Roman" w:eastAsia="黑体" w:hAnsi="Times New Roman"/>
          <w:sz w:val="30"/>
          <w:szCs w:val="30"/>
        </w:rPr>
      </w:pPr>
    </w:p>
    <w:p w14:paraId="261647E6">
      <w:pPr>
        <w:pStyle w:val="Heading2"/>
        <w:spacing w:before="0" w:after="0" w:line="600" w:lineRule="exact"/>
        <w:ind w:firstLine="600" w:firstLineChars="200"/>
        <w:rPr>
          <w:rFonts w:ascii="Times New Roman" w:eastAsia="黑体" w:hAnsi="Times New Roman"/>
          <w:b w:val="0"/>
          <w:sz w:val="30"/>
          <w:szCs w:val="30"/>
        </w:rPr>
      </w:pPr>
      <w:bookmarkStart w:id="18" w:name="_Toc14113"/>
      <w:r>
        <w:rPr>
          <w:rFonts w:ascii="Times New Roman" w:eastAsia="黑体" w:hAnsi="Times New Roman" w:hint="eastAsia"/>
          <w:b w:val="0"/>
          <w:sz w:val="30"/>
          <w:szCs w:val="30"/>
        </w:rPr>
        <w:t>一、收入支出决算总体情况说明</w:t>
      </w:r>
      <w:bookmarkEnd w:id="18"/>
    </w:p>
    <w:p w14:paraId="3FD0FB5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天津市津南区市场监督管理局2024年度收入、支出决算总计84,790,349.89元。与2023年度相比，收、支总计各减少1,588,969.94元，下降1.8%，主要原因是人员减少；质检所受市场大环境影响，经营收支减少。</w:t>
        <w:br/>
        <w:t>　　收入包括：一般公共预算财政拨款收入83,202,692.8元、事业单位经营收入1,585,075元、其他收入1,690.74元。</w:t>
        <w:br/>
        <w:t>　　支出包括：一般公共服务支出（类）支出69,359,277.27元、社会保障和就业支出（类）支出6,624,965.76元、卫生健康支出（类）支出3,627,873.51元、住房保障支出（类）支出4,095,244元。</w:t>
      </w:r>
    </w:p>
    <w:p w14:paraId="4F477965">
      <w:pPr>
        <w:pStyle w:val="Heading2"/>
        <w:spacing w:before="0" w:after="0" w:line="600" w:lineRule="exact"/>
        <w:ind w:firstLine="600" w:firstLineChars="200"/>
        <w:rPr>
          <w:rFonts w:ascii="Times New Roman" w:eastAsia="黑体" w:hAnsi="Times New Roman" w:cs="仿宋_GB2312"/>
          <w:b w:val="0"/>
          <w:sz w:val="30"/>
          <w:szCs w:val="30"/>
        </w:rPr>
      </w:pPr>
      <w:bookmarkStart w:id="19" w:name="_Toc1931"/>
      <w:r>
        <w:rPr>
          <w:rFonts w:ascii="Times New Roman" w:eastAsia="黑体" w:hAnsi="Times New Roman" w:cs="仿宋_GB2312" w:hint="eastAsia"/>
          <w:b w:val="0"/>
          <w:sz w:val="30"/>
          <w:szCs w:val="30"/>
        </w:rPr>
        <w:t>二、收入决算情况说明</w:t>
      </w:r>
      <w:bookmarkEnd w:id="19"/>
    </w:p>
    <w:p w14:paraId="0408FF65">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本年收入合计84,789,458.54元。与2023年度相比减少943,045.33元，主要原因是人员减少；质检所受市场大环境影响，经营收入减少。其中：一般公共预算财政拨款收入83,202,692.8元，占98.1%；事业单位经营收入1,585,075元，占1.9%；其他收入1,690.74元，占0%。</w:t>
      </w:r>
    </w:p>
    <w:p w14:paraId="683A8827">
      <w:pPr>
        <w:pStyle w:val="Heading2"/>
        <w:spacing w:before="0" w:after="0" w:line="600" w:lineRule="exact"/>
        <w:ind w:firstLine="600" w:firstLineChars="200"/>
        <w:rPr>
          <w:rFonts w:ascii="Times New Roman" w:eastAsia="黑体" w:hAnsi="Times New Roman" w:cs="仿宋_GB2312"/>
          <w:b w:val="0"/>
          <w:sz w:val="30"/>
          <w:szCs w:val="30"/>
        </w:rPr>
      </w:pPr>
      <w:bookmarkStart w:id="20" w:name="_Toc14007"/>
      <w:r>
        <w:rPr>
          <w:rFonts w:ascii="Times New Roman" w:eastAsia="黑体" w:hAnsi="Times New Roman" w:cs="仿宋_GB2312" w:hint="eastAsia"/>
          <w:b w:val="0"/>
          <w:sz w:val="30"/>
          <w:szCs w:val="30"/>
        </w:rPr>
        <w:t>三、</w:t>
      </w:r>
      <w:r>
        <w:rPr>
          <w:rFonts w:ascii="Times New Roman" w:eastAsia="黑体" w:hAnsi="Times New Roman" w:cs="仿宋_GB2312"/>
          <w:b w:val="0"/>
          <w:sz w:val="30"/>
          <w:szCs w:val="30"/>
        </w:rPr>
        <w:t>支出</w:t>
      </w:r>
      <w:r>
        <w:rPr>
          <w:rFonts w:ascii="Times New Roman" w:eastAsia="黑体" w:hAnsi="Times New Roman" w:cs="仿宋_GB2312" w:hint="eastAsia"/>
          <w:b w:val="0"/>
          <w:sz w:val="30"/>
          <w:szCs w:val="30"/>
        </w:rPr>
        <w:t>决算</w:t>
      </w:r>
      <w:r>
        <w:rPr>
          <w:rFonts w:ascii="Times New Roman" w:eastAsia="黑体" w:hAnsi="Times New Roman" w:cs="仿宋_GB2312"/>
          <w:b w:val="0"/>
          <w:sz w:val="30"/>
          <w:szCs w:val="30"/>
        </w:rPr>
        <w:t>情况</w:t>
      </w:r>
      <w:r>
        <w:rPr>
          <w:rFonts w:ascii="Times New Roman" w:eastAsia="黑体" w:hAnsi="Times New Roman" w:cs="仿宋_GB2312" w:hint="eastAsia"/>
          <w:b w:val="0"/>
          <w:sz w:val="30"/>
          <w:szCs w:val="30"/>
        </w:rPr>
        <w:t>说明</w:t>
      </w:r>
      <w:bookmarkEnd w:id="20"/>
    </w:p>
    <w:p w14:paraId="28861E6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本年支出合计83,707,360.54元。与2023年度相比减少250,109.69元，主要原因是人员减少；质检所经营支出减少。其中：基本支出68,038,819.71元，占81.3%；项目支出15,144,854.79元，占18.1%；经营支出523,686.04元，占0.6%。</w:t>
      </w:r>
    </w:p>
    <w:p w14:paraId="3C4A28C5">
      <w:pPr>
        <w:pStyle w:val="Heading2"/>
        <w:spacing w:before="0" w:after="0" w:line="600" w:lineRule="exact"/>
        <w:ind w:firstLine="600" w:firstLineChars="200"/>
        <w:rPr>
          <w:rFonts w:ascii="Times New Roman" w:eastAsia="黑体" w:hAnsi="Times New Roman"/>
          <w:b w:val="0"/>
          <w:sz w:val="30"/>
          <w:szCs w:val="30"/>
        </w:rPr>
      </w:pPr>
      <w:bookmarkStart w:id="21" w:name="_Toc23974"/>
      <w:r>
        <w:rPr>
          <w:rFonts w:ascii="Times New Roman" w:eastAsia="黑体" w:hAnsi="Times New Roman" w:hint="eastAsia"/>
          <w:b w:val="0"/>
          <w:sz w:val="30"/>
          <w:szCs w:val="30"/>
        </w:rPr>
        <w:t>四、财政拨款收支决算总体情况说明</w:t>
      </w:r>
      <w:bookmarkEnd w:id="21"/>
    </w:p>
    <w:p w14:paraId="040AD9FF">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天津市津南区市场监督管理局2024年度财政拨款收入、支出决算总计83,202,692.8元。与2023年度相比，财政拨款收、支总计各减少620,611.61元，下降0.7%，主要原因是单位人员减少。</w:t>
        <w:br/>
        <w:t>　　收入包括：一般公共预算财政拨款收入83,202,692.8元。</w:t>
        <w:br/>
        <w:t>　　支出包括：一般公共服务支出（类）支出68,833,815.25元、社会保障和就业支出（类）支出6,624,965.76元、卫生健康支出（类）支出3,627,873.51元、住房保障支出（类）支出4,095,244元。</w:t>
      </w:r>
    </w:p>
    <w:p w14:paraId="2F59C99B">
      <w:pPr>
        <w:pStyle w:val="Heading2"/>
        <w:spacing w:before="0" w:after="0" w:line="600" w:lineRule="exact"/>
        <w:ind w:firstLine="600" w:firstLineChars="200"/>
        <w:rPr>
          <w:rFonts w:ascii="Times New Roman" w:eastAsia="黑体" w:hAnsi="Times New Roman"/>
          <w:b w:val="0"/>
          <w:sz w:val="30"/>
          <w:szCs w:val="30"/>
        </w:rPr>
      </w:pPr>
      <w:bookmarkStart w:id="22" w:name="_Toc19057"/>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一般公共预算财政拨款支出决算情况</w:t>
      </w:r>
      <w:r>
        <w:rPr>
          <w:rFonts w:ascii="Times New Roman" w:eastAsia="黑体" w:hAnsi="Times New Roman" w:hint="eastAsia"/>
          <w:b w:val="0"/>
          <w:sz w:val="30"/>
          <w:szCs w:val="30"/>
        </w:rPr>
        <w:t>说明</w:t>
      </w:r>
      <w:bookmarkEnd w:id="22"/>
    </w:p>
    <w:p w14:paraId="2297FB1A">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3B88EC5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部门决算一般公共预算财政拨款支出合计83,181,898.52元，占本年支出合计的100%。与2023年度相比，一般公共预算财政拨款支出增加363,061.36元，增长0.4%，主要原因是增加了食品安全协管员经费支出。</w:t>
      </w:r>
    </w:p>
    <w:p w14:paraId="0EDF7B8F">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E93C80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2024年度一般公共预算财政拨款支出83,181,898.52元，主要用于以下方面：</w:t>
        <w:br/>
        <w:t>　　一般公共服务支出（类）支出68,833,815.25元，占82.8%；</w:t>
        <w:br/>
        <w:t>　　社会保障和就业支出（类）支出6,624,965.76元，占8%；</w:t>
        <w:br/>
        <w:t>　　卫生健康支出（类）支出3,627,873.51元，占4.4%；</w:t>
        <w:br/>
        <w:t>　　住房保障支出（类）支出4,095,244元，占4.9%。</w:t>
      </w:r>
    </w:p>
    <w:p w14:paraId="766DC5C0">
      <w:pPr>
        <w:numPr>
          <w:ilvl w:val="0"/>
          <w:numId w:val="1"/>
        </w:num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b/>
          <w:sz w:val="30"/>
          <w:szCs w:val="30"/>
        </w:rPr>
        <w:t>具体情况</w:t>
      </w:r>
    </w:p>
    <w:p w14:paraId="6C4857B3">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2024年度一般公共预算财政拨款支出年初预算为79,514,347.15元，支出决算为83,181,898.52元，完成年初预算的104.6%。其中：</w:t>
        <w:br/>
        <w:t>　　1.一般公共服务支出（类）知识产权事务（款）知识产权宏观管理（项）年初预算为200,000元，支出决算为196,190元，完成年初预算的98.1%，决算数小于年初预算数的主要原因是落实过紧日子要求，从严控制各项支出，节省财政资金。</w:t>
        <w:br/>
        <w:t>　　2.一般公共服务支出（类）组织事务（款）其他组织事务支出（项）年初预算为320元，支出决算为317.5元，完成年初预算的99.2%，决算数小于年初预算数的主要原因是落实过紧日子要求，从严控制各项支出，节省财政资金。</w:t>
        <w:br/>
        <w:t>　　3.一般公共服务支出（类）市场监督管理事务（款）行政运行（项）年初预算为49,342,481.47元，支出决算为52,753,354元，完成年初预算的106.9%，决算数大于年初预算数的主要原因是公务员奖励性绩效、晋级晋档工资未纳入年初预算。</w:t>
        <w:br/>
        <w:t>　　4.一般公共服务支出（类）市场监督管理事务（款）机关服务（项）年初预算为600,000元，支出决算为0元，完成年初预算的0%，决算数小于年初预算数的主要原因是把2013803机关服务年初预算调剂到2013899其他市场监督管理事务支出。</w:t>
        <w:br/>
        <w:t>　　5.一般公共服务支出（类）市场监督管理事务（款）市场主体管理（项）年初预算为8,000元，支出决算为5,135元，完成年初预算的64.2%，决算数小于年初预算数的主要原因是落实过紧日子要求，从严控制各项支出，节省财政资金。</w:t>
        <w:br/>
        <w:t>　　6.一般公共服务支出（类）市场监督管理事务（款）市场秩序执法（项）年初预算为77,000元，支出决算为77,000元，完成年初预算的100%。与年初预算数持平的主要原因是严格执行预算管理制度，未发生超预算支出的情况。</w:t>
        <w:br/>
        <w:t>　　7.一般公共服务支出（类）市场监督管理事务（款）质量基础（项）年初预算为10,000元，支出决算为11,300元，完成年初预算的113%，决算数大于年初预算数的主要原因是增加标准化宣传用品印刷费。</w:t>
        <w:br/>
        <w:t>　　8.一般公共服务支出（类）市场监督管理事务（款）药品事务（项）年初预算为400,000元，支出决算为477,420.38元，完成年初预算的119.4%，决算数大于年初预算数的主要原因是支付2023年度药品抽检费用。</w:t>
        <w:br/>
        <w:t>　　9.一般公共服务支出（类）市场监督管理事务（款）医疗器械事务（项）年初预算为0元，支出决算为150,000元，完成年初预算的0%，决算数大于年初预算数的主要原因是根据监管需求，增加医疗器械抽检业务。</w:t>
        <w:br/>
        <w:t>　　10.一般公共服务支出（类）市场监督管理事务（款）化妆品事务（项）年初预算为0元，支出决算为10,000元，完成年初预算的0%，决算数大于年初预算数的主要原因是根据监管需求，增加化妆品抽检业务。</w:t>
        <w:br/>
        <w:t>　　11.一般公共服务支出（类）市场监督管理事务（款）质量安全监管（项）年初预算为1,100,000元，支出决算为1,089,761.91元，完成年初预算的99.1%，决算数小于年初预算数的主要原因是落实过紧日子要求，从严控制各项支出，节省财政资金。</w:t>
        <w:br/>
        <w:t>　　12.一般公共服务支出（类）市场监督管理事务（款）食品安全监管（项）年初预算为5,200,000元，支出决算为6,326,115.48元，完成年初预算的121.7%，决算数大于年初预算数的主要原因是增加了食品安全协管员经费支出。</w:t>
        <w:br/>
        <w:t>　　13.一般公共服务支出（类）市场监督管理事务（款）事业运行（项）年初预算为6,239,863.4元，支出决算为6,267,195.54元，完成年初预算的100.4%，决算数大于年初预算数的主要原因是事业人员工资增加（晋级晋档）。</w:t>
        <w:br/>
        <w:t>　　14.一般公共服务支出（类）市场监督管理事务（款）其他市场监督管理事务（项）年初预算为555,000元，支出决算为1,470,025.44元，完成年初预算的264.9%，决算数大于年初预算数的主要原因是把2013803机关服务年初预算调剂到2013899其他市场监督管理事务支出；增加了退休人员抚恤金支出。</w:t>
        <w:br/>
        <w:t>　　15.社会保障和就业支出（类）行政事业单位养老支出（款）机关事业单位基本养老保险缴费支出（项）年初预算为4,632,923.64元，支出决算为4,416,643.84元，完成年初预算的95.3%，决算数小于年初预算数的主要原因是单位人员减少。</w:t>
        <w:br/>
        <w:t>　　16.社会保障和就业支出（类）行政事业单位养老支出（款）机关事业单位职业年金缴费支出（项）年初预算为2,316,458.4元，支出决算为2,208,321.92元，完成年初预算的95.3%，决算数小于年初预算数的主要原因是单位人员减少。</w:t>
        <w:br/>
        <w:t>　　17.卫生健康支出（类）行政事业单位医疗（款）行政单位医疗（项）年初预算为3,707,738.64元，支出决算为2,810,975.75元，完成年初预算的75.8%，决算数小于年初预算数的主要原因是单位人员减少。</w:t>
        <w:br/>
        <w:t>　　18.卫生健康支出（类）行政事业单位医疗（款）事业单位医疗（项）年初预算为292,618.44元，支出决算为274,958.56元，完成年初预算的94%，决算数小于年初预算数的主要原因是单位人员减少。</w:t>
        <w:br/>
        <w:t>　　19.卫生健康支出（类）行政事业单位医疗（款）公务员医疗补助（项）年初预算为523,379.16元，支出决算为497,089.2元，完成年初预算的95%，决算数小于年初预算数的主要原因是单位人员减少。</w:t>
        <w:br/>
        <w:t>　　20.卫生健康支出（类）行政事业单位医疗（款）其他行政事业单位医疗支出（项）年初预算为46,800元，支出决算为44,850元，完成年初预算的95.8%，决算数小于年初预算数的主要原因是中国人民健康保险股份有限公司天津分公司有优惠。</w:t>
        <w:br/>
        <w:t>　　21.住房保障支出（类）住房改革支出（款）住房公积金（项）年初预算为4,261,764元，支出决算为4,095,244元，完成年初预算的96.1%，决算数小于年初预算数的主要原因是单位人员减少。</w:t>
      </w:r>
    </w:p>
    <w:p w14:paraId="2E595F18">
      <w:pPr>
        <w:pStyle w:val="Heading2"/>
        <w:spacing w:before="0" w:after="0" w:line="600" w:lineRule="exact"/>
        <w:ind w:firstLine="600" w:firstLineChars="200"/>
        <w:rPr>
          <w:rFonts w:ascii="Times New Roman" w:eastAsia="黑体" w:hAnsi="Times New Roman"/>
          <w:b w:val="0"/>
          <w:sz w:val="30"/>
          <w:szCs w:val="30"/>
        </w:rPr>
      </w:pPr>
      <w:bookmarkStart w:id="23" w:name="_Toc8826"/>
      <w:r>
        <w:rPr>
          <w:rFonts w:ascii="Times New Roman" w:eastAsia="黑体" w:hAnsi="Times New Roman"/>
          <w:b w:val="0"/>
          <w:sz w:val="30"/>
          <w:szCs w:val="30"/>
        </w:rPr>
        <w:t>六、一般公共预算财政拨款基本支出决算情况</w:t>
      </w:r>
      <w:r>
        <w:rPr>
          <w:rFonts w:ascii="Times New Roman" w:eastAsia="黑体" w:hAnsi="Times New Roman" w:hint="eastAsia"/>
          <w:b w:val="0"/>
          <w:sz w:val="30"/>
          <w:szCs w:val="30"/>
        </w:rPr>
        <w:t>说明</w:t>
      </w:r>
      <w:bookmarkEnd w:id="23"/>
    </w:p>
    <w:p w14:paraId="35A1F94E">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天津市津南区市场监督管理局2024年度部门决算一般公共预算财政拨款基本支出合计68,037,043.73元，与2023年度相比减少2,136,932.69元，主要原因是单位人员减少。其中：</w:t>
        <w:br/>
        <w:t>　　人员经费61,870,119.27元，主要包括基本工资、津贴补贴、奖金、绩效工资、机关事业单位养老保险缴费、职业年金缴费、职工基本医疗保险缴费、公务员医疗补助缴费、其他社会保障缴费、住房公积金、其他工资福利支出、离休费、退休费；</w:t>
        <w:br/>
        <w:t>　　公用经费6,166,924.46元，主要包括办公费、印刷费、水费、电费、邮电费、取暖费、物业管理费、差旅费、维修（护）费、培训费、劳务费、委托物业费、工会经费、福利费、公务用车运行维护费、其他交通费用、其他商品和服务支出、办公设备购置。</w:t>
      </w:r>
    </w:p>
    <w:p w14:paraId="21E5FA28">
      <w:pPr>
        <w:pStyle w:val="Heading2"/>
        <w:spacing w:before="0" w:after="0" w:line="600" w:lineRule="exact"/>
        <w:ind w:firstLine="600" w:firstLineChars="200"/>
        <w:rPr>
          <w:rFonts w:ascii="Times New Roman" w:eastAsia="楷体" w:hAnsi="Times New Roman" w:cs="仿宋_GB2312"/>
          <w:b w:val="0"/>
          <w:sz w:val="30"/>
          <w:szCs w:val="30"/>
        </w:rPr>
      </w:pPr>
      <w:bookmarkStart w:id="24" w:name="_Toc13712"/>
      <w:r>
        <w:rPr>
          <w:rFonts w:ascii="Times New Roman" w:eastAsia="黑体" w:hAnsi="Times New Roman" w:hint="eastAsia"/>
          <w:b w:val="0"/>
          <w:sz w:val="30"/>
          <w:szCs w:val="30"/>
        </w:rPr>
        <w:t>七</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收支决算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4"/>
    </w:p>
    <w:p w14:paraId="0EBA9BB0">
      <w:pPr>
        <w:keepNext w:val="0"/>
        <w:keepLines w:val="0"/>
        <w:pageBreakBefore w:val="0"/>
        <w:widowControl w:val="0"/>
        <w:kinsoku/>
        <w:wordWrap/>
        <w:overflowPunct/>
        <w:topLinePunct w:val="0"/>
        <w:autoSpaceDE/>
        <w:autoSpaceDN/>
        <w:bidi w:val="0"/>
        <w:adjustRightInd w:val="0"/>
        <w:snapToGrid/>
        <w:spacing w:line="600" w:lineRule="exact"/>
        <w:ind w:left="0" w:firstLine="600" w:leftChars="0" w:firstLineChars="200"/>
        <w:textAlignment w:val="baseline"/>
        <w:rPr>
          <w:rFonts w:ascii="Times New Roman" w:eastAsia="楷体" w:hAnsi="Times New Roman" w:cs="仿宋_GB2312"/>
          <w:b/>
          <w:sz w:val="30"/>
          <w:szCs w:val="30"/>
        </w:rPr>
      </w:pPr>
      <w:r>
        <w:rPr>
          <w:rFonts w:ascii="Times New Roman" w:eastAsia="楷体" w:hAnsi="Times New Roman" w:cs="仿宋_GB2312" w:hint="eastAsia"/>
          <w:b/>
          <w:sz w:val="30"/>
          <w:szCs w:val="30"/>
        </w:rPr>
        <w:t>（一）总体情况</w:t>
      </w:r>
    </w:p>
    <w:p w14:paraId="27F3698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天津市津南区市场监督管理局2024年度无政府性基金预算财政拨款收入、支出和结转结余。</w:t>
      </w:r>
    </w:p>
    <w:p w14:paraId="402461E5">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4ECC5FB6">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1180BAF0">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1290394B">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41F2BD40">
      <w:pPr>
        <w:pStyle w:val="Heading2"/>
        <w:spacing w:before="0" w:after="0" w:line="600" w:lineRule="exact"/>
        <w:ind w:firstLine="600" w:firstLineChars="200"/>
        <w:rPr>
          <w:rFonts w:ascii="Times New Roman" w:eastAsia="黑体" w:hAnsi="Times New Roman"/>
          <w:b w:val="0"/>
          <w:sz w:val="30"/>
          <w:szCs w:val="30"/>
        </w:rPr>
      </w:pPr>
      <w:bookmarkStart w:id="25" w:name="_Toc1902"/>
      <w:r>
        <w:rPr>
          <w:rFonts w:ascii="Times New Roman" w:eastAsia="黑体" w:hAnsi="Times New Roman" w:hint="eastAsia"/>
          <w:b w:val="0"/>
          <w:sz w:val="30"/>
          <w:szCs w:val="30"/>
        </w:rPr>
        <w:t>八、国有资本经营预算财政拨款收支决算情况</w:t>
      </w:r>
      <w:r>
        <w:rPr>
          <w:rFonts w:ascii="Times New Roman" w:eastAsia="黑体" w:hAnsi="Times New Roman" w:hint="eastAsia"/>
          <w:b w:val="0"/>
          <w:bCs w:val="0"/>
          <w:sz w:val="30"/>
          <w:szCs w:val="30"/>
        </w:rPr>
        <w:t>说明</w:t>
      </w:r>
      <w:bookmarkEnd w:id="25"/>
    </w:p>
    <w:p w14:paraId="18531346">
      <w:pPr>
        <w:spacing w:line="600" w:lineRule="exact"/>
        <w:ind w:firstLine="600" w:firstLineChars="200"/>
        <w:rPr>
          <w:rFonts w:ascii="Times New Roman" w:eastAsia="仿宋_GB2312" w:hAnsi="Times New Roman"/>
          <w:sz w:val="30"/>
          <w:szCs w:val="30"/>
        </w:rPr>
      </w:pPr>
      <w:r>
        <w:rPr>
          <w:rFonts w:ascii="Times New Roman" w:eastAsia="楷体" w:hAnsi="Times New Roman" w:cs="仿宋_GB2312" w:hint="eastAsia"/>
          <w:b/>
          <w:sz w:val="30"/>
          <w:szCs w:val="30"/>
        </w:rPr>
        <w:t>（一）总体情况</w:t>
      </w:r>
    </w:p>
    <w:p w14:paraId="461721CC">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天津市津南区市场监督管理局2024年度无国有资本经营预算财政拨款收入、支出和结转结余。</w:t>
      </w:r>
    </w:p>
    <w:p w14:paraId="00785FE3">
      <w:pPr>
        <w:spacing w:line="600" w:lineRule="exact"/>
        <w:ind w:firstLine="600" w:firstLineChars="200"/>
        <w:rPr>
          <w:rFonts w:ascii="Times New Roman" w:eastAsia="楷体" w:hAnsi="Times New Roman" w:cs="仿宋_GB2312"/>
          <w:b/>
          <w:sz w:val="30"/>
          <w:szCs w:val="30"/>
        </w:rPr>
      </w:pPr>
      <w:r>
        <w:rPr>
          <w:rFonts w:ascii="Times New Roman" w:eastAsia="楷体" w:hAnsi="Times New Roman" w:cs="仿宋_GB2312" w:hint="eastAsia"/>
          <w:b/>
          <w:sz w:val="30"/>
          <w:szCs w:val="30"/>
        </w:rPr>
        <w:t>（二）支出结构情况</w:t>
      </w:r>
    </w:p>
    <w:p w14:paraId="25033399">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06DF4DE7">
      <w:pPr>
        <w:spacing w:line="600" w:lineRule="exact"/>
        <w:rPr>
          <w:rFonts w:ascii="Times New Roman" w:eastAsia="楷体" w:hAnsi="Times New Roman" w:cs="仿宋_GB2312"/>
          <w:b/>
          <w:sz w:val="30"/>
          <w:szCs w:val="30"/>
        </w:rPr>
      </w:pPr>
      <w:r>
        <w:rPr>
          <w:rFonts w:ascii="Times New Roman" w:eastAsia="楷体" w:hAnsi="Times New Roman" w:cs="仿宋_GB2312" w:hint="eastAsia"/>
          <w:b/>
          <w:sz w:val="30"/>
          <w:szCs w:val="30"/>
        </w:rPr>
        <w:t xml:space="preserve">    （三）</w:t>
      </w:r>
      <w:r>
        <w:rPr>
          <w:rFonts w:ascii="Times New Roman" w:eastAsia="楷体" w:hAnsi="Times New Roman" w:cs="仿宋_GB2312"/>
          <w:b/>
          <w:sz w:val="30"/>
          <w:szCs w:val="30"/>
        </w:rPr>
        <w:t>具体情况</w:t>
      </w:r>
    </w:p>
    <w:p w14:paraId="3FBC4350">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不涉及此项内容。</w:t>
      </w:r>
    </w:p>
    <w:p w14:paraId="346F3296">
      <w:pPr>
        <w:pStyle w:val="Heading2"/>
        <w:spacing w:before="0" w:after="0" w:line="600" w:lineRule="exact"/>
        <w:ind w:firstLine="600" w:firstLineChars="200"/>
        <w:rPr>
          <w:rFonts w:ascii="Times New Roman" w:eastAsia="黑体" w:hAnsi="Times New Roman"/>
          <w:b w:val="0"/>
          <w:sz w:val="30"/>
          <w:szCs w:val="30"/>
        </w:rPr>
      </w:pPr>
      <w:bookmarkStart w:id="26" w:name="_Toc6751"/>
      <w:r>
        <w:rPr>
          <w:rFonts w:ascii="Times New Roman" w:eastAsia="黑体" w:hAnsi="Times New Roman" w:hint="eastAsia"/>
          <w:b w:val="0"/>
          <w:sz w:val="30"/>
          <w:szCs w:val="30"/>
        </w:rPr>
        <w:t>九、</w:t>
      </w:r>
      <w:r>
        <w:rPr>
          <w:rFonts w:ascii="Times New Roman" w:eastAsia="黑体" w:hAnsi="Times New Roman"/>
          <w:b w:val="0"/>
          <w:sz w:val="30"/>
          <w:szCs w:val="30"/>
        </w:rPr>
        <w:t>财政拨款“三公”经费</w:t>
      </w:r>
      <w:r>
        <w:rPr>
          <w:rFonts w:ascii="Times New Roman" w:eastAsia="黑体" w:hAnsi="Times New Roman" w:hint="eastAsia"/>
          <w:b w:val="0"/>
          <w:sz w:val="30"/>
          <w:szCs w:val="30"/>
        </w:rPr>
        <w:t>支出决算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6"/>
    </w:p>
    <w:p w14:paraId="28F47079">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（一）总体情况</w:t>
      </w:r>
    </w:p>
    <w:p w14:paraId="448B8C7A">
      <w:pPr>
        <w:spacing w:line="600" w:lineRule="exact"/>
        <w:ind w:firstLine="600" w:firstLineChars="200"/>
        <w:jc w:val="both"/>
        <w:rPr>
          <w:rFonts w:ascii="Times New Roman" w:eastAsia="仿宋_GB2312" w:hAnsi="Times New Roman"/>
          <w:sz w:val="30"/>
          <w:szCs w:val="30"/>
        </w:rPr>
      </w:pPr>
      <w:r>
        <w:rPr>
          <w:rFonts w:ascii="Times New Roman" w:eastAsia="仿宋_GB2312" w:hAnsi="Times New Roman" w:cs="仿宋_GB2312" w:hint="eastAsia"/>
          <w:sz w:val="30"/>
          <w:szCs w:val="30"/>
        </w:rPr>
        <w:t>2024年财政拨款“三公”经费预算1,133,857.15元，支出决算1,133,857.15元（去年同期762,870.31元），支出决算与2024年预算相比持平，完成预算的100%；支出决算较上年增加370,986.84元，增长48.6%。决算数与预算数相比持平的主要原因是决算数较上年增加的主要原因是2024年购置公务用车4辆。</w:t>
      </w:r>
    </w:p>
    <w:p w14:paraId="3898F8D7">
      <w:pPr>
        <w:spacing w:line="600" w:lineRule="exact"/>
        <w:ind w:firstLine="600" w:firstLineChars="200"/>
        <w:rPr>
          <w:rFonts w:ascii="Times New Roman" w:eastAsia="楷体" w:hAnsi="Times New Roman" w:cs="楷体"/>
          <w:b/>
          <w:bCs/>
          <w:sz w:val="30"/>
          <w:szCs w:val="30"/>
        </w:rPr>
      </w:pPr>
      <w:r>
        <w:rPr>
          <w:rFonts w:ascii="Times New Roman" w:eastAsia="楷体" w:hAnsi="Times New Roman" w:cs="楷体" w:hint="eastAsia"/>
          <w:b/>
          <w:bCs/>
          <w:sz w:val="30"/>
          <w:szCs w:val="30"/>
        </w:rPr>
        <w:t>（二）具体情况</w:t>
      </w:r>
    </w:p>
    <w:p w14:paraId="5F8F25BF">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br/>
        <w:t>　　2024年本部门组织的出国团组0个，出国0人次。</w:t>
      </w:r>
    </w:p>
    <w:p w14:paraId="11A801D5">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2.公务用车购置及运行维护费预算1,133,857.15元，支出决算1,133,857.15元（去年同期762,870.31元），支出决算与2024年预算相比持平，完成预算的100%；支出决算较上年增加370,986.84元，增长48.6%。决算数与预算数相比持平的主要原因是年内未执行完的公务用车购置及运行维护费预算在年末核减。决算数较上年增加的主要原因是2024年购置公务用车4辆。其中：</w:t>
        <w:br/>
        <w:t>　　公务用车运行维护费预算533,963.17元，支出决算533,963.17元（去年同期762,870.31元），支出决算与2024年预算相比持平，完成预算的100%；支出决算较上年减少228,907.14元，下降30%。决算数与预算数相比持平的主要原因是年内未执行完的公务用车运行维护费预算在年末核减。决算数较上年减少的主要原因是落实过紧日子要求，从严控制各项支出，公务用车运行维护费支出减少。</w:t>
        <w:br/>
        <w:t>　　截至2024年12月31日，使用财政拨款开支运行维护费的公务用车保有量为39辆。</w:t>
        <w:br/>
        <w:t>　　公务用车购置费预算599,893.98元，支出决算599,893.98元（去年同期0元），支出决算与2024年预算相比持平，完成预算的100%；支出决算较上年增加599,893.98元。决算数与预算数相比持平的主要原因是年内未执行完的公务用车购置费预算在年末核减。决算数较上年增加的主要原因是2024年购置公务用车4辆。</w:t>
        <w:br/>
        <w:t>　　2024年购置公务用车4辆。</w:t>
      </w:r>
    </w:p>
    <w:p w14:paraId="755AFC00">
      <w:pPr>
        <w:spacing w:line="600" w:lineRule="exact"/>
        <w:ind w:firstLine="600" w:firstLineChars="200"/>
        <w:jc w:val="both"/>
        <w:rPr>
          <w:rFonts w:ascii="Times New Roman" w:eastAsia="仿宋_GB2312" w:hAnsi="Times New Roman" w:cs="仿宋_GB2312"/>
          <w:sz w:val="30"/>
          <w:szCs w:val="30"/>
        </w:rPr>
      </w:pPr>
      <w:r>
        <w:rPr>
          <w:rFonts w:ascii="Times New Roman" w:eastAsia="仿宋_GB2312" w:hAnsi="Times New Roman" w:cs="仿宋_GB2312" w:hint="eastAsia"/>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br/>
        <w:t>　　2024年本单位国内公务接待0批次，0人次；其中，外事接待0批次，0人次。</w:t>
      </w:r>
    </w:p>
    <w:p w14:paraId="3E8291F9">
      <w:pPr>
        <w:pStyle w:val="Heading2"/>
        <w:spacing w:before="0" w:after="0" w:line="600" w:lineRule="exact"/>
        <w:ind w:firstLine="600" w:firstLineChars="200"/>
        <w:rPr>
          <w:rFonts w:ascii="Times New Roman" w:eastAsia="黑体" w:hAnsi="Times New Roman"/>
          <w:b w:val="0"/>
          <w:sz w:val="30"/>
          <w:szCs w:val="30"/>
        </w:rPr>
      </w:pPr>
      <w:bookmarkStart w:id="27" w:name="_Toc2589"/>
      <w:r>
        <w:rPr>
          <w:rFonts w:ascii="Times New Roman" w:eastAsia="黑体" w:hAnsi="Times New Roman" w:hint="eastAsia"/>
          <w:b w:val="0"/>
          <w:sz w:val="30"/>
          <w:szCs w:val="30"/>
        </w:rPr>
        <w:t>十、</w:t>
      </w:r>
      <w:r>
        <w:rPr>
          <w:rFonts w:ascii="Times New Roman" w:eastAsia="黑体" w:hAnsi="Times New Roman"/>
          <w:b w:val="0"/>
          <w:sz w:val="30"/>
          <w:szCs w:val="30"/>
        </w:rPr>
        <w:t>机关运行经费</w:t>
      </w:r>
      <w:r>
        <w:rPr>
          <w:rFonts w:ascii="Times New Roman" w:eastAsia="黑体" w:hAnsi="Times New Roman" w:hint="eastAsia"/>
          <w:b w:val="0"/>
          <w:sz w:val="30"/>
          <w:szCs w:val="30"/>
        </w:rPr>
        <w:t>支出情况</w:t>
      </w:r>
      <w:r>
        <w:rPr>
          <w:rFonts w:ascii="Times New Roman" w:eastAsia="黑体" w:hAnsi="Times New Roman" w:hint="eastAsia"/>
          <w:b w:val="0"/>
          <w:bCs w:val="0"/>
          <w:sz w:val="30"/>
          <w:szCs w:val="30"/>
        </w:rPr>
        <w:t>说明</w:t>
      </w:r>
      <w:bookmarkEnd w:id="27"/>
    </w:p>
    <w:p w14:paraId="3226CE9B">
      <w:pPr>
        <w:spacing w:line="600" w:lineRule="exact"/>
        <w:ind w:firstLine="600"/>
        <w:jc w:val="both"/>
        <w:rPr>
          <w:rFonts w:ascii="Times New Roman" w:eastAsia="楷体" w:hAnsi="Times New Roman"/>
          <w:sz w:val="30"/>
          <w:szCs w:val="30"/>
        </w:rPr>
      </w:pPr>
      <w:r>
        <w:rPr>
          <w:rFonts w:ascii="Times New Roman" w:eastAsia="仿宋_GB2312" w:hAnsi="Times New Roman" w:cs="仿宋_GB2312" w:hint="eastAsia"/>
          <w:sz w:val="30"/>
          <w:szCs w:val="30"/>
        </w:rPr>
        <w:t>机关运行经费是指行政单位和参照公务员法管理的事业单位使用财政拨款安排的基本支出中的日常公用经费支出，天津市津南区市场监督管理局2024年度机关运行经费年初预算4,580,683.95元，决算数5,621,816.57元，与年初预算相比增加1,041,132.62元，完成年初预算的122.7%；比2023年减少425,865.08元，下降7%，主要原因是落实过紧日子要求，从严控制各项支出，机关运行经费支出减少。</w:t>
      </w:r>
    </w:p>
    <w:p w14:paraId="15D0DF49">
      <w:pPr>
        <w:pStyle w:val="Heading2"/>
        <w:spacing w:before="0" w:after="0" w:line="600" w:lineRule="exact"/>
        <w:ind w:firstLine="600" w:firstLineChars="200"/>
        <w:rPr>
          <w:rFonts w:ascii="Times New Roman" w:eastAsia="黑体" w:hAnsi="Times New Roman"/>
          <w:b w:val="0"/>
          <w:sz w:val="30"/>
          <w:szCs w:val="30"/>
        </w:rPr>
      </w:pPr>
      <w:bookmarkStart w:id="28" w:name="_Toc15010"/>
      <w:r>
        <w:rPr>
          <w:rFonts w:ascii="Times New Roman" w:eastAsia="黑体" w:hAnsi="Times New Roman" w:hint="eastAsia"/>
          <w:b w:val="0"/>
          <w:sz w:val="30"/>
          <w:szCs w:val="30"/>
        </w:rPr>
        <w:t>十一、</w:t>
      </w:r>
      <w:r>
        <w:rPr>
          <w:rFonts w:ascii="Times New Roman" w:eastAsia="黑体" w:hAnsi="Times New Roman"/>
          <w:b w:val="0"/>
          <w:sz w:val="30"/>
          <w:szCs w:val="30"/>
        </w:rPr>
        <w:t>政府采购</w:t>
      </w:r>
      <w:r>
        <w:rPr>
          <w:rFonts w:ascii="Times New Roman" w:eastAsia="黑体" w:hAnsi="Times New Roman" w:hint="eastAsia"/>
          <w:b w:val="0"/>
          <w:sz w:val="30"/>
          <w:szCs w:val="30"/>
        </w:rPr>
        <w:t>支出</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8"/>
    </w:p>
    <w:p w14:paraId="0912B83C">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天津市津南区市场监督管理局2024年政府采购支出总额9,277,636.9元，其中：政府采购货物支出686,611.9元、政府采购工程支出0元、政府采购服务支出8,591,025元。授予中小企业合同金额7,972,636.9元，占政府采购支出总额的85.9%，其中：授予小微企业合同金额2,733,236.9元，占政府采购支出总额的29.5%；货物采购授予中小企业合同金额占货物支出金额的100%，工程采购授予中小企业合同金额占工程支出金额的0%，服务采购授予中小企业合同金额占服务支出金额的100%。</w:t>
      </w:r>
    </w:p>
    <w:p w14:paraId="2E327891">
      <w:pPr>
        <w:pStyle w:val="Heading2"/>
        <w:spacing w:before="0" w:after="0" w:line="600" w:lineRule="exact"/>
        <w:ind w:firstLine="600" w:firstLineChars="200"/>
        <w:rPr>
          <w:rFonts w:ascii="Times New Roman" w:eastAsia="黑体" w:hAnsi="Times New Roman"/>
          <w:b w:val="0"/>
          <w:sz w:val="30"/>
          <w:szCs w:val="30"/>
        </w:rPr>
      </w:pPr>
      <w:bookmarkStart w:id="29" w:name="_Toc32128"/>
      <w:r>
        <w:rPr>
          <w:rFonts w:ascii="Times New Roman" w:eastAsia="黑体" w:hAnsi="Times New Roman" w:hint="eastAsia"/>
          <w:b w:val="0"/>
          <w:sz w:val="30"/>
          <w:szCs w:val="30"/>
        </w:rPr>
        <w:t>十二、国有资产占有使用情况</w:t>
      </w:r>
      <w:r>
        <w:rPr>
          <w:rFonts w:ascii="Times New Roman" w:eastAsia="黑体" w:hAnsi="Times New Roman" w:hint="eastAsia"/>
          <w:b w:val="0"/>
          <w:bCs w:val="0"/>
          <w:sz w:val="30"/>
          <w:szCs w:val="30"/>
        </w:rPr>
        <w:t>说明</w:t>
      </w:r>
      <w:bookmarkEnd w:id="29"/>
    </w:p>
    <w:p w14:paraId="614810F1">
      <w:pPr>
        <w:spacing w:line="600" w:lineRule="exact"/>
        <w:ind w:firstLine="600" w:firstLineChars="200"/>
        <w:jc w:val="both"/>
        <w:rPr>
          <w:rFonts w:ascii="Times New Roman" w:eastAsia="楷体" w:hAnsi="Times New Roman"/>
          <w:sz w:val="30"/>
          <w:szCs w:val="30"/>
        </w:rPr>
      </w:pPr>
      <w:r>
        <w:rPr>
          <w:rFonts w:ascii="Times New Roman" w:eastAsia="仿宋_GB2312" w:hAnsi="Times New Roman" w:cs="仿宋_GB2312" w:hint="eastAsia"/>
          <w:sz w:val="30"/>
          <w:szCs w:val="30"/>
        </w:rPr>
        <w:t>截至2024年12月31日，天津市津南区市场监督管理局共有车辆46辆，其中：副部（省）级及以上领导用车0辆、主要负责人用车0辆、机要通信用车0辆、应急保障用车0辆、执法执勤用车27辆、特种专业技术用车0辆、离退休干部用车0辆、其他用车19辆，其他用车主要包括业务用车。单价100万元以上的设备1台（套）。</w:t>
      </w:r>
    </w:p>
    <w:p w14:paraId="24BEC538">
      <w:pPr>
        <w:pStyle w:val="Heading2"/>
        <w:spacing w:before="0" w:after="0" w:line="540" w:lineRule="exact"/>
        <w:ind w:firstLine="600" w:firstLineChars="200"/>
        <w:rPr>
          <w:rFonts w:ascii="Times New Roman" w:eastAsia="黑体" w:hAnsi="Times New Roman"/>
          <w:b w:val="0"/>
          <w:bCs w:val="0"/>
          <w:sz w:val="30"/>
          <w:szCs w:val="30"/>
        </w:rPr>
      </w:pPr>
      <w:bookmarkStart w:id="30" w:name="_Toc31889"/>
      <w:r>
        <w:rPr>
          <w:rFonts w:ascii="Times New Roman" w:eastAsia="黑体" w:hAnsi="Times New Roman" w:hint="eastAsia"/>
          <w:b w:val="0"/>
          <w:bCs w:val="0"/>
          <w:sz w:val="30"/>
          <w:szCs w:val="30"/>
        </w:rPr>
        <w:t>十三、预算绩效情况说明</w:t>
      </w:r>
      <w:bookmarkEnd w:id="30"/>
    </w:p>
    <w:p w14:paraId="45A0BCC0">
      <w:pPr>
        <w:spacing w:line="600" w:lineRule="exact"/>
        <w:ind w:firstLine="600" w:firstLineChars="200"/>
        <w:jc w:val="both"/>
        <w:rPr>
          <w:rFonts w:ascii="Times New Roman" w:eastAsia="仿宋_GB2312" w:hAnsi="Times New Roman"/>
          <w:sz w:val="30"/>
          <w:szCs w:val="30"/>
          <w:highlight w:val="yellow"/>
        </w:rPr>
      </w:pPr>
      <w:r>
        <w:rPr>
          <w:rFonts w:ascii="Times New Roman" w:eastAsia="仿宋_GB2312" w:hAnsi="Times New Roman" w:cs="仿宋_GB2312" w:hint="eastAsia"/>
          <w:sz w:val="30"/>
          <w:szCs w:val="30"/>
        </w:rPr>
        <w:t>根据预算绩效管理要求，天津市津南区市场监督管理局2024年度已对29个区级项目开展绩效自评，涉及金额15144854.79元，自评结果已随部门决算一并公开。天津市津南区市场监督管理局2024年度已对29个项目开展部门评价，涉及金额15144854.79元。</w:t>
      </w:r>
    </w:p>
    <w:p w14:paraId="4275EF8F">
      <w:pPr>
        <w:pStyle w:val="Heading2"/>
        <w:spacing w:before="0" w:after="0" w:line="600" w:lineRule="exact"/>
        <w:ind w:firstLine="600" w:firstLineChars="200"/>
        <w:rPr>
          <w:rFonts w:ascii="Times New Roman" w:eastAsia="黑体" w:hAnsi="Times New Roman"/>
          <w:b w:val="0"/>
          <w:sz w:val="30"/>
          <w:szCs w:val="30"/>
        </w:rPr>
      </w:pPr>
      <w:bookmarkStart w:id="31" w:name="_Toc6543"/>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r>
        <w:rPr>
          <w:rFonts w:ascii="Times New Roman" w:eastAsia="黑体" w:hAnsi="Times New Roman" w:hint="eastAsia"/>
          <w:b w:val="0"/>
          <w:bCs w:val="0"/>
          <w:sz w:val="30"/>
          <w:szCs w:val="30"/>
        </w:rPr>
        <w:t>说明</w:t>
      </w:r>
      <w:bookmarkEnd w:id="31"/>
    </w:p>
    <w:p w14:paraId="7B1ECD1D">
      <w:pPr>
        <w:spacing w:line="600" w:lineRule="exact"/>
        <w:ind w:firstLine="600"/>
        <w:jc w:val="both"/>
        <w:rPr>
          <w:rFonts w:ascii="Times New Roman" w:eastAsia="楷体" w:hAnsi="Times New Roman"/>
          <w:b/>
          <w:bCs/>
          <w:sz w:val="30"/>
          <w:szCs w:val="30"/>
        </w:rPr>
        <w:sectPr>
          <w:pgSz w:w="11906" w:h="16838"/>
          <w:pgMar w:top="1440" w:right="1800" w:bottom="1440" w:left="1800" w:header="851" w:footer="992" w:gutter="0"/>
          <w:cols w:num="1" w:space="720"/>
          <w:docGrid w:type="lines" w:linePitch="312" w:charSpace="0"/>
        </w:sectPr>
      </w:pPr>
      <w:r>
        <w:rPr>
          <w:rFonts w:ascii="Times New Roman" w:eastAsia="仿宋_GB2312" w:hAnsi="Times New Roman" w:cs="仿宋_GB2312" w:hint="eastAsia"/>
          <w:sz w:val="30"/>
          <w:szCs w:val="30"/>
        </w:rPr>
        <w:t>天津市津南区市场监督管理局不属于乡、镇、街级单位，不涉及公开2024年度教育、医疗卫生、社会保障和就业、住房保障、涉农补贴等民生支出情况。</w:t>
      </w:r>
      <w:r>
        <w:rPr>
          <w:rFonts w:ascii="Times New Roman" w:eastAsia="楷体" w:hAnsi="Times New Roman"/>
          <w:b/>
          <w:bCs/>
          <w:sz w:val="30"/>
          <w:szCs w:val="30"/>
        </w:rPr>
        <w:t xml:space="preserve"> </w:t>
      </w:r>
    </w:p>
    <w:p w14:paraId="67AFD435">
      <w:pPr>
        <w:pStyle w:val="Heading1"/>
        <w:spacing w:before="0" w:after="0" w:line="600" w:lineRule="exact"/>
        <w:jc w:val="center"/>
        <w:rPr>
          <w:rFonts w:ascii="Times New Roman" w:eastAsia="方正小标宋简体" w:hAnsi="Times New Roman" w:cs="方正小标宋简体"/>
          <w:b w:val="0"/>
        </w:rPr>
      </w:pPr>
      <w:bookmarkStart w:id="32" w:name="_Toc24691"/>
      <w:bookmarkStart w:id="33" w:name="_Toc17573"/>
      <w:r>
        <w:rPr>
          <w:rFonts w:ascii="Times New Roman" w:eastAsia="方正小标宋简体" w:hAnsi="Times New Roman" w:cs="方正小标宋简体" w:hint="eastAsia"/>
          <w:b w:val="0"/>
        </w:rPr>
        <w:t>第四部分  名词解释</w:t>
      </w:r>
      <w:bookmarkEnd w:id="32"/>
      <w:bookmarkEnd w:id="33"/>
    </w:p>
    <w:p w14:paraId="5F6CED10">
      <w:pPr>
        <w:spacing w:line="600" w:lineRule="exact"/>
        <w:ind w:firstLine="600" w:firstLineChars="200"/>
        <w:rPr>
          <w:rFonts w:ascii="Times New Roman" w:eastAsia="仿宋_GB2312" w:hAnsi="Times New Roman"/>
          <w:sz w:val="30"/>
          <w:szCs w:val="30"/>
        </w:rPr>
      </w:pPr>
    </w:p>
    <w:p w14:paraId="70CF69A8">
      <w:pPr>
        <w:numPr>
          <w:ilvl w:val="0"/>
          <w:numId w:val="2"/>
        </w:num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1552FB">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D1D5840">
      <w:pPr>
        <w:spacing w:line="600" w:lineRule="exact"/>
        <w:ind w:firstLine="600" w:firstLineChars="200"/>
        <w:rPr>
          <w:rFonts w:ascii="Times New Roman" w:eastAsia="仿宋_GB2312" w:hAnsi="Times New Roman"/>
          <w:sz w:val="30"/>
          <w:szCs w:val="30"/>
        </w:rPr>
      </w:pPr>
      <w:r>
        <w:rPr>
          <w:rFonts w:ascii="Times New Roman" w:eastAsia="仿宋_GB2312" w:hAnsi="Times New Roman" w:hint="eastAsia"/>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360EE6DE">
      <w:pPr>
        <w:spacing w:line="600" w:lineRule="exact"/>
        <w:ind w:firstLine="600"/>
        <w:rPr>
          <w:rFonts w:ascii="Times New Roman" w:eastAsia="仿宋_GB2312" w:hAnsi="Times New Roman"/>
          <w:sz w:val="30"/>
          <w:szCs w:val="30"/>
        </w:rPr>
      </w:pPr>
    </w:p>
    <w:sectPr>
      <w:footerReference w:type="default" r:id="rId7"/>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B3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C601E2E">
    <w:pPr>
      <w:pStyle w:val="Footer"/>
    </w:pPr>
    <w: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15</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207.25pt;mso-position-horizontal-relative:margin;mso-wrap-distance-bottom:0;mso-wrap-distance-left:9pt;mso-wrap-distance-right:9pt;mso-wrap-distance-top:0;mso-wrap-style:none;position:absolute;v-text-anchor:top;z-index:251660288" filled="f" fillcolor="this" stroked="f" strokeweight="1.25pt">
              <v:textbox style="mso-fit-shape-to-text:t" inset="0,0,0,0">
                <w:txbxContent>
                  <w:p w14:paraId="6D746DBC">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15</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C4CCE6D">
    <w:pPr>
      <w:pStyle w:val="Footer"/>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16</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2in;height:2in;margin-top:0;margin-left:207.25pt;mso-position-horizontal-relative:margin;mso-wrap-distance-bottom:0;mso-wrap-distance-left:9pt;mso-wrap-distance-right:9pt;mso-wrap-distance-top:0;mso-wrap-style:none;position:absolute;v-text-anchor:top;z-index:251658240" filled="f" fillcolor="this" stroked="f">
              <v:textbox style="mso-fit-shape-to-text:t" inset="0,0,0,0">
                <w:txbxContent>
                  <w:p w14:paraId="3E944889">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16</w:t>
                    </w:r>
                    <w:r>
                      <w:rPr>
                        <w:rFonts w:hint="eastAsia"/>
                        <w:szCs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CB79B7"/>
    <w:multiLevelType w:val="singleLevel"/>
    <w:tmpl w:val="62CB79B7"/>
    <w:lvl w:ilvl="0">
      <w:start w:val="3"/>
      <w:numFmt w:val="chineseCounting"/>
      <w:suff w:val="nothing"/>
      <w:lvlText w:val="（%1）"/>
      <w:lvlJc w:val="left"/>
    </w:lvl>
  </w:abstractNum>
  <w:abstractNum w:abstractNumId="1">
    <w:nsid w:val="62CB88B4"/>
    <w:multiLevelType w:val="singleLevel"/>
    <w:tmpl w:val="62CB88B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802DB"/>
    <w:rsid w:val="D74FDF30"/>
    <w:rsid w:val="DEAEE68D"/>
    <w:rsid w:val="F7F97754"/>
    <w:rsid w:val="FB7FC3E7"/>
    <w:rsid w:val="FF3F61B6"/>
    <w:rsid w:val="FFC7ECE8"/>
    <w:rsid w:val="00015911"/>
    <w:rsid w:val="00046E1C"/>
    <w:rsid w:val="00053901"/>
    <w:rsid w:val="000864BF"/>
    <w:rsid w:val="00092AB8"/>
    <w:rsid w:val="000B4E39"/>
    <w:rsid w:val="000E2F8C"/>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s>
  <w:docVars>
    <w:docVar w:name="commondata" w:val="eyJoZGlkIjoiMDYyNzRjODIwNDMyMWFhMzA3ZWZkM2QwNzBjNmI1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1"/>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a1"/>
    <w:uiPriority w:val="99"/>
    <w:unhideWhenUsed/>
    <w:qFormat/>
    <w:pPr>
      <w:spacing w:line="240" w:lineRule="auto"/>
    </w:pPr>
    <w:rPr>
      <w:sz w:val="18"/>
      <w:szCs w:val="18"/>
    </w:rPr>
  </w:style>
  <w:style w:type="paragraph" w:styleId="Footer">
    <w:name w:val="footer"/>
    <w:basedOn w:val="Normal"/>
    <w:link w:val="a"/>
    <w:unhideWhenUsed/>
    <w:qFormat/>
    <w:pPr>
      <w:tabs>
        <w:tab w:val="center" w:pos="4153"/>
        <w:tab w:val="right" w:pos="8306"/>
      </w:tabs>
      <w:snapToGrid w:val="0"/>
      <w:spacing w:line="240" w:lineRule="atLeast"/>
    </w:pPr>
    <w:rPr>
      <w:sz w:val="18"/>
      <w:szCs w:val="18"/>
    </w:rPr>
  </w:style>
  <w:style w:type="paragraph" w:styleId="Header">
    <w:name w:val="header"/>
    <w:basedOn w:val="Normal"/>
    <w:link w:val="a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character" w:styleId="Hyperlink">
    <w:name w:val="Hyperlink"/>
    <w:uiPriority w:val="99"/>
    <w:unhideWhenUsed/>
    <w:rPr>
      <w:color w:val="0000FF"/>
      <w:u w:val="single"/>
    </w:rPr>
  </w:style>
  <w:style w:type="character" w:customStyle="1" w:styleId="3">
    <w:name w:val="标题 3 字符"/>
    <w:link w:val="Heading3"/>
    <w:uiPriority w:val="9"/>
    <w:semiHidden/>
    <w:qFormat/>
    <w:rPr>
      <w:b/>
      <w:bCs/>
      <w:sz w:val="32"/>
      <w:szCs w:val="32"/>
    </w:rPr>
  </w:style>
  <w:style w:type="character" w:customStyle="1" w:styleId="a">
    <w:name w:val="页脚 字符"/>
    <w:link w:val="Footer"/>
    <w:semiHidden/>
    <w:qFormat/>
    <w:rPr>
      <w:sz w:val="18"/>
      <w:szCs w:val="18"/>
    </w:rPr>
  </w:style>
  <w:style w:type="character" w:customStyle="1" w:styleId="a0">
    <w:name w:val="页眉 字符"/>
    <w:link w:val="Header"/>
    <w:semiHidden/>
    <w:rPr>
      <w:sz w:val="18"/>
      <w:szCs w:val="18"/>
    </w:rPr>
  </w:style>
  <w:style w:type="character" w:customStyle="1" w:styleId="a1">
    <w:name w:val="批注框文本 字符"/>
    <w:link w:val="BalloonText"/>
    <w:uiPriority w:val="99"/>
    <w:semiHidden/>
    <w:qFormat/>
    <w:rPr>
      <w:sz w:val="18"/>
      <w:szCs w:val="18"/>
    </w:rPr>
  </w:style>
  <w:style w:type="character" w:customStyle="1" w:styleId="2">
    <w:name w:val="标题 2 字符"/>
    <w:link w:val="Heading2"/>
    <w:uiPriority w:val="9"/>
    <w:semiHidden/>
    <w:rPr>
      <w:rFonts w:ascii="Cambria" w:eastAsia="宋体" w:hAnsi="Cambria" w:cs="Times New Roman"/>
      <w:b/>
      <w:bCs/>
      <w:sz w:val="32"/>
      <w:szCs w:val="32"/>
    </w:rPr>
  </w:style>
  <w:style w:type="character" w:customStyle="1" w:styleId="1">
    <w:name w:val="标题 1 字符"/>
    <w:link w:val="Heading1"/>
    <w:uiPriority w:val="9"/>
    <w:qFormat/>
    <w:rPr>
      <w:b/>
      <w:bCs/>
      <w:kern w:val="44"/>
      <w:sz w:val="44"/>
      <w:szCs w:val="44"/>
    </w:rPr>
  </w:style>
  <w:style w:type="paragraph" w:customStyle="1" w:styleId="TOCHeading">
    <w:name w:val="TOC Heading"/>
    <w:basedOn w:val="Heading1"/>
    <w:next w:val="Normal"/>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19</Pages>
  <Words>1589</Words>
  <Characters>1795</Characters>
  <Application>Microsoft Office Word</Application>
  <DocSecurity>0</DocSecurity>
  <Lines>24</Lines>
  <Paragraphs>7</Paragraphs>
  <ScaleCrop>false</ScaleCrop>
  <Company>Microsoft</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WPS_1602396612</cp:lastModifiedBy>
  <cp:revision>5</cp:revision>
  <cp:lastPrinted>2025-06-25T07:52:00Z</cp:lastPrinted>
  <dcterms:created xsi:type="dcterms:W3CDTF">2025-09-05T02:36:00Z</dcterms:created>
  <dcterms:modified xsi:type="dcterms:W3CDTF">2025-09-23T02:17:34Z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eyJoZGlkIjoiMWE3MzhjZTJhNmRiZjRhZTk5OGNlZTAzZTMxZDJlNTkiLCJ1c2VySWQiOiIxMTI5ODg0NTQ0In0=</vt:lpwstr>
  </property>
</Properties>
</file>