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黑体" w:hAnsi="黑体" w:eastAsia="黑体" w:cs="黑体"/>
          <w:w w:val="95"/>
          <w:sz w:val="32"/>
          <w:szCs w:val="32"/>
          <w:lang w:val="en"/>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天津市津南区市场监督管理局12315投诉举报中心</w:t>
      </w:r>
    </w:p>
    <w:p>
      <w:pPr>
        <w:spacing w:line="580" w:lineRule="exact"/>
        <w:jc w:val="center"/>
        <w:rPr>
          <w:rFonts w:ascii="方正小标宋简体" w:hAnsi="方正小标宋简体" w:eastAsia="方正小标宋简体" w:cs="方正小标宋简体"/>
          <w:sz w:val="48"/>
          <w:szCs w:val="4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方正小标宋简体" w:hAnsi="方正小标宋简体" w:eastAsia="方正小标宋简体" w:cs="方正小标宋简体"/>
          <w:sz w:val="48"/>
          <w:szCs w:val="48"/>
        </w:rPr>
        <w:t>2022年度部门决算</w:t>
      </w: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pStyle w:val="9"/>
        <w:tabs>
          <w:tab w:val="right" w:leader="dot" w:pos="8306"/>
          <w:tab w:val="clear" w:pos="8296"/>
        </w:tabs>
        <w:rPr>
          <w:rFonts w:ascii="仿宋_GB2312" w:hAnsi="Times New Roman" w:eastAsia="仿宋_GB2312" w:cs="Times New Roman"/>
          <w:sz w:val="30"/>
          <w:szCs w:val="30"/>
        </w:rPr>
      </w:pP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TOC \o "1-3" \h \z \u </w:instrText>
      </w:r>
      <w:r>
        <w:rPr>
          <w:rFonts w:hint="eastAsia" w:ascii="仿宋_GB2312" w:hAnsi="Times New Roman" w:eastAsia="仿宋_GB2312" w:cs="Times New Roman"/>
          <w:sz w:val="30"/>
          <w:szCs w:val="30"/>
        </w:rPr>
        <w:fldChar w:fldCharType="separate"/>
      </w:r>
      <w:r>
        <w:fldChar w:fldCharType="begin"/>
      </w:r>
      <w:r>
        <w:instrText xml:space="preserve"> HYPERLINK \l "_Toc859" </w:instrText>
      </w:r>
      <w:r>
        <w:fldChar w:fldCharType="separate"/>
      </w:r>
      <w:r>
        <w:rPr>
          <w:rFonts w:hint="eastAsia" w:ascii="仿宋_GB2312" w:hAnsi="Times New Roman" w:eastAsia="仿宋_GB2312" w:cs="Times New Roman"/>
          <w:sz w:val="30"/>
          <w:szCs w:val="30"/>
        </w:rPr>
        <w:t>第一部分  概 况</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_Toc859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"_Toc21919" </w:instrText>
      </w:r>
      <w:r>
        <w:fldChar w:fldCharType="separate"/>
      </w:r>
      <w:r>
        <w:rPr>
          <w:rFonts w:hint="eastAsia" w:ascii="仿宋_GB2312" w:hAnsi="Times New Roman" w:eastAsia="仿宋_GB2312"/>
          <w:sz w:val="30"/>
          <w:szCs w:val="30"/>
        </w:rPr>
        <w:t>一、主要职责</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_Toc21919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"_Toc17388" </w:instrText>
      </w:r>
      <w:r>
        <w:fldChar w:fldCharType="separate"/>
      </w:r>
      <w:r>
        <w:rPr>
          <w:rFonts w:hint="eastAsia" w:ascii="仿宋_GB2312" w:hAnsi="Times New Roman" w:eastAsia="仿宋_GB2312"/>
          <w:sz w:val="30"/>
          <w:szCs w:val="30"/>
        </w:rPr>
        <w:t>二、机构设置</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_Toc17388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1</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"_Toc24747" </w:instrText>
      </w:r>
      <w:r>
        <w:fldChar w:fldCharType="separate"/>
      </w:r>
      <w:r>
        <w:rPr>
          <w:rFonts w:hint="eastAsia" w:ascii="仿宋_GB2312" w:hAnsi="Times New Roman" w:eastAsia="仿宋_GB2312" w:cs="Times New Roman"/>
          <w:sz w:val="30"/>
          <w:szCs w:val="30"/>
        </w:rPr>
        <w:t>第二部分  2022年度部门决算表</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_Toc24747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2</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"_Toc20142" </w:instrText>
      </w:r>
      <w:r>
        <w:fldChar w:fldCharType="separate"/>
      </w:r>
      <w:r>
        <w:rPr>
          <w:rFonts w:hint="eastAsia" w:ascii="仿宋_GB2312" w:hAnsi="Times New Roman" w:eastAsia="仿宋_GB2312"/>
          <w:sz w:val="30"/>
          <w:szCs w:val="30"/>
        </w:rPr>
        <w:t>一、《收入支出决算总表》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_Toc20142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"_Toc1616" </w:instrText>
      </w:r>
      <w:r>
        <w:fldChar w:fldCharType="separate"/>
      </w:r>
      <w:r>
        <w:rPr>
          <w:rFonts w:hint="eastAsia" w:ascii="仿宋_GB2312" w:hAnsi="Times New Roman" w:eastAsia="仿宋_GB2312"/>
          <w:sz w:val="30"/>
          <w:szCs w:val="30"/>
        </w:rPr>
        <w:t>二、《收入决算表（按功能分类列示）》</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_Toc1616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"_Toc12050" </w:instrText>
      </w:r>
      <w:r>
        <w:fldChar w:fldCharType="separate"/>
      </w:r>
      <w:r>
        <w:rPr>
          <w:rFonts w:hint="eastAsia" w:ascii="仿宋_GB2312" w:hAnsi="Times New Roman" w:eastAsia="仿宋_GB2312"/>
          <w:sz w:val="30"/>
          <w:szCs w:val="30"/>
        </w:rPr>
        <w:t>三、《收入决算表（按单位列示）》</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_Toc12050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"_Toc1989" </w:instrText>
      </w:r>
      <w:r>
        <w:fldChar w:fldCharType="separate"/>
      </w:r>
      <w:r>
        <w:rPr>
          <w:rFonts w:hint="eastAsia" w:ascii="仿宋_GB2312" w:hAnsi="Times New Roman" w:eastAsia="仿宋_GB2312"/>
          <w:sz w:val="30"/>
          <w:szCs w:val="30"/>
        </w:rPr>
        <w:t>四、《支出决算表》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_Toc1989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"_Toc32498" </w:instrText>
      </w:r>
      <w:r>
        <w:fldChar w:fldCharType="separate"/>
      </w:r>
      <w:r>
        <w:rPr>
          <w:rFonts w:hint="eastAsia" w:ascii="仿宋_GB2312" w:hAnsi="Times New Roman" w:eastAsia="仿宋_GB2312"/>
          <w:sz w:val="30"/>
          <w:szCs w:val="30"/>
        </w:rPr>
        <w:t>五、《财政拨款收入支出决算总表》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_Toc32498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"_Toc26379" </w:instrText>
      </w:r>
      <w:r>
        <w:fldChar w:fldCharType="separate"/>
      </w:r>
      <w:r>
        <w:rPr>
          <w:rFonts w:hint="eastAsia" w:ascii="仿宋_GB2312" w:hAnsi="Times New Roman" w:eastAsia="仿宋_GB2312"/>
          <w:sz w:val="30"/>
          <w:szCs w:val="30"/>
        </w:rPr>
        <w:t>六、《一般公共预算财政拨款支出决算表》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_Toc26379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"_Toc4498" </w:instrText>
      </w:r>
      <w:r>
        <w:fldChar w:fldCharType="separate"/>
      </w:r>
      <w:r>
        <w:rPr>
          <w:rFonts w:hint="eastAsia" w:ascii="仿宋_GB2312" w:hAnsi="Times New Roman" w:eastAsia="仿宋_GB2312"/>
          <w:sz w:val="30"/>
          <w:szCs w:val="30"/>
        </w:rPr>
        <w:t>七、《一般公共预算财政拨款基本支出决算表》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_Toc4498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"_Toc18038" </w:instrText>
      </w:r>
      <w:r>
        <w:fldChar w:fldCharType="separate"/>
      </w:r>
      <w:r>
        <w:rPr>
          <w:rFonts w:hint="eastAsia" w:ascii="仿宋_GB2312" w:hAnsi="Times New Roman" w:eastAsia="仿宋_GB2312"/>
          <w:sz w:val="30"/>
          <w:szCs w:val="30"/>
        </w:rPr>
        <w:t>八、《政府性基金预算财政拨款收入支出决算表》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_Toc18038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"_Toc13200" </w:instrText>
      </w:r>
      <w:r>
        <w:fldChar w:fldCharType="separate"/>
      </w:r>
      <w:r>
        <w:rPr>
          <w:rFonts w:hint="eastAsia" w:ascii="仿宋_GB2312" w:hAnsi="Times New Roman" w:eastAsia="仿宋_GB2312"/>
          <w:sz w:val="30"/>
          <w:szCs w:val="30"/>
        </w:rPr>
        <w:t>九、《国有资本经营预算财政拨款收入支出决算表》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_Toc13200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"_Toc3423" </w:instrText>
      </w:r>
      <w:r>
        <w:fldChar w:fldCharType="separate"/>
      </w:r>
      <w:r>
        <w:rPr>
          <w:rFonts w:hint="eastAsia" w:ascii="仿宋_GB2312" w:hAnsi="Times New Roman" w:eastAsia="仿宋_GB2312"/>
          <w:sz w:val="30"/>
          <w:szCs w:val="30"/>
        </w:rPr>
        <w:t>十、《一般公共预算财政拨款“三公”经费支出决算表》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_Toc3423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"_Toc3915" </w:instrText>
      </w:r>
      <w:r>
        <w:fldChar w:fldCharType="separate"/>
      </w:r>
      <w:r>
        <w:rPr>
          <w:rFonts w:hint="eastAsia" w:ascii="仿宋_GB2312" w:hAnsi="Times New Roman" w:eastAsia="仿宋_GB2312"/>
          <w:sz w:val="30"/>
          <w:szCs w:val="30"/>
        </w:rPr>
        <w:t>十一、《项目支出决算表》</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_Toc3915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"_Toc17260" </w:instrText>
      </w:r>
      <w:r>
        <w:fldChar w:fldCharType="separate"/>
      </w:r>
      <w:r>
        <w:rPr>
          <w:rFonts w:hint="eastAsia" w:ascii="仿宋_GB2312" w:hAnsi="Times New Roman" w:eastAsia="仿宋_GB2312"/>
          <w:sz w:val="30"/>
          <w:szCs w:val="30"/>
        </w:rPr>
        <w:t>十二、关于空表的说明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_Toc17260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2</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"_Toc396" </w:instrText>
      </w:r>
      <w:r>
        <w:fldChar w:fldCharType="separate"/>
      </w:r>
      <w:r>
        <w:rPr>
          <w:rFonts w:hint="eastAsia" w:ascii="仿宋_GB2312" w:hAnsi="Times New Roman" w:eastAsia="仿宋_GB2312" w:cs="Times New Roman"/>
          <w:sz w:val="30"/>
          <w:szCs w:val="30"/>
        </w:rPr>
        <w:t>第三部分  2022年度部门决算情况说明</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_Toc396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4</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"_Toc24340" </w:instrText>
      </w:r>
      <w:r>
        <w:fldChar w:fldCharType="separate"/>
      </w:r>
      <w:r>
        <w:rPr>
          <w:rFonts w:hint="eastAsia" w:ascii="仿宋_GB2312" w:hAnsi="Times New Roman" w:eastAsia="仿宋_GB2312"/>
          <w:sz w:val="30"/>
          <w:szCs w:val="30"/>
        </w:rPr>
        <w:t>一、收入支出决算总体情况说明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_Toc24340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4</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"_Toc18552" </w:instrText>
      </w:r>
      <w:r>
        <w:fldChar w:fldCharType="separate"/>
      </w:r>
      <w:r>
        <w:rPr>
          <w:rFonts w:hint="eastAsia" w:ascii="仿宋_GB2312" w:hAnsi="Times New Roman" w:eastAsia="仿宋_GB2312"/>
          <w:sz w:val="30"/>
          <w:szCs w:val="30"/>
        </w:rPr>
        <w:t>二、收入决算情况说明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_Toc18552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4</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"_Toc26952" </w:instrText>
      </w:r>
      <w:r>
        <w:fldChar w:fldCharType="separate"/>
      </w:r>
      <w:r>
        <w:rPr>
          <w:rFonts w:hint="eastAsia" w:ascii="仿宋_GB2312" w:hAnsi="Times New Roman" w:eastAsia="仿宋_GB2312"/>
          <w:sz w:val="30"/>
          <w:szCs w:val="30"/>
        </w:rPr>
        <w:t>三、支出决算情况说明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_Toc26952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4</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"_Toc1812" </w:instrText>
      </w:r>
      <w:r>
        <w:fldChar w:fldCharType="separate"/>
      </w:r>
      <w:r>
        <w:rPr>
          <w:rFonts w:hint="eastAsia" w:ascii="仿宋_GB2312" w:hAnsi="Times New Roman" w:eastAsia="仿宋_GB2312"/>
          <w:sz w:val="30"/>
          <w:szCs w:val="30"/>
        </w:rPr>
        <w:t>四、财政拨款收支决算总体情况说明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_Toc1812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4</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"_Toc10091" </w:instrText>
      </w:r>
      <w:r>
        <w:fldChar w:fldCharType="separate"/>
      </w:r>
      <w:r>
        <w:rPr>
          <w:rFonts w:hint="eastAsia" w:ascii="仿宋_GB2312" w:hAnsi="Times New Roman" w:eastAsia="仿宋_GB2312"/>
          <w:sz w:val="30"/>
          <w:szCs w:val="30"/>
        </w:rPr>
        <w:t>五、一般公共预算财政拨款支出决算情况说明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_Toc10091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5</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"_Toc10721" </w:instrText>
      </w:r>
      <w:r>
        <w:fldChar w:fldCharType="separate"/>
      </w:r>
      <w:r>
        <w:rPr>
          <w:rFonts w:hint="eastAsia" w:ascii="仿宋_GB2312" w:hAnsi="Times New Roman" w:eastAsia="仿宋_GB2312"/>
          <w:sz w:val="30"/>
          <w:szCs w:val="30"/>
        </w:rPr>
        <w:t>六、一般公共预算财政拨款基本支出决算情况说明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_Toc10721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6</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"_Toc17918" </w:instrText>
      </w:r>
      <w:r>
        <w:fldChar w:fldCharType="separate"/>
      </w:r>
      <w:r>
        <w:rPr>
          <w:rFonts w:hint="eastAsia" w:ascii="仿宋_GB2312" w:hAnsi="Times New Roman" w:eastAsia="仿宋_GB2312"/>
          <w:sz w:val="30"/>
          <w:szCs w:val="30"/>
        </w:rPr>
        <w:t>七、政府性基金预算财政拨款收支决算情况说明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_Toc17918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7</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"_Toc23897" </w:instrText>
      </w:r>
      <w:r>
        <w:fldChar w:fldCharType="separate"/>
      </w:r>
      <w:r>
        <w:rPr>
          <w:rFonts w:hint="eastAsia" w:ascii="仿宋_GB2312" w:hAnsi="Times New Roman" w:eastAsia="仿宋_GB2312"/>
          <w:sz w:val="30"/>
          <w:szCs w:val="30"/>
        </w:rPr>
        <w:t>八、国有资本经营预算财政拨款收支决算情况说明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_Toc23897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7</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"_Toc4518" </w:instrText>
      </w:r>
      <w:r>
        <w:fldChar w:fldCharType="separate"/>
      </w:r>
      <w:r>
        <w:rPr>
          <w:rFonts w:hint="eastAsia" w:ascii="仿宋_GB2312" w:hAnsi="Times New Roman" w:eastAsia="仿宋_GB2312"/>
          <w:sz w:val="30"/>
          <w:szCs w:val="30"/>
        </w:rPr>
        <w:t>九、一般公共预算财政拨款“三公”经费支出决算情况说明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_Toc4518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7</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"_Toc3411" </w:instrText>
      </w:r>
      <w:r>
        <w:fldChar w:fldCharType="separate"/>
      </w:r>
      <w:r>
        <w:rPr>
          <w:rFonts w:hint="eastAsia" w:ascii="仿宋_GB2312" w:hAnsi="Times New Roman" w:eastAsia="仿宋_GB2312"/>
          <w:sz w:val="30"/>
          <w:szCs w:val="30"/>
        </w:rPr>
        <w:t>十、机关运行经费支出情况说明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_Toc3411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"_Toc31102" </w:instrText>
      </w:r>
      <w:r>
        <w:fldChar w:fldCharType="separate"/>
      </w:r>
      <w:r>
        <w:rPr>
          <w:rFonts w:hint="eastAsia" w:ascii="仿宋_GB2312" w:hAnsi="Times New Roman" w:eastAsia="仿宋_GB2312"/>
          <w:sz w:val="30"/>
          <w:szCs w:val="30"/>
        </w:rPr>
        <w:t>十一、政府采购支出情况说明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_Toc31102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"_Toc23709" </w:instrText>
      </w:r>
      <w:r>
        <w:fldChar w:fldCharType="separate"/>
      </w:r>
      <w:r>
        <w:rPr>
          <w:rFonts w:hint="eastAsia" w:ascii="仿宋_GB2312" w:hAnsi="Times New Roman" w:eastAsia="仿宋_GB2312"/>
          <w:sz w:val="30"/>
          <w:szCs w:val="30"/>
        </w:rPr>
        <w:t>十二、国有资产占有使用情况说明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_Toc23709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"_Toc11467" </w:instrText>
      </w:r>
      <w:r>
        <w:fldChar w:fldCharType="separate"/>
      </w:r>
      <w:r>
        <w:rPr>
          <w:rFonts w:hint="eastAsia" w:ascii="仿宋_GB2312" w:hAnsi="Times New Roman" w:eastAsia="仿宋_GB2312"/>
          <w:sz w:val="30"/>
          <w:szCs w:val="30"/>
        </w:rPr>
        <w:t>十三、预算绩效情况说明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_Toc11467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10"/>
        <w:tabs>
          <w:tab w:val="right" w:leader="dot" w:pos="8306"/>
        </w:tabs>
        <w:rPr>
          <w:rFonts w:ascii="仿宋_GB2312" w:hAnsi="Times New Roman" w:eastAsia="仿宋_GB2312"/>
          <w:sz w:val="30"/>
          <w:szCs w:val="30"/>
        </w:rPr>
      </w:pPr>
      <w:r>
        <w:fldChar w:fldCharType="begin"/>
      </w:r>
      <w:r>
        <w:instrText xml:space="preserve"> HYPERLINK \l "_Toc15949" </w:instrText>
      </w:r>
      <w:r>
        <w:fldChar w:fldCharType="separate"/>
      </w:r>
      <w:r>
        <w:rPr>
          <w:rFonts w:hint="eastAsia" w:ascii="仿宋_GB2312" w:hAnsi="Times New Roman" w:eastAsia="仿宋_GB2312"/>
          <w:sz w:val="30"/>
          <w:szCs w:val="30"/>
        </w:rPr>
        <w:t>十四、教育、医疗卫生、社会保障和就业、住房保障、涉农补贴等民生支出情况说明</w:t>
      </w:r>
      <w:r>
        <w:rPr>
          <w:rFonts w:hint="eastAsia" w:ascii="仿宋_GB2312" w:hAnsi="Times New Roman" w:eastAsia="仿宋_GB2312"/>
          <w:sz w:val="30"/>
          <w:szCs w:val="30"/>
        </w:rPr>
        <w:tab/>
      </w:r>
      <w:r>
        <w:rPr>
          <w:rFonts w:hint="eastAsia" w:ascii="仿宋_GB2312" w:hAnsi="Times New Roman" w:eastAsia="仿宋_GB2312"/>
          <w:sz w:val="30"/>
          <w:szCs w:val="30"/>
        </w:rPr>
        <w:fldChar w:fldCharType="begin"/>
      </w:r>
      <w:r>
        <w:rPr>
          <w:rFonts w:hint="eastAsia" w:ascii="仿宋_GB2312" w:hAnsi="Times New Roman" w:eastAsia="仿宋_GB2312"/>
          <w:sz w:val="30"/>
          <w:szCs w:val="30"/>
        </w:rPr>
        <w:instrText xml:space="preserve"> PAGEREF _Toc15949 \h </w:instrText>
      </w:r>
      <w:r>
        <w:rPr>
          <w:rFonts w:hint="eastAsia" w:ascii="仿宋_GB2312" w:hAnsi="Times New Roman" w:eastAsia="仿宋_GB2312"/>
          <w:sz w:val="30"/>
          <w:szCs w:val="30"/>
        </w:rPr>
        <w:fldChar w:fldCharType="separate"/>
      </w:r>
      <w:r>
        <w:rPr>
          <w:rFonts w:ascii="仿宋_GB2312" w:hAnsi="Times New Roman" w:eastAsia="仿宋_GB2312"/>
          <w:sz w:val="30"/>
          <w:szCs w:val="30"/>
        </w:rPr>
        <w:t>9</w:t>
      </w:r>
      <w:r>
        <w:rPr>
          <w:rFonts w:hint="eastAsia" w:ascii="仿宋_GB2312" w:hAnsi="Times New Roman" w:eastAsia="仿宋_GB2312"/>
          <w:sz w:val="30"/>
          <w:szCs w:val="30"/>
        </w:rPr>
        <w:fldChar w:fldCharType="end"/>
      </w:r>
      <w:r>
        <w:rPr>
          <w:rFonts w:hint="eastAsia" w:ascii="仿宋_GB2312" w:hAnsi="Times New Roman" w:eastAsia="仿宋_GB2312"/>
          <w:sz w:val="30"/>
          <w:szCs w:val="30"/>
        </w:rPr>
        <w:fldChar w:fldCharType="end"/>
      </w:r>
    </w:p>
    <w:p>
      <w:pPr>
        <w:pStyle w:val="9"/>
        <w:tabs>
          <w:tab w:val="right" w:leader="dot" w:pos="8306"/>
          <w:tab w:val="clear" w:pos="8296"/>
        </w:tabs>
        <w:rPr>
          <w:rFonts w:ascii="仿宋_GB2312" w:hAnsi="Times New Roman" w:eastAsia="仿宋_GB2312" w:cs="Times New Roman"/>
          <w:sz w:val="30"/>
          <w:szCs w:val="30"/>
        </w:rPr>
      </w:pPr>
      <w:r>
        <w:fldChar w:fldCharType="begin"/>
      </w:r>
      <w:r>
        <w:instrText xml:space="preserve"> HYPERLINK \l "_Toc30612" </w:instrText>
      </w:r>
      <w:r>
        <w:fldChar w:fldCharType="separate"/>
      </w:r>
      <w:r>
        <w:rPr>
          <w:rFonts w:hint="eastAsia" w:ascii="仿宋_GB2312" w:hAnsi="Times New Roman" w:eastAsia="仿宋_GB2312" w:cs="Times New Roman"/>
          <w:sz w:val="30"/>
          <w:szCs w:val="30"/>
        </w:rPr>
        <w:t>第四部分  名词解释</w:t>
      </w:r>
      <w:r>
        <w:rPr>
          <w:rFonts w:hint="eastAsia" w:ascii="仿宋_GB2312" w:hAnsi="Times New Roman" w:eastAsia="仿宋_GB2312" w:cs="Times New Roman"/>
          <w:sz w:val="30"/>
          <w:szCs w:val="30"/>
        </w:rPr>
        <w:tab/>
      </w:r>
      <w:r>
        <w:rPr>
          <w:rFonts w:hint="eastAsia" w:ascii="仿宋_GB2312" w:hAnsi="Times New Roman" w:eastAsia="仿宋_GB2312" w:cs="Times New Roman"/>
          <w:sz w:val="30"/>
          <w:szCs w:val="30"/>
        </w:rPr>
        <w:fldChar w:fldCharType="begin"/>
      </w:r>
      <w:r>
        <w:rPr>
          <w:rFonts w:hint="eastAsia" w:ascii="仿宋_GB2312" w:hAnsi="Times New Roman" w:eastAsia="仿宋_GB2312" w:cs="Times New Roman"/>
          <w:sz w:val="30"/>
          <w:szCs w:val="30"/>
        </w:rPr>
        <w:instrText xml:space="preserve"> PAGEREF _Toc30612 \h </w:instrText>
      </w:r>
      <w:r>
        <w:rPr>
          <w:rFonts w:hint="eastAsia" w:ascii="仿宋_GB2312" w:hAnsi="Times New Roman" w:eastAsia="仿宋_GB2312" w:cs="Times New Roman"/>
          <w:sz w:val="30"/>
          <w:szCs w:val="30"/>
        </w:rPr>
        <w:fldChar w:fldCharType="separate"/>
      </w:r>
      <w:r>
        <w:rPr>
          <w:rFonts w:ascii="仿宋_GB2312" w:hAnsi="Times New Roman" w:eastAsia="仿宋_GB2312" w:cs="Times New Roman"/>
          <w:sz w:val="30"/>
          <w:szCs w:val="30"/>
        </w:rPr>
        <w:t>10</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fldChar w:fldCharType="end"/>
      </w:r>
    </w:p>
    <w:p>
      <w:pPr>
        <w:pStyle w:val="10"/>
        <w:tabs>
          <w:tab w:val="right" w:leader="dot" w:pos="8296"/>
        </w:tabs>
        <w:spacing w:after="0" w:line="600" w:lineRule="exact"/>
        <w:rPr>
          <w:rFonts w:ascii="Times New Roman" w:hAnsi="Times New Roman" w:eastAsia="仿宋_GB2312"/>
          <w:sz w:val="32"/>
          <w:szCs w:val="32"/>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sz w:val="30"/>
          <w:szCs w:val="30"/>
        </w:rPr>
        <w:fldChar w:fldCharType="end"/>
      </w:r>
    </w:p>
    <w:p/>
    <w:p>
      <w:pPr>
        <w:pStyle w:val="2"/>
        <w:spacing w:before="0" w:after="0" w:line="600" w:lineRule="exact"/>
        <w:jc w:val="center"/>
        <w:rPr>
          <w:rFonts w:ascii="方正小标宋简体" w:hAnsi="方正小标宋简体" w:eastAsia="方正小标宋简体" w:cs="方正小标宋简体"/>
          <w:b w:val="0"/>
          <w:sz w:val="48"/>
          <w:szCs w:val="48"/>
        </w:rPr>
      </w:pPr>
    </w:p>
    <w:p>
      <w:pPr>
        <w:pStyle w:val="2"/>
        <w:spacing w:before="0" w:after="0" w:line="600" w:lineRule="exact"/>
        <w:jc w:val="center"/>
        <w:rPr>
          <w:rFonts w:ascii="方正小标宋简体" w:hAnsi="方正小标宋简体" w:eastAsia="方正小标宋简体" w:cs="方正小标宋简体"/>
          <w:b w:val="0"/>
        </w:rPr>
      </w:pPr>
      <w:bookmarkStart w:id="0" w:name="_Toc859"/>
      <w:r>
        <w:rPr>
          <w:rFonts w:hint="eastAsia" w:ascii="方正小标宋简体" w:hAnsi="方正小标宋简体" w:eastAsia="方正小标宋简体" w:cs="方正小标宋简体"/>
          <w:b w:val="0"/>
        </w:rPr>
        <w:t>第一部分  概 况</w:t>
      </w:r>
      <w:bookmarkEnd w:id="0"/>
    </w:p>
    <w:p>
      <w:pPr>
        <w:spacing w:line="600" w:lineRule="exact"/>
      </w:pPr>
    </w:p>
    <w:p>
      <w:pPr>
        <w:pStyle w:val="3"/>
        <w:spacing w:before="0" w:after="0" w:line="600" w:lineRule="exact"/>
        <w:ind w:firstLine="600" w:firstLineChars="200"/>
        <w:rPr>
          <w:rFonts w:ascii="黑体" w:hAnsi="黑体" w:eastAsia="黑体"/>
          <w:b w:val="0"/>
          <w:bCs w:val="0"/>
          <w:sz w:val="30"/>
          <w:szCs w:val="30"/>
        </w:rPr>
      </w:pPr>
      <w:bookmarkStart w:id="1" w:name="_Toc21919"/>
      <w:r>
        <w:rPr>
          <w:rFonts w:hint="eastAsia" w:ascii="黑体" w:hAnsi="黑体" w:eastAsia="黑体"/>
          <w:b w:val="0"/>
          <w:bCs w:val="0"/>
          <w:sz w:val="30"/>
          <w:szCs w:val="30"/>
        </w:rPr>
        <w:t>一、主要职责</w:t>
      </w:r>
      <w:bookmarkEnd w:id="1"/>
    </w:p>
    <w:p>
      <w:pPr>
        <w:spacing w:line="600" w:lineRule="exact"/>
        <w:ind w:firstLine="600" w:firstLineChars="200"/>
        <w:rPr>
          <w:rFonts w:ascii="仿宋_GB2312" w:eastAsia="仿宋_GB2312"/>
          <w:sz w:val="30"/>
          <w:szCs w:val="30"/>
        </w:rPr>
      </w:pPr>
      <w:r>
        <w:rPr>
          <w:rFonts w:hint="eastAsia" w:ascii="仿宋_GB2312" w:eastAsia="仿宋_GB2312"/>
          <w:sz w:val="30"/>
          <w:szCs w:val="30"/>
        </w:rPr>
        <w:t>负责</w:t>
      </w:r>
      <w:r>
        <w:rPr>
          <w:rFonts w:ascii="仿宋_GB2312" w:eastAsia="仿宋_GB2312"/>
          <w:sz w:val="30"/>
          <w:szCs w:val="30"/>
        </w:rPr>
        <w:t>辖区内市场监督管理举报投诉受理工作</w:t>
      </w:r>
      <w:r>
        <w:rPr>
          <w:rFonts w:hint="eastAsia" w:ascii="仿宋_GB2312" w:eastAsia="仿宋_GB2312"/>
          <w:sz w:val="30"/>
          <w:szCs w:val="30"/>
        </w:rPr>
        <w:t>。</w:t>
      </w:r>
    </w:p>
    <w:p>
      <w:pPr>
        <w:pStyle w:val="3"/>
        <w:spacing w:before="0" w:after="0" w:line="600" w:lineRule="exact"/>
        <w:ind w:firstLine="600" w:firstLineChars="200"/>
        <w:rPr>
          <w:rFonts w:ascii="黑体" w:hAnsi="黑体" w:eastAsia="黑体"/>
          <w:b w:val="0"/>
          <w:bCs w:val="0"/>
          <w:sz w:val="30"/>
          <w:szCs w:val="30"/>
        </w:rPr>
      </w:pPr>
      <w:bookmarkStart w:id="2" w:name="_Toc17388"/>
      <w:r>
        <w:rPr>
          <w:rFonts w:hint="eastAsia" w:ascii="黑体" w:hAnsi="黑体" w:eastAsia="黑体"/>
          <w:b w:val="0"/>
          <w:bCs w:val="0"/>
          <w:sz w:val="30"/>
          <w:szCs w:val="30"/>
        </w:rPr>
        <w:t>二、机构设置</w:t>
      </w:r>
      <w:bookmarkEnd w:id="2"/>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天津市津南区市场监督管理局12315投诉举报中心部门</w:t>
      </w:r>
      <w:r>
        <w:rPr>
          <w:rFonts w:eastAsia="仿宋_GB2312"/>
          <w:sz w:val="30"/>
          <w:szCs w:val="30"/>
        </w:rPr>
        <w:t>内设0个职能处室</w:t>
      </w:r>
      <w:r>
        <w:rPr>
          <w:rFonts w:hint="eastAsia" w:ascii="仿宋_GB2312" w:eastAsia="仿宋_GB2312" w:cs="仿宋_GB2312"/>
          <w:sz w:val="30"/>
          <w:szCs w:val="30"/>
        </w:rPr>
        <w:t>。</w:t>
      </w:r>
    </w:p>
    <w:p>
      <w:pPr>
        <w:spacing w:line="600" w:lineRule="exact"/>
        <w:rPr>
          <w:rFonts w:eastAsia="楷体_GB2312"/>
          <w:b/>
          <w:sz w:val="30"/>
          <w:szCs w:val="30"/>
        </w:rPr>
        <w:sectPr>
          <w:footerReference r:id="rId8" w:type="default"/>
          <w:pgSz w:w="11906" w:h="16838"/>
          <w:pgMar w:top="1440" w:right="1800" w:bottom="1440" w:left="1800" w:header="851" w:footer="992" w:gutter="0"/>
          <w:pgNumType w:start="1"/>
          <w:cols w:space="720" w:num="1"/>
          <w:docGrid w:type="lines" w:linePitch="312" w:charSpace="0"/>
        </w:sectPr>
      </w:pPr>
      <w:r>
        <w:rPr>
          <w:rFonts w:eastAsia="楷体_GB2312"/>
          <w:b/>
          <w:sz w:val="30"/>
          <w:szCs w:val="30"/>
        </w:rPr>
        <w:br w:type="textWrapping"/>
      </w:r>
    </w:p>
    <w:p>
      <w:pPr>
        <w:spacing w:line="600" w:lineRule="exact"/>
        <w:rPr>
          <w:rFonts w:eastAsia="楷体_GB2312"/>
          <w:b/>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3" w:name="_Toc24747"/>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二</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表</w:t>
      </w:r>
      <w:bookmarkEnd w:id="3"/>
    </w:p>
    <w:p>
      <w:pPr>
        <w:spacing w:line="600" w:lineRule="exact"/>
      </w:pPr>
    </w:p>
    <w:p>
      <w:pPr>
        <w:pStyle w:val="3"/>
        <w:spacing w:before="0" w:after="0" w:line="800" w:lineRule="exact"/>
        <w:ind w:firstLine="600" w:firstLineChars="200"/>
        <w:rPr>
          <w:rFonts w:ascii="黑体" w:hAnsi="黑体" w:eastAsia="黑体"/>
          <w:b w:val="0"/>
          <w:sz w:val="30"/>
          <w:szCs w:val="30"/>
        </w:rPr>
      </w:pPr>
      <w:bookmarkStart w:id="4" w:name="_Toc20142"/>
      <w:r>
        <w:rPr>
          <w:rFonts w:ascii="黑体" w:hAnsi="黑体" w:eastAsia="黑体"/>
          <w:b w:val="0"/>
          <w:sz w:val="30"/>
          <w:szCs w:val="30"/>
        </w:rPr>
        <w:t>一</w:t>
      </w:r>
      <w:r>
        <w:rPr>
          <w:rFonts w:hint="eastAsia" w:ascii="黑体" w:hAnsi="黑体" w:eastAsia="黑体"/>
          <w:b w:val="0"/>
          <w:sz w:val="30"/>
          <w:szCs w:val="30"/>
        </w:rPr>
        <w:t>、</w:t>
      </w:r>
      <w:r>
        <w:rPr>
          <w:rFonts w:ascii="黑体" w:hAnsi="黑体" w:eastAsia="黑体"/>
          <w:b w:val="0"/>
          <w:sz w:val="30"/>
          <w:szCs w:val="30"/>
        </w:rPr>
        <w:t>《</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4"/>
    </w:p>
    <w:p>
      <w:pPr>
        <w:pStyle w:val="3"/>
        <w:spacing w:before="0" w:after="0" w:line="800" w:lineRule="exact"/>
        <w:ind w:firstLine="600" w:firstLineChars="200"/>
        <w:rPr>
          <w:rFonts w:ascii="黑体" w:hAnsi="黑体" w:eastAsia="黑体"/>
          <w:b w:val="0"/>
          <w:sz w:val="30"/>
          <w:szCs w:val="30"/>
        </w:rPr>
      </w:pPr>
      <w:bookmarkStart w:id="5" w:name="_Toc1616"/>
      <w:r>
        <w:rPr>
          <w:rFonts w:ascii="黑体" w:hAnsi="黑体" w:eastAsia="黑体"/>
          <w:b w:val="0"/>
          <w:sz w:val="30"/>
          <w:szCs w:val="30"/>
        </w:rPr>
        <w:t>二、《收入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（按功能分类列示）</w:t>
      </w:r>
      <w:r>
        <w:rPr>
          <w:rFonts w:ascii="黑体" w:hAnsi="黑体" w:eastAsia="黑体"/>
          <w:b w:val="0"/>
          <w:sz w:val="30"/>
          <w:szCs w:val="30"/>
        </w:rPr>
        <w:t>》</w:t>
      </w:r>
      <w:bookmarkEnd w:id="5"/>
    </w:p>
    <w:p>
      <w:pPr>
        <w:pStyle w:val="3"/>
        <w:spacing w:before="0" w:after="0" w:line="800" w:lineRule="exact"/>
        <w:ind w:firstLine="600" w:firstLineChars="200"/>
        <w:rPr>
          <w:rFonts w:ascii="黑体" w:hAnsi="黑体" w:eastAsia="黑体"/>
          <w:b w:val="0"/>
          <w:sz w:val="30"/>
          <w:szCs w:val="30"/>
        </w:rPr>
      </w:pPr>
      <w:bookmarkStart w:id="6" w:name="_Toc12050"/>
      <w:r>
        <w:rPr>
          <w:rFonts w:hint="eastAsia" w:ascii="黑体" w:hAnsi="黑体" w:eastAsia="黑体"/>
          <w:b w:val="0"/>
          <w:sz w:val="30"/>
          <w:szCs w:val="30"/>
        </w:rPr>
        <w:t>三</w:t>
      </w:r>
      <w:r>
        <w:rPr>
          <w:rFonts w:ascii="黑体" w:hAnsi="黑体" w:eastAsia="黑体"/>
          <w:b w:val="0"/>
          <w:sz w:val="30"/>
          <w:szCs w:val="30"/>
        </w:rPr>
        <w:t>、《收入</w:t>
      </w:r>
      <w:r>
        <w:rPr>
          <w:rFonts w:hint="eastAsia" w:ascii="黑体" w:hAnsi="黑体" w:eastAsia="黑体"/>
          <w:b w:val="0"/>
          <w:sz w:val="30"/>
          <w:szCs w:val="30"/>
        </w:rPr>
        <w:t>决算</w:t>
      </w:r>
      <w:r>
        <w:rPr>
          <w:rFonts w:ascii="黑体" w:hAnsi="黑体" w:eastAsia="黑体"/>
          <w:b w:val="0"/>
          <w:sz w:val="30"/>
          <w:szCs w:val="30"/>
        </w:rPr>
        <w:t>表</w:t>
      </w:r>
      <w:r>
        <w:rPr>
          <w:rFonts w:hint="eastAsia" w:ascii="黑体" w:hAnsi="黑体" w:eastAsia="黑体"/>
          <w:b w:val="0"/>
          <w:sz w:val="30"/>
          <w:szCs w:val="30"/>
        </w:rPr>
        <w:t>（按单位列示）</w:t>
      </w:r>
      <w:r>
        <w:rPr>
          <w:rFonts w:ascii="黑体" w:hAnsi="黑体" w:eastAsia="黑体"/>
          <w:b w:val="0"/>
          <w:sz w:val="30"/>
          <w:szCs w:val="30"/>
        </w:rPr>
        <w:t>》</w:t>
      </w:r>
      <w:bookmarkEnd w:id="6"/>
    </w:p>
    <w:p>
      <w:pPr>
        <w:pStyle w:val="3"/>
        <w:spacing w:before="0" w:after="0" w:line="800" w:lineRule="exact"/>
        <w:ind w:firstLine="600" w:firstLineChars="200"/>
        <w:rPr>
          <w:rFonts w:ascii="黑体" w:hAnsi="黑体" w:eastAsia="黑体"/>
          <w:b w:val="0"/>
          <w:sz w:val="30"/>
          <w:szCs w:val="30"/>
        </w:rPr>
      </w:pPr>
      <w:bookmarkStart w:id="7" w:name="_Toc1989"/>
      <w:r>
        <w:rPr>
          <w:rFonts w:hint="eastAsia" w:ascii="黑体" w:hAnsi="黑体" w:eastAsia="黑体"/>
          <w:b w:val="0"/>
          <w:sz w:val="30"/>
          <w:szCs w:val="30"/>
        </w:rPr>
        <w:t>四、</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7"/>
    </w:p>
    <w:p>
      <w:pPr>
        <w:pStyle w:val="3"/>
        <w:spacing w:before="0" w:after="0" w:line="800" w:lineRule="exact"/>
        <w:ind w:firstLine="600" w:firstLineChars="200"/>
        <w:rPr>
          <w:rFonts w:ascii="黑体" w:hAnsi="黑体" w:eastAsia="黑体"/>
          <w:b w:val="0"/>
          <w:sz w:val="30"/>
          <w:szCs w:val="30"/>
        </w:rPr>
      </w:pPr>
      <w:bookmarkStart w:id="8" w:name="_Toc32498"/>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决算总</w:t>
      </w:r>
      <w:r>
        <w:rPr>
          <w:rFonts w:ascii="黑体" w:hAnsi="黑体" w:eastAsia="黑体"/>
          <w:b w:val="0"/>
          <w:sz w:val="30"/>
          <w:szCs w:val="30"/>
        </w:rPr>
        <w:t>表》</w:t>
      </w:r>
      <w:bookmarkEnd w:id="8"/>
    </w:p>
    <w:p>
      <w:pPr>
        <w:pStyle w:val="3"/>
        <w:spacing w:before="0" w:after="0" w:line="800" w:lineRule="exact"/>
        <w:ind w:firstLine="600" w:firstLineChars="200"/>
        <w:rPr>
          <w:rFonts w:ascii="黑体" w:hAnsi="黑体" w:eastAsia="黑体"/>
          <w:b w:val="0"/>
          <w:sz w:val="30"/>
          <w:szCs w:val="30"/>
        </w:rPr>
      </w:pPr>
      <w:bookmarkStart w:id="9" w:name="_Toc26379"/>
      <w:r>
        <w:rPr>
          <w:rFonts w:ascii="黑体" w:hAnsi="黑体" w:eastAsia="黑体"/>
          <w:b w:val="0"/>
          <w:sz w:val="30"/>
          <w:szCs w:val="30"/>
        </w:rPr>
        <w:t>六</w:t>
      </w:r>
      <w:r>
        <w:rPr>
          <w:rFonts w:hint="eastAsia" w:ascii="黑体" w:hAnsi="黑体" w:eastAsia="黑体"/>
          <w:b w:val="0"/>
          <w:sz w:val="30"/>
          <w:szCs w:val="30"/>
        </w:rPr>
        <w:t>、</w:t>
      </w:r>
      <w:r>
        <w:rPr>
          <w:rFonts w:ascii="黑体" w:hAnsi="黑体" w:eastAsia="黑体"/>
          <w:b w:val="0"/>
          <w:sz w:val="30"/>
          <w:szCs w:val="30"/>
        </w:rPr>
        <w:t>《一般公共预算财政拨款支出</w:t>
      </w:r>
      <w:r>
        <w:rPr>
          <w:rFonts w:hint="eastAsia" w:ascii="黑体" w:hAnsi="黑体" w:eastAsia="黑体"/>
          <w:b w:val="0"/>
          <w:sz w:val="30"/>
          <w:szCs w:val="30"/>
        </w:rPr>
        <w:t>决算</w:t>
      </w:r>
      <w:r>
        <w:rPr>
          <w:rFonts w:ascii="黑体" w:hAnsi="黑体" w:eastAsia="黑体"/>
          <w:b w:val="0"/>
          <w:sz w:val="30"/>
          <w:szCs w:val="30"/>
        </w:rPr>
        <w:t>表》</w:t>
      </w:r>
      <w:bookmarkEnd w:id="9"/>
    </w:p>
    <w:p>
      <w:pPr>
        <w:pStyle w:val="3"/>
        <w:spacing w:before="0" w:after="0" w:line="800" w:lineRule="exact"/>
        <w:ind w:firstLine="600" w:firstLineChars="200"/>
        <w:rPr>
          <w:rFonts w:ascii="黑体" w:hAnsi="黑体" w:eastAsia="黑体"/>
          <w:b w:val="0"/>
          <w:sz w:val="30"/>
          <w:szCs w:val="30"/>
        </w:rPr>
      </w:pPr>
      <w:bookmarkStart w:id="10" w:name="_Toc4498"/>
      <w:r>
        <w:rPr>
          <w:rFonts w:ascii="黑体" w:hAnsi="黑体" w:eastAsia="黑体"/>
          <w:b w:val="0"/>
          <w:sz w:val="30"/>
          <w:szCs w:val="30"/>
        </w:rPr>
        <w:t>七</w:t>
      </w:r>
      <w:r>
        <w:rPr>
          <w:rFonts w:hint="eastAsia" w:ascii="黑体" w:hAnsi="黑体" w:eastAsia="黑体"/>
          <w:b w:val="0"/>
          <w:sz w:val="30"/>
          <w:szCs w:val="30"/>
        </w:rPr>
        <w:t>、</w:t>
      </w:r>
      <w:r>
        <w:rPr>
          <w:rFonts w:ascii="黑体" w:hAnsi="黑体" w:eastAsia="黑体"/>
          <w:b w:val="0"/>
          <w:sz w:val="30"/>
          <w:szCs w:val="30"/>
        </w:rPr>
        <w:t>《一般公共预算财政拨款基本支出</w:t>
      </w:r>
      <w:r>
        <w:rPr>
          <w:rFonts w:hint="eastAsia" w:ascii="黑体" w:hAnsi="黑体" w:eastAsia="黑体"/>
          <w:b w:val="0"/>
          <w:sz w:val="30"/>
          <w:szCs w:val="30"/>
        </w:rPr>
        <w:t>决算</w:t>
      </w:r>
      <w:r>
        <w:rPr>
          <w:rFonts w:ascii="黑体" w:hAnsi="黑体" w:eastAsia="黑体"/>
          <w:b w:val="0"/>
          <w:sz w:val="30"/>
          <w:szCs w:val="30"/>
        </w:rPr>
        <w:t>表》</w:t>
      </w:r>
      <w:bookmarkEnd w:id="10"/>
    </w:p>
    <w:p>
      <w:pPr>
        <w:pStyle w:val="3"/>
        <w:spacing w:before="0" w:after="0" w:line="800" w:lineRule="exact"/>
        <w:ind w:firstLine="600" w:firstLineChars="200"/>
        <w:rPr>
          <w:rFonts w:ascii="黑体" w:hAnsi="黑体" w:eastAsia="黑体"/>
          <w:b w:val="0"/>
          <w:sz w:val="30"/>
          <w:szCs w:val="30"/>
        </w:rPr>
      </w:pPr>
      <w:bookmarkStart w:id="11" w:name="_Toc18038"/>
      <w:r>
        <w:rPr>
          <w:rFonts w:hint="eastAsia" w:ascii="黑体" w:hAnsi="黑体" w:eastAsia="黑体"/>
          <w:b w:val="0"/>
          <w:sz w:val="30"/>
          <w:szCs w:val="30"/>
        </w:rPr>
        <w:t>八、</w:t>
      </w:r>
      <w:r>
        <w:rPr>
          <w:rFonts w:ascii="黑体" w:hAnsi="黑体" w:eastAsia="黑体"/>
          <w:b w:val="0"/>
          <w:sz w:val="30"/>
          <w:szCs w:val="30"/>
        </w:rPr>
        <w:t>《政府性基金预算财政拨款</w:t>
      </w:r>
      <w:r>
        <w:rPr>
          <w:rFonts w:hint="eastAsia" w:ascii="黑体" w:hAnsi="黑体" w:eastAsia="黑体"/>
          <w:b w:val="0"/>
          <w:sz w:val="30"/>
          <w:szCs w:val="30"/>
        </w:rPr>
        <w:t>收入</w:t>
      </w:r>
      <w:r>
        <w:rPr>
          <w:rFonts w:ascii="黑体" w:hAnsi="黑体" w:eastAsia="黑体"/>
          <w:b w:val="0"/>
          <w:sz w:val="30"/>
          <w:szCs w:val="30"/>
        </w:rPr>
        <w:t>支出</w:t>
      </w:r>
      <w:r>
        <w:rPr>
          <w:rFonts w:hint="eastAsia" w:ascii="黑体" w:hAnsi="黑体" w:eastAsia="黑体"/>
          <w:b w:val="0"/>
          <w:sz w:val="30"/>
          <w:szCs w:val="30"/>
        </w:rPr>
        <w:t>决算</w:t>
      </w:r>
      <w:r>
        <w:rPr>
          <w:rFonts w:ascii="黑体" w:hAnsi="黑体" w:eastAsia="黑体"/>
          <w:b w:val="0"/>
          <w:sz w:val="30"/>
          <w:szCs w:val="30"/>
        </w:rPr>
        <w:t>表》</w:t>
      </w:r>
      <w:bookmarkEnd w:id="11"/>
    </w:p>
    <w:p>
      <w:pPr>
        <w:pStyle w:val="3"/>
        <w:spacing w:before="0" w:after="0" w:line="800" w:lineRule="exact"/>
        <w:ind w:firstLine="600" w:firstLineChars="200"/>
        <w:rPr>
          <w:rFonts w:ascii="黑体" w:hAnsi="黑体" w:eastAsia="黑体"/>
          <w:b w:val="0"/>
          <w:sz w:val="30"/>
          <w:szCs w:val="30"/>
        </w:rPr>
      </w:pPr>
      <w:bookmarkStart w:id="12" w:name="_Toc13200"/>
      <w:r>
        <w:rPr>
          <w:rFonts w:hint="eastAsia" w:ascii="黑体" w:hAnsi="黑体" w:eastAsia="黑体"/>
          <w:b w:val="0"/>
          <w:sz w:val="30"/>
          <w:szCs w:val="30"/>
        </w:rPr>
        <w:t>九、</w:t>
      </w:r>
      <w:r>
        <w:rPr>
          <w:rFonts w:ascii="黑体" w:hAnsi="黑体" w:eastAsia="黑体"/>
          <w:b w:val="0"/>
          <w:sz w:val="30"/>
          <w:szCs w:val="30"/>
        </w:rPr>
        <w:t>《国有资本经营预算财政拨款</w:t>
      </w:r>
      <w:r>
        <w:rPr>
          <w:rFonts w:hint="eastAsia" w:ascii="黑体" w:hAnsi="黑体" w:eastAsia="黑体"/>
          <w:b w:val="0"/>
          <w:sz w:val="30"/>
          <w:szCs w:val="30"/>
        </w:rPr>
        <w:t>收入支出决算</w:t>
      </w:r>
      <w:r>
        <w:rPr>
          <w:rFonts w:ascii="黑体" w:hAnsi="黑体" w:eastAsia="黑体"/>
          <w:b w:val="0"/>
          <w:sz w:val="30"/>
          <w:szCs w:val="30"/>
        </w:rPr>
        <w:t>表》</w:t>
      </w:r>
      <w:bookmarkEnd w:id="12"/>
    </w:p>
    <w:p>
      <w:pPr>
        <w:pStyle w:val="3"/>
        <w:spacing w:before="0" w:after="0" w:line="800" w:lineRule="exact"/>
        <w:ind w:firstLine="600" w:firstLineChars="200"/>
        <w:rPr>
          <w:rFonts w:ascii="黑体" w:hAnsi="黑体" w:eastAsia="黑体"/>
          <w:b w:val="0"/>
          <w:sz w:val="30"/>
          <w:szCs w:val="30"/>
        </w:rPr>
      </w:pPr>
      <w:bookmarkStart w:id="13" w:name="_Toc3423"/>
      <w:r>
        <w:rPr>
          <w:rFonts w:hint="eastAsia" w:ascii="黑体" w:hAnsi="黑体" w:eastAsia="黑体"/>
          <w:b w:val="0"/>
          <w:sz w:val="30"/>
          <w:szCs w:val="30"/>
        </w:rPr>
        <w:t>十、</w:t>
      </w:r>
      <w:r>
        <w:rPr>
          <w:rFonts w:ascii="黑体" w:hAnsi="黑体" w:eastAsia="黑体"/>
          <w:b w:val="0"/>
          <w:sz w:val="30"/>
          <w:szCs w:val="30"/>
        </w:rPr>
        <w:t>《一般公共预算财政拨款“三公”经费支出</w:t>
      </w:r>
      <w:r>
        <w:rPr>
          <w:rFonts w:hint="eastAsia" w:ascii="黑体" w:hAnsi="黑体" w:eastAsia="黑体"/>
          <w:b w:val="0"/>
          <w:sz w:val="30"/>
          <w:szCs w:val="30"/>
        </w:rPr>
        <w:t>决算</w:t>
      </w:r>
      <w:r>
        <w:rPr>
          <w:rFonts w:ascii="黑体" w:hAnsi="黑体" w:eastAsia="黑体"/>
          <w:b w:val="0"/>
          <w:sz w:val="30"/>
          <w:szCs w:val="30"/>
        </w:rPr>
        <w:t>表》</w:t>
      </w:r>
      <w:bookmarkEnd w:id="13"/>
    </w:p>
    <w:p>
      <w:pPr>
        <w:pStyle w:val="3"/>
        <w:spacing w:before="0" w:after="0" w:line="800" w:lineRule="exact"/>
        <w:ind w:firstLine="600" w:firstLineChars="200"/>
        <w:rPr>
          <w:rFonts w:ascii="黑体" w:hAnsi="黑体" w:eastAsia="黑体"/>
          <w:b w:val="0"/>
          <w:sz w:val="30"/>
          <w:szCs w:val="30"/>
        </w:rPr>
      </w:pPr>
      <w:bookmarkStart w:id="14" w:name="_Toc3915"/>
      <w:r>
        <w:rPr>
          <w:rFonts w:ascii="黑体" w:hAnsi="黑体" w:eastAsia="黑体"/>
          <w:b w:val="0"/>
          <w:sz w:val="30"/>
          <w:szCs w:val="30"/>
        </w:rPr>
        <w:t>十</w:t>
      </w:r>
      <w:r>
        <w:rPr>
          <w:rFonts w:hint="eastAsia" w:ascii="黑体" w:hAnsi="黑体" w:eastAsia="黑体"/>
          <w:b w:val="0"/>
          <w:sz w:val="30"/>
          <w:szCs w:val="30"/>
        </w:rPr>
        <w:t>一、</w:t>
      </w:r>
      <w:r>
        <w:rPr>
          <w:rFonts w:ascii="黑体" w:hAnsi="黑体" w:eastAsia="黑体"/>
          <w:b w:val="0"/>
          <w:sz w:val="30"/>
          <w:szCs w:val="30"/>
        </w:rPr>
        <w:t>《项目支出决算表》</w:t>
      </w:r>
      <w:bookmarkEnd w:id="14"/>
    </w:p>
    <w:p>
      <w:pPr>
        <w:spacing w:line="800" w:lineRule="exact"/>
      </w:pPr>
      <w:r>
        <w:rPr>
          <w:rFonts w:hint="eastAsia" w:eastAsia="楷体"/>
          <w:sz w:val="30"/>
          <w:szCs w:val="30"/>
        </w:rPr>
        <w:t>注：以上决算公开表均作为附表，附于决算公开说明文档后。</w:t>
      </w:r>
    </w:p>
    <w:p>
      <w:pPr>
        <w:pStyle w:val="3"/>
        <w:numPr>
          <w:ilvl w:val="0"/>
          <w:numId w:val="1"/>
        </w:numPr>
        <w:spacing w:before="0" w:after="0" w:line="800" w:lineRule="exact"/>
        <w:ind w:firstLine="600" w:firstLineChars="200"/>
        <w:rPr>
          <w:rFonts w:ascii="黑体" w:hAnsi="黑体" w:eastAsia="黑体"/>
          <w:b w:val="0"/>
          <w:bCs w:val="0"/>
          <w:sz w:val="30"/>
          <w:szCs w:val="30"/>
        </w:rPr>
      </w:pPr>
      <w:bookmarkStart w:id="15" w:name="_Toc17260"/>
      <w:r>
        <w:rPr>
          <w:rFonts w:hint="eastAsia" w:ascii="黑体" w:hAnsi="黑体" w:eastAsia="黑体"/>
          <w:b w:val="0"/>
          <w:bCs w:val="0"/>
          <w:sz w:val="30"/>
          <w:szCs w:val="30"/>
        </w:rPr>
        <w:t>关于空表的说明</w:t>
      </w:r>
      <w:bookmarkEnd w:id="15"/>
    </w:p>
    <w:p>
      <w:pPr>
        <w:spacing w:line="600" w:lineRule="exact"/>
        <w:rPr>
          <w:rFonts w:ascii="仿宋_GB2312" w:eastAsia="仿宋_GB2312" w:cs="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cs="仿宋_GB2312"/>
          <w:sz w:val="30"/>
          <w:szCs w:val="30"/>
        </w:rPr>
        <w:t xml:space="preserve">    天津市津南区市场监督管理局12315投诉举报中心2022年度政府性基金预算财政拨款收入支出决算表为空表。</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天津市津南区市场监督管理局12315投诉举报中心2022年度国有资本经营预算财政拨款收入支出决算表为空表。</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天津市津南区市场监督管理局12315投诉举报中心2022年度一般公共预算财政拨款“三公”经费支出决算表为空表。</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天津市津南区市场监督管理局12315投诉举报中心2022年度项目支出决算表为空表。</w:t>
      </w:r>
    </w:p>
    <w:p>
      <w:pPr>
        <w:spacing w:line="600" w:lineRule="exact"/>
        <w:rPr>
          <w:rFonts w:ascii="仿宋_GB2312" w:eastAsia="仿宋_GB2312" w:cs="仿宋_GB2312"/>
          <w:sz w:val="30"/>
          <w:szCs w:val="30"/>
        </w:rPr>
      </w:pPr>
    </w:p>
    <w:p>
      <w:pPr>
        <w:pStyle w:val="2"/>
        <w:spacing w:before="0" w:after="0" w:line="600" w:lineRule="exact"/>
        <w:jc w:val="center"/>
        <w:rPr>
          <w:rFonts w:ascii="方正小标宋简体" w:hAnsi="方正小标宋简体" w:eastAsia="方正小标宋简体" w:cs="方正小标宋简体"/>
          <w:b w:val="0"/>
        </w:rPr>
      </w:pPr>
      <w:bookmarkStart w:id="16" w:name="_Toc396"/>
      <w:r>
        <w:rPr>
          <w:rFonts w:ascii="方正小标宋简体" w:hAnsi="方正小标宋简体" w:eastAsia="方正小标宋简体" w:cs="方正小标宋简体"/>
          <w:b w:val="0"/>
        </w:rPr>
        <w:t>第</w:t>
      </w:r>
      <w:r>
        <w:rPr>
          <w:rFonts w:hint="eastAsia" w:ascii="方正小标宋简体" w:hAnsi="方正小标宋简体" w:eastAsia="方正小标宋简体" w:cs="方正小标宋简体"/>
          <w:b w:val="0"/>
        </w:rPr>
        <w:t>三</w:t>
      </w:r>
      <w:r>
        <w:rPr>
          <w:rFonts w:ascii="方正小标宋简体" w:hAnsi="方正小标宋简体" w:eastAsia="方正小标宋简体" w:cs="方正小标宋简体"/>
          <w:b w:val="0"/>
        </w:rPr>
        <w:t xml:space="preserve">部分  </w:t>
      </w:r>
      <w:r>
        <w:rPr>
          <w:rFonts w:hint="eastAsia" w:ascii="方正小标宋简体" w:hAnsi="方正小标宋简体" w:eastAsia="方正小标宋简体" w:cs="方正小标宋简体"/>
          <w:b w:val="0"/>
        </w:rPr>
        <w:t>2022</w:t>
      </w:r>
      <w:r>
        <w:rPr>
          <w:rFonts w:ascii="方正小标宋简体" w:hAnsi="方正小标宋简体" w:eastAsia="方正小标宋简体" w:cs="方正小标宋简体"/>
          <w:b w:val="0"/>
        </w:rPr>
        <w:t>年度部门决算</w:t>
      </w:r>
      <w:r>
        <w:rPr>
          <w:rFonts w:hint="eastAsia" w:ascii="方正小标宋简体" w:hAnsi="方正小标宋简体" w:eastAsia="方正小标宋简体" w:cs="方正小标宋简体"/>
          <w:b w:val="0"/>
        </w:rPr>
        <w:t>情况</w:t>
      </w:r>
      <w:r>
        <w:rPr>
          <w:rFonts w:ascii="方正小标宋简体" w:hAnsi="方正小标宋简体" w:eastAsia="方正小标宋简体" w:cs="方正小标宋简体"/>
          <w:b w:val="0"/>
        </w:rPr>
        <w:t>说明</w:t>
      </w:r>
      <w:bookmarkEnd w:id="16"/>
    </w:p>
    <w:p>
      <w:pPr>
        <w:spacing w:line="600" w:lineRule="exact"/>
        <w:ind w:firstLine="600" w:firstLineChars="200"/>
        <w:rPr>
          <w:rFonts w:ascii="黑体" w:eastAsia="黑体"/>
          <w:sz w:val="30"/>
          <w:szCs w:val="30"/>
        </w:rPr>
      </w:pPr>
    </w:p>
    <w:p>
      <w:pPr>
        <w:pStyle w:val="3"/>
        <w:spacing w:before="0" w:after="0" w:line="600" w:lineRule="exact"/>
        <w:ind w:firstLine="600" w:firstLineChars="200"/>
        <w:rPr>
          <w:rFonts w:ascii="黑体" w:hAnsi="黑体" w:eastAsia="黑体"/>
          <w:b w:val="0"/>
          <w:sz w:val="30"/>
          <w:szCs w:val="30"/>
        </w:rPr>
      </w:pPr>
      <w:bookmarkStart w:id="17" w:name="_Toc24340"/>
      <w:r>
        <w:rPr>
          <w:rFonts w:hint="eastAsia" w:ascii="黑体" w:hAnsi="黑体" w:eastAsia="黑体"/>
          <w:b w:val="0"/>
          <w:sz w:val="30"/>
          <w:szCs w:val="30"/>
        </w:rPr>
        <w:t>一、收入支出决算总体情况说明</w:t>
      </w:r>
      <w:bookmarkEnd w:id="17"/>
    </w:p>
    <w:p>
      <w:pPr>
        <w:spacing w:line="600" w:lineRule="exact"/>
        <w:rPr>
          <w:rFonts w:eastAsia="楷体_GB2312"/>
          <w:b/>
          <w:sz w:val="30"/>
          <w:szCs w:val="30"/>
        </w:rPr>
      </w:pPr>
      <w:r>
        <w:rPr>
          <w:rFonts w:hint="eastAsia" w:eastAsia="仿宋_GB2312"/>
          <w:sz w:val="30"/>
          <w:szCs w:val="30"/>
        </w:rPr>
        <w:t xml:space="preserve">    </w:t>
      </w:r>
      <w:r>
        <w:rPr>
          <w:rFonts w:hint="eastAsia" w:ascii="仿宋_GB2312" w:eastAsia="仿宋_GB2312" w:cs="仿宋_GB2312"/>
          <w:sz w:val="30"/>
          <w:szCs w:val="30"/>
        </w:rPr>
        <w:t>天津市津南区市场监督管理局12315投诉举报中心</w:t>
      </w:r>
      <w:r>
        <w:rPr>
          <w:rFonts w:hint="eastAsia" w:eastAsia="楷体"/>
          <w:sz w:val="30"/>
          <w:szCs w:val="30"/>
        </w:rPr>
        <w:t>2022</w:t>
      </w:r>
      <w:r>
        <w:rPr>
          <w:rFonts w:hint="eastAsia" w:ascii="仿宋_GB2312" w:eastAsia="仿宋_GB2312" w:cs="仿宋_GB2312"/>
          <w:sz w:val="30"/>
          <w:szCs w:val="30"/>
        </w:rPr>
        <w:t>年度收入、支出决算总计886418.42元。与2021年度相比，收、支总计各增加19288.37元，增长2.22%，主要原因是</w:t>
      </w:r>
      <w:r>
        <w:rPr>
          <w:rFonts w:hint="eastAsia" w:eastAsia="仿宋_GB2312"/>
          <w:sz w:val="30"/>
          <w:szCs w:val="30"/>
        </w:rPr>
        <w:t>一般</w:t>
      </w:r>
      <w:r>
        <w:rPr>
          <w:rFonts w:eastAsia="仿宋_GB2312"/>
          <w:sz w:val="30"/>
          <w:szCs w:val="30"/>
        </w:rPr>
        <w:t>公共预算财政拨款收入增</w:t>
      </w:r>
      <w:r>
        <w:rPr>
          <w:rFonts w:hint="eastAsia" w:eastAsia="仿宋_GB2312"/>
          <w:sz w:val="30"/>
          <w:szCs w:val="30"/>
        </w:rPr>
        <w:t>多</w:t>
      </w:r>
      <w:r>
        <w:rPr>
          <w:rFonts w:eastAsia="仿宋_GB2312"/>
          <w:sz w:val="30"/>
          <w:szCs w:val="30"/>
        </w:rPr>
        <w:t>（</w:t>
      </w:r>
      <w:r>
        <w:rPr>
          <w:rFonts w:hint="eastAsia" w:eastAsia="仿宋_GB2312"/>
          <w:sz w:val="30"/>
          <w:szCs w:val="30"/>
        </w:rPr>
        <w:t>工资</w:t>
      </w:r>
      <w:r>
        <w:rPr>
          <w:rFonts w:eastAsia="仿宋_GB2312"/>
          <w:sz w:val="30"/>
          <w:szCs w:val="30"/>
        </w:rPr>
        <w:t>增长）</w:t>
      </w:r>
      <w:r>
        <w:rPr>
          <w:rFonts w:hint="eastAsia" w:eastAsia="仿宋_GB2312"/>
          <w:sz w:val="30"/>
          <w:szCs w:val="30"/>
        </w:rPr>
        <w:t>。</w:t>
      </w:r>
    </w:p>
    <w:p>
      <w:pPr>
        <w:pStyle w:val="3"/>
        <w:spacing w:before="0" w:after="0" w:line="600" w:lineRule="exact"/>
        <w:ind w:firstLine="600" w:firstLineChars="200"/>
        <w:rPr>
          <w:rFonts w:ascii="黑体" w:hAnsi="黑体" w:eastAsia="黑体" w:cs="仿宋_GB2312"/>
          <w:b w:val="0"/>
          <w:sz w:val="30"/>
          <w:szCs w:val="30"/>
        </w:rPr>
      </w:pPr>
      <w:bookmarkStart w:id="18" w:name="_Toc18552"/>
      <w:r>
        <w:rPr>
          <w:rFonts w:hint="eastAsia" w:ascii="黑体" w:hAnsi="黑体" w:eastAsia="黑体" w:cs="仿宋_GB2312"/>
          <w:b w:val="0"/>
          <w:sz w:val="30"/>
          <w:szCs w:val="30"/>
        </w:rPr>
        <w:t>二、收入决算情况说明</w:t>
      </w:r>
      <w:bookmarkEnd w:id="18"/>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天津市津南区市场监督管理局12315投诉举报中心</w:t>
      </w:r>
      <w:r>
        <w:rPr>
          <w:rFonts w:hint="eastAsia" w:eastAsia="楷体"/>
          <w:sz w:val="30"/>
          <w:szCs w:val="30"/>
        </w:rPr>
        <w:t>2022</w:t>
      </w:r>
      <w:r>
        <w:rPr>
          <w:rFonts w:hint="eastAsia" w:ascii="仿宋_GB2312" w:eastAsia="仿宋_GB2312" w:cs="仿宋_GB2312"/>
          <w:sz w:val="30"/>
          <w:szCs w:val="30"/>
        </w:rPr>
        <w:t>年度本年收入合计886418.42元，与2021年度相比增加19288.37元，主要原因是</w:t>
      </w:r>
      <w:r>
        <w:rPr>
          <w:rFonts w:hint="eastAsia" w:eastAsia="仿宋_GB2312"/>
          <w:sz w:val="30"/>
          <w:szCs w:val="30"/>
        </w:rPr>
        <w:t>一般</w:t>
      </w:r>
      <w:r>
        <w:rPr>
          <w:rFonts w:eastAsia="仿宋_GB2312"/>
          <w:sz w:val="30"/>
          <w:szCs w:val="30"/>
        </w:rPr>
        <w:t>公共预算财政拨款收入增</w:t>
      </w:r>
      <w:r>
        <w:rPr>
          <w:rFonts w:hint="eastAsia" w:eastAsia="仿宋_GB2312"/>
          <w:sz w:val="30"/>
          <w:szCs w:val="30"/>
        </w:rPr>
        <w:t>多</w:t>
      </w:r>
      <w:r>
        <w:rPr>
          <w:rFonts w:eastAsia="仿宋_GB2312"/>
          <w:sz w:val="30"/>
          <w:szCs w:val="30"/>
        </w:rPr>
        <w:t>（</w:t>
      </w:r>
      <w:r>
        <w:rPr>
          <w:rFonts w:hint="eastAsia" w:eastAsia="仿宋_GB2312"/>
          <w:sz w:val="30"/>
          <w:szCs w:val="30"/>
        </w:rPr>
        <w:t>工资</w:t>
      </w:r>
      <w:r>
        <w:rPr>
          <w:rFonts w:eastAsia="仿宋_GB2312"/>
          <w:sz w:val="30"/>
          <w:szCs w:val="30"/>
        </w:rPr>
        <w:t>增长）</w:t>
      </w:r>
      <w:r>
        <w:rPr>
          <w:rFonts w:hint="eastAsia" w:eastAsia="仿宋_GB2312"/>
          <w:sz w:val="30"/>
          <w:szCs w:val="30"/>
        </w:rPr>
        <w:t>。</w:t>
      </w:r>
      <w:r>
        <w:rPr>
          <w:rFonts w:hint="eastAsia" w:ascii="仿宋_GB2312" w:eastAsia="仿宋_GB2312" w:cs="仿宋_GB2312"/>
          <w:sz w:val="30"/>
          <w:szCs w:val="30"/>
        </w:rPr>
        <w:t>其中：一般公共预算财政拨款收入885964.40元，占99.95%；其他收入454.02元，占0.05%。</w:t>
      </w:r>
    </w:p>
    <w:p>
      <w:pPr>
        <w:pStyle w:val="3"/>
        <w:spacing w:before="0" w:after="0" w:line="600" w:lineRule="exact"/>
        <w:ind w:firstLine="600" w:firstLineChars="200"/>
        <w:rPr>
          <w:rFonts w:ascii="黑体" w:hAnsi="黑体" w:eastAsia="黑体" w:cs="仿宋_GB2312"/>
          <w:b w:val="0"/>
          <w:sz w:val="30"/>
          <w:szCs w:val="30"/>
        </w:rPr>
      </w:pPr>
      <w:bookmarkStart w:id="19" w:name="_Toc26952"/>
      <w:r>
        <w:rPr>
          <w:rFonts w:hint="eastAsia" w:ascii="黑体" w:hAnsi="黑体" w:eastAsia="黑体" w:cs="仿宋_GB2312"/>
          <w:b w:val="0"/>
          <w:sz w:val="30"/>
          <w:szCs w:val="30"/>
        </w:rPr>
        <w:t>三、</w:t>
      </w:r>
      <w:r>
        <w:rPr>
          <w:rFonts w:ascii="黑体" w:hAnsi="黑体" w:eastAsia="黑体" w:cs="仿宋_GB2312"/>
          <w:b w:val="0"/>
          <w:sz w:val="30"/>
          <w:szCs w:val="30"/>
        </w:rPr>
        <w:t>支出</w:t>
      </w:r>
      <w:r>
        <w:rPr>
          <w:rFonts w:hint="eastAsia" w:ascii="黑体" w:hAnsi="黑体" w:eastAsia="黑体" w:cs="仿宋_GB2312"/>
          <w:b w:val="0"/>
          <w:sz w:val="30"/>
          <w:szCs w:val="30"/>
        </w:rPr>
        <w:t>决算</w:t>
      </w:r>
      <w:r>
        <w:rPr>
          <w:rFonts w:ascii="黑体" w:hAnsi="黑体" w:eastAsia="黑体" w:cs="仿宋_GB2312"/>
          <w:b w:val="0"/>
          <w:sz w:val="30"/>
          <w:szCs w:val="30"/>
        </w:rPr>
        <w:t>情况</w:t>
      </w:r>
      <w:r>
        <w:rPr>
          <w:rFonts w:hint="eastAsia" w:ascii="黑体" w:hAnsi="黑体" w:eastAsia="黑体" w:cs="仿宋_GB2312"/>
          <w:b w:val="0"/>
          <w:sz w:val="30"/>
          <w:szCs w:val="30"/>
        </w:rPr>
        <w:t>说明</w:t>
      </w:r>
      <w:bookmarkEnd w:id="19"/>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天津市津南区市场监督管理局12315投诉举报中心</w:t>
      </w:r>
      <w:r>
        <w:rPr>
          <w:rFonts w:hint="eastAsia" w:eastAsia="楷体"/>
          <w:sz w:val="30"/>
          <w:szCs w:val="30"/>
        </w:rPr>
        <w:t>2022</w:t>
      </w:r>
      <w:r>
        <w:rPr>
          <w:rFonts w:hint="eastAsia" w:ascii="仿宋_GB2312" w:eastAsia="仿宋_GB2312" w:cs="仿宋_GB2312"/>
          <w:sz w:val="30"/>
          <w:szCs w:val="30"/>
        </w:rPr>
        <w:t>年度本年支出合计869179.35元，与2021年度相比增加57009.98元，主要原因是</w:t>
      </w:r>
      <w:r>
        <w:rPr>
          <w:rFonts w:hint="eastAsia" w:eastAsia="仿宋_GB2312"/>
          <w:sz w:val="30"/>
          <w:szCs w:val="30"/>
        </w:rPr>
        <w:t>一般</w:t>
      </w:r>
      <w:r>
        <w:rPr>
          <w:rFonts w:eastAsia="仿宋_GB2312"/>
          <w:sz w:val="30"/>
          <w:szCs w:val="30"/>
        </w:rPr>
        <w:t>公共服务支出增多（</w:t>
      </w:r>
      <w:r>
        <w:rPr>
          <w:rFonts w:hint="eastAsia" w:eastAsia="仿宋_GB2312"/>
          <w:sz w:val="30"/>
          <w:szCs w:val="30"/>
        </w:rPr>
        <w:t>工资</w:t>
      </w:r>
      <w:r>
        <w:rPr>
          <w:rFonts w:eastAsia="仿宋_GB2312"/>
          <w:sz w:val="30"/>
          <w:szCs w:val="30"/>
        </w:rPr>
        <w:t>增长）</w:t>
      </w:r>
      <w:r>
        <w:rPr>
          <w:rFonts w:hint="eastAsia" w:eastAsia="仿宋_GB2312"/>
          <w:sz w:val="30"/>
          <w:szCs w:val="30"/>
        </w:rPr>
        <w:t>。</w:t>
      </w:r>
      <w:r>
        <w:rPr>
          <w:rFonts w:hint="eastAsia" w:ascii="仿宋_GB2312" w:eastAsia="仿宋_GB2312" w:cs="仿宋_GB2312"/>
          <w:sz w:val="30"/>
          <w:szCs w:val="30"/>
        </w:rPr>
        <w:t>其中：基本支出869179.35元，占100.00%。</w:t>
      </w:r>
    </w:p>
    <w:p>
      <w:pPr>
        <w:pStyle w:val="3"/>
        <w:spacing w:before="0" w:after="0" w:line="600" w:lineRule="exact"/>
        <w:ind w:firstLine="600" w:firstLineChars="200"/>
        <w:rPr>
          <w:rFonts w:ascii="黑体" w:hAnsi="黑体" w:eastAsia="黑体"/>
          <w:b w:val="0"/>
          <w:sz w:val="30"/>
          <w:szCs w:val="30"/>
        </w:rPr>
      </w:pPr>
      <w:bookmarkStart w:id="20" w:name="_Toc1812"/>
      <w:r>
        <w:rPr>
          <w:rFonts w:hint="eastAsia" w:ascii="黑体" w:hAnsi="黑体" w:eastAsia="黑体"/>
          <w:b w:val="0"/>
          <w:sz w:val="30"/>
          <w:szCs w:val="30"/>
        </w:rPr>
        <w:t>四、财政拨款收支决算总体情况说明</w:t>
      </w:r>
      <w:bookmarkEnd w:id="20"/>
    </w:p>
    <w:p>
      <w:pPr>
        <w:spacing w:line="600" w:lineRule="exact"/>
        <w:rPr>
          <w:rFonts w:eastAsia="楷体_GB2312"/>
          <w:b/>
          <w:sz w:val="30"/>
          <w:szCs w:val="30"/>
        </w:rPr>
      </w:pPr>
      <w:r>
        <w:rPr>
          <w:rFonts w:hint="eastAsia" w:eastAsia="仿宋_GB2312"/>
          <w:sz w:val="30"/>
          <w:szCs w:val="30"/>
        </w:rPr>
        <w:t xml:space="preserve">    </w:t>
      </w:r>
      <w:r>
        <w:rPr>
          <w:rFonts w:hint="eastAsia" w:ascii="仿宋_GB2312" w:eastAsia="仿宋_GB2312" w:cs="仿宋_GB2312"/>
          <w:sz w:val="30"/>
          <w:szCs w:val="30"/>
        </w:rPr>
        <w:t>天津市津南区市场监督管理局12315投诉举报中心</w:t>
      </w:r>
      <w:r>
        <w:rPr>
          <w:rFonts w:hint="eastAsia" w:eastAsia="楷体"/>
          <w:sz w:val="30"/>
          <w:szCs w:val="30"/>
        </w:rPr>
        <w:t>2022</w:t>
      </w:r>
      <w:r>
        <w:rPr>
          <w:rFonts w:hint="eastAsia" w:ascii="仿宋_GB2312" w:eastAsia="仿宋_GB2312" w:cs="仿宋_GB2312"/>
          <w:sz w:val="30"/>
          <w:szCs w:val="30"/>
        </w:rPr>
        <w:t>年度财政拨款收入、支出决算总计885964.40元。与2021年度相比，财政拨款收、支总计各增加68999.76元，增长8.45%，主要原因是</w:t>
      </w:r>
      <w:r>
        <w:rPr>
          <w:rFonts w:hint="eastAsia" w:eastAsia="仿宋_GB2312"/>
          <w:sz w:val="30"/>
          <w:szCs w:val="30"/>
        </w:rPr>
        <w:t>一般</w:t>
      </w:r>
      <w:r>
        <w:rPr>
          <w:rFonts w:eastAsia="仿宋_GB2312"/>
          <w:sz w:val="30"/>
          <w:szCs w:val="30"/>
        </w:rPr>
        <w:t>公共服务支出增多（</w:t>
      </w:r>
      <w:r>
        <w:rPr>
          <w:rFonts w:hint="eastAsia" w:eastAsia="仿宋_GB2312"/>
          <w:sz w:val="30"/>
          <w:szCs w:val="30"/>
        </w:rPr>
        <w:t>工资</w:t>
      </w:r>
      <w:r>
        <w:rPr>
          <w:rFonts w:eastAsia="仿宋_GB2312"/>
          <w:sz w:val="30"/>
          <w:szCs w:val="30"/>
        </w:rPr>
        <w:t>增长）</w:t>
      </w:r>
      <w:r>
        <w:rPr>
          <w:rFonts w:hint="eastAsia" w:eastAsia="仿宋_GB2312"/>
          <w:sz w:val="30"/>
          <w:szCs w:val="30"/>
        </w:rPr>
        <w:t>。</w:t>
      </w:r>
    </w:p>
    <w:p>
      <w:pPr>
        <w:pStyle w:val="3"/>
        <w:spacing w:before="0" w:after="0" w:line="600" w:lineRule="exact"/>
        <w:ind w:firstLine="600" w:firstLineChars="200"/>
        <w:rPr>
          <w:rFonts w:ascii="黑体" w:hAnsi="黑体" w:eastAsia="黑体"/>
          <w:b w:val="0"/>
          <w:sz w:val="30"/>
          <w:szCs w:val="30"/>
        </w:rPr>
      </w:pPr>
      <w:bookmarkStart w:id="21" w:name="_Toc10091"/>
      <w:r>
        <w:rPr>
          <w:rFonts w:ascii="黑体" w:hAnsi="黑体" w:eastAsia="黑体"/>
          <w:b w:val="0"/>
          <w:sz w:val="30"/>
          <w:szCs w:val="30"/>
        </w:rPr>
        <w:t>五</w:t>
      </w:r>
      <w:r>
        <w:rPr>
          <w:rFonts w:hint="eastAsia" w:ascii="黑体" w:hAnsi="黑体" w:eastAsia="黑体"/>
          <w:b w:val="0"/>
          <w:sz w:val="30"/>
          <w:szCs w:val="30"/>
        </w:rPr>
        <w:t>、</w:t>
      </w:r>
      <w:r>
        <w:rPr>
          <w:rFonts w:ascii="黑体" w:hAnsi="黑体" w:eastAsia="黑体"/>
          <w:b w:val="0"/>
          <w:sz w:val="30"/>
          <w:szCs w:val="30"/>
        </w:rPr>
        <w:t>一般公共预算财政拨款支出决算情况</w:t>
      </w:r>
      <w:r>
        <w:rPr>
          <w:rFonts w:hint="eastAsia" w:ascii="黑体" w:hAnsi="黑体" w:eastAsia="黑体"/>
          <w:b w:val="0"/>
          <w:sz w:val="30"/>
          <w:szCs w:val="30"/>
        </w:rPr>
        <w:t>说明</w:t>
      </w:r>
      <w:bookmarkEnd w:id="21"/>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ascii="仿宋_GB2312" w:eastAsia="仿宋_GB2312" w:cs="仿宋_GB2312"/>
          <w:sz w:val="30"/>
          <w:szCs w:val="30"/>
        </w:rPr>
        <w:t>天津市津南区市场监督管理局12315投诉举报中心</w:t>
      </w:r>
      <w:r>
        <w:rPr>
          <w:rFonts w:hint="eastAsia" w:eastAsia="楷体"/>
          <w:sz w:val="30"/>
          <w:szCs w:val="30"/>
        </w:rPr>
        <w:t>2022</w:t>
      </w:r>
      <w:r>
        <w:rPr>
          <w:rFonts w:hint="eastAsia" w:ascii="仿宋_GB2312" w:eastAsia="仿宋_GB2312" w:cs="仿宋_GB2312"/>
          <w:sz w:val="30"/>
          <w:szCs w:val="30"/>
        </w:rPr>
        <w:t>年度一般公共预算财政拨款支出合计869069.85元，占本年支出合计的</w:t>
      </w:r>
      <w:r>
        <w:rPr>
          <w:rFonts w:hint="default" w:ascii="仿宋_GB2312" w:eastAsia="仿宋_GB2312" w:cs="仿宋_GB2312"/>
          <w:sz w:val="30"/>
          <w:szCs w:val="30"/>
          <w:lang w:val="en"/>
        </w:rPr>
        <w:t>99.99</w:t>
      </w:r>
      <w:bookmarkStart w:id="32" w:name="_GoBack"/>
      <w:bookmarkEnd w:id="32"/>
      <w:r>
        <w:rPr>
          <w:rFonts w:hint="eastAsia" w:ascii="仿宋_GB2312" w:eastAsia="仿宋_GB2312" w:cs="仿宋_GB2312"/>
          <w:sz w:val="30"/>
          <w:szCs w:val="30"/>
        </w:rPr>
        <w:t>%。与2021年度相比，一般公共预算财政拨款支出增加57869.71元，增长7.13%，主要原因是</w:t>
      </w:r>
      <w:r>
        <w:rPr>
          <w:rFonts w:hint="eastAsia" w:eastAsia="仿宋_GB2312"/>
          <w:sz w:val="30"/>
          <w:szCs w:val="30"/>
        </w:rPr>
        <w:t>工资</w:t>
      </w:r>
      <w:r>
        <w:rPr>
          <w:rFonts w:eastAsia="仿宋_GB2312"/>
          <w:sz w:val="30"/>
          <w:szCs w:val="30"/>
        </w:rPr>
        <w:t>支出增加</w:t>
      </w:r>
      <w:r>
        <w:rPr>
          <w:rFonts w:hint="eastAsia" w:eastAsia="仿宋_GB2312"/>
          <w:sz w:val="30"/>
          <w:szCs w:val="30"/>
        </w:rPr>
        <w:t>。</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年度一般公共预算财政拨款支出869069.85元，主要用于以下方面：</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一般公共服务支出（类）支出676691.69元，占77.86%；</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社会保障和就业支出（类）支出89933.76元，占10.35%；</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卫生健康支出（类）支出42072.40元，占4.84%；</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住房保障支出（类）支出60372.00元，占6.95%。</w:t>
      </w:r>
    </w:p>
    <w:p>
      <w:pPr>
        <w:numPr>
          <w:ilvl w:val="0"/>
          <w:numId w:val="2"/>
        </w:numPr>
        <w:spacing w:line="600" w:lineRule="exact"/>
        <w:ind w:firstLine="602" w:firstLineChars="200"/>
        <w:rPr>
          <w:rFonts w:ascii="楷体" w:hAnsi="楷体" w:eastAsia="楷体" w:cs="仿宋_GB2312"/>
          <w:b/>
          <w:sz w:val="30"/>
          <w:szCs w:val="30"/>
        </w:rPr>
      </w:pPr>
      <w:r>
        <w:rPr>
          <w:rFonts w:ascii="楷体" w:hAnsi="楷体" w:eastAsia="楷体" w:cs="仿宋_GB2312"/>
          <w:b/>
          <w:sz w:val="30"/>
          <w:szCs w:val="30"/>
        </w:rPr>
        <w:t>具体情况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年度一般公共预算财政拨款支出年初预算为913215.60元，支出决算为869069.85元，完成年初预算的95.17%。其中：</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一般公共服务支出（类）市场监督管理事务（款）事业运行（项）年初预算为</w:t>
      </w:r>
      <w:r>
        <w:rPr>
          <w:rFonts w:ascii="仿宋_GB2312" w:eastAsia="仿宋_GB2312" w:cs="仿宋_GB2312"/>
          <w:sz w:val="30"/>
          <w:szCs w:val="30"/>
        </w:rPr>
        <w:t>711521.28</w:t>
      </w:r>
      <w:r>
        <w:rPr>
          <w:rFonts w:hint="eastAsia" w:ascii="仿宋_GB2312" w:eastAsia="仿宋_GB2312" w:cs="仿宋_GB2312"/>
          <w:sz w:val="30"/>
          <w:szCs w:val="30"/>
        </w:rPr>
        <w:t>元，支出决算为676691.69元，完成年初预算数的</w:t>
      </w:r>
      <w:r>
        <w:rPr>
          <w:rFonts w:ascii="仿宋_GB2312" w:eastAsia="仿宋_GB2312" w:cs="仿宋_GB2312"/>
          <w:sz w:val="30"/>
          <w:szCs w:val="30"/>
        </w:rPr>
        <w:t>95.10</w:t>
      </w:r>
      <w:r>
        <w:rPr>
          <w:rFonts w:hint="eastAsia" w:ascii="仿宋_GB2312" w:eastAsia="仿宋_GB2312" w:cs="仿宋_GB2312"/>
          <w:sz w:val="30"/>
          <w:szCs w:val="30"/>
        </w:rPr>
        <w:t>%，决算数小于年初预算数的主要原因是办公</w:t>
      </w:r>
      <w:r>
        <w:rPr>
          <w:rFonts w:ascii="仿宋_GB2312" w:eastAsia="仿宋_GB2312" w:cs="仿宋_GB2312"/>
          <w:sz w:val="30"/>
          <w:szCs w:val="30"/>
        </w:rPr>
        <w:t>经费支出减少，压缩开支</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社会保障和就业支出（类）行政事业单位养老支出（款）机关事业单位基本养老保险缴费支出（项）年初预算为</w:t>
      </w:r>
      <w:r>
        <w:rPr>
          <w:rFonts w:ascii="仿宋_GB2312" w:eastAsia="仿宋_GB2312" w:cs="仿宋_GB2312"/>
          <w:sz w:val="30"/>
          <w:szCs w:val="30"/>
        </w:rPr>
        <w:t>63031.68</w:t>
      </w:r>
      <w:r>
        <w:rPr>
          <w:rFonts w:hint="eastAsia" w:ascii="仿宋_GB2312" w:eastAsia="仿宋_GB2312" w:cs="仿宋_GB2312"/>
          <w:sz w:val="30"/>
          <w:szCs w:val="30"/>
        </w:rPr>
        <w:t>元，支出决算为59955.84元，完成年初预算数的</w:t>
      </w:r>
      <w:r>
        <w:rPr>
          <w:rFonts w:ascii="仿宋_GB2312" w:eastAsia="仿宋_GB2312" w:cs="仿宋_GB2312"/>
          <w:sz w:val="30"/>
          <w:szCs w:val="30"/>
        </w:rPr>
        <w:t>95.12</w:t>
      </w:r>
      <w:r>
        <w:rPr>
          <w:rFonts w:hint="eastAsia" w:ascii="仿宋_GB2312" w:eastAsia="仿宋_GB2312" w:cs="仿宋_GB2312"/>
          <w:sz w:val="30"/>
          <w:szCs w:val="30"/>
        </w:rPr>
        <w:t>%，决算数小于年初预算数的主要原因是社保机构</w:t>
      </w:r>
      <w:r>
        <w:rPr>
          <w:rFonts w:ascii="仿宋_GB2312" w:eastAsia="仿宋_GB2312" w:cs="仿宋_GB2312"/>
          <w:sz w:val="30"/>
          <w:szCs w:val="30"/>
        </w:rPr>
        <w:t>降低缴费比率</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社会保障和就业支出（类）行政事业单位养老支出（款）机关事业单位职业年金缴费支出（项）年初预算为</w:t>
      </w:r>
      <w:r>
        <w:rPr>
          <w:rFonts w:ascii="仿宋_GB2312" w:eastAsia="仿宋_GB2312" w:cs="仿宋_GB2312"/>
          <w:sz w:val="30"/>
          <w:szCs w:val="30"/>
        </w:rPr>
        <w:t>31515.84</w:t>
      </w:r>
      <w:r>
        <w:rPr>
          <w:rFonts w:hint="eastAsia" w:ascii="仿宋_GB2312" w:eastAsia="仿宋_GB2312" w:cs="仿宋_GB2312"/>
          <w:sz w:val="30"/>
          <w:szCs w:val="30"/>
        </w:rPr>
        <w:t>元，支出决算为29977.92元，完成年初预算数的</w:t>
      </w:r>
      <w:r>
        <w:rPr>
          <w:rFonts w:ascii="仿宋_GB2312" w:eastAsia="仿宋_GB2312" w:cs="仿宋_GB2312"/>
          <w:sz w:val="30"/>
          <w:szCs w:val="30"/>
        </w:rPr>
        <w:t>95.12</w:t>
      </w:r>
      <w:r>
        <w:rPr>
          <w:rFonts w:hint="eastAsia" w:ascii="仿宋_GB2312" w:eastAsia="仿宋_GB2312" w:cs="仿宋_GB2312"/>
          <w:sz w:val="30"/>
          <w:szCs w:val="30"/>
        </w:rPr>
        <w:t>%，决算数小于年初预算数的主要原因是社保机构</w:t>
      </w:r>
      <w:r>
        <w:rPr>
          <w:rFonts w:ascii="仿宋_GB2312" w:eastAsia="仿宋_GB2312" w:cs="仿宋_GB2312"/>
          <w:sz w:val="30"/>
          <w:szCs w:val="30"/>
        </w:rPr>
        <w:t>降低缴费比率</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卫生健康支出（类）行政事业单位医疗（款）事业单位医疗（项）年初预算为</w:t>
      </w:r>
      <w:r>
        <w:rPr>
          <w:rFonts w:ascii="仿宋_GB2312" w:eastAsia="仿宋_GB2312" w:cs="仿宋_GB2312"/>
          <w:sz w:val="30"/>
          <w:szCs w:val="30"/>
        </w:rPr>
        <w:t>39394.80</w:t>
      </w:r>
      <w:r>
        <w:rPr>
          <w:rFonts w:hint="eastAsia" w:ascii="仿宋_GB2312" w:eastAsia="仿宋_GB2312" w:cs="仿宋_GB2312"/>
          <w:sz w:val="30"/>
          <w:szCs w:val="30"/>
        </w:rPr>
        <w:t>元，支出决算为37272.40元，完成年初预算数的</w:t>
      </w:r>
      <w:r>
        <w:rPr>
          <w:rFonts w:ascii="仿宋_GB2312" w:eastAsia="仿宋_GB2312" w:cs="仿宋_GB2312"/>
          <w:sz w:val="30"/>
          <w:szCs w:val="30"/>
        </w:rPr>
        <w:t>94.61</w:t>
      </w:r>
      <w:r>
        <w:rPr>
          <w:rFonts w:hint="eastAsia" w:ascii="仿宋_GB2312" w:eastAsia="仿宋_GB2312" w:cs="仿宋_GB2312"/>
          <w:sz w:val="30"/>
          <w:szCs w:val="30"/>
        </w:rPr>
        <w:t>%，决算数小于年初预算数的主要原因是社保机构</w:t>
      </w:r>
      <w:r>
        <w:rPr>
          <w:rFonts w:ascii="仿宋_GB2312" w:eastAsia="仿宋_GB2312" w:cs="仿宋_GB2312"/>
          <w:sz w:val="30"/>
          <w:szCs w:val="30"/>
        </w:rPr>
        <w:t>降低缴费比率</w:t>
      </w:r>
      <w:r>
        <w:rPr>
          <w:rFonts w:hint="eastAsia" w:ascii="仿宋_GB2312" w:eastAsia="仿宋_GB2312" w:cs="仿宋_GB2312"/>
          <w:sz w:val="30"/>
          <w:szCs w:val="30"/>
        </w:rPr>
        <w:t>。</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卫生健康支出（类）行政事业单位医疗（款）其他行政事业单位医疗支出（项）年初预算为</w:t>
      </w:r>
      <w:r>
        <w:rPr>
          <w:rFonts w:ascii="仿宋_GB2312" w:eastAsia="仿宋_GB2312" w:cs="仿宋_GB2312"/>
          <w:sz w:val="30"/>
          <w:szCs w:val="30"/>
        </w:rPr>
        <w:t>4800.00</w:t>
      </w:r>
      <w:r>
        <w:rPr>
          <w:rFonts w:hint="eastAsia" w:ascii="仿宋_GB2312" w:eastAsia="仿宋_GB2312" w:cs="仿宋_GB2312"/>
          <w:sz w:val="30"/>
          <w:szCs w:val="30"/>
        </w:rPr>
        <w:t>元，支出决算为4800.00元，完成年初预算数的</w:t>
      </w:r>
      <w:r>
        <w:rPr>
          <w:rFonts w:ascii="仿宋_GB2312" w:eastAsia="仿宋_GB2312" w:cs="仿宋_GB2312"/>
          <w:sz w:val="30"/>
          <w:szCs w:val="30"/>
        </w:rPr>
        <w:t>100</w:t>
      </w:r>
      <w:r>
        <w:rPr>
          <w:rFonts w:hint="eastAsia" w:ascii="仿宋_GB2312" w:eastAsia="仿宋_GB2312" w:cs="仿宋_GB2312"/>
          <w:sz w:val="30"/>
          <w:szCs w:val="30"/>
        </w:rPr>
        <w:t>%，决算数等于年初预算数。</w:t>
      </w:r>
      <w:r>
        <w:rPr>
          <w:rFonts w:hint="eastAsia" w:ascii="仿宋_GB2312" w:eastAsia="仿宋_GB2312" w:cs="仿宋_GB2312"/>
          <w:sz w:val="30"/>
          <w:szCs w:val="30"/>
        </w:rPr>
        <w:br w:type="textWrapping"/>
      </w:r>
      <w:r>
        <w:rPr>
          <w:rFonts w:hint="eastAsia" w:ascii="仿宋_GB2312" w:eastAsia="仿宋_GB2312" w:cs="仿宋_GB2312"/>
          <w:sz w:val="30"/>
          <w:szCs w:val="30"/>
        </w:rPr>
        <w:t xml:space="preserve">    住房保障支出（类）住房改革支出（款）住房公积金（项）年初预算为</w:t>
      </w:r>
      <w:r>
        <w:rPr>
          <w:rFonts w:ascii="仿宋_GB2312" w:eastAsia="仿宋_GB2312" w:cs="仿宋_GB2312"/>
          <w:sz w:val="30"/>
          <w:szCs w:val="30"/>
        </w:rPr>
        <w:t>62952.00</w:t>
      </w:r>
      <w:r>
        <w:rPr>
          <w:rFonts w:hint="eastAsia" w:ascii="仿宋_GB2312" w:eastAsia="仿宋_GB2312" w:cs="仿宋_GB2312"/>
          <w:sz w:val="30"/>
          <w:szCs w:val="30"/>
        </w:rPr>
        <w:t>元，支出决算为60372.00元，完成年初预算数的</w:t>
      </w:r>
      <w:r>
        <w:rPr>
          <w:rFonts w:ascii="仿宋_GB2312" w:eastAsia="仿宋_GB2312" w:cs="仿宋_GB2312"/>
          <w:sz w:val="30"/>
          <w:szCs w:val="30"/>
        </w:rPr>
        <w:t>95.90</w:t>
      </w:r>
      <w:r>
        <w:rPr>
          <w:rFonts w:hint="eastAsia" w:ascii="仿宋_GB2312" w:eastAsia="仿宋_GB2312" w:cs="仿宋_GB2312"/>
          <w:sz w:val="30"/>
          <w:szCs w:val="30"/>
        </w:rPr>
        <w:t>%，决算数小于年初预算数的主要原因是公积金</w:t>
      </w:r>
      <w:r>
        <w:rPr>
          <w:rFonts w:ascii="仿宋_GB2312" w:eastAsia="仿宋_GB2312" w:cs="仿宋_GB2312"/>
          <w:sz w:val="30"/>
          <w:szCs w:val="30"/>
        </w:rPr>
        <w:t>基数</w:t>
      </w:r>
      <w:r>
        <w:rPr>
          <w:rFonts w:hint="eastAsia" w:ascii="仿宋_GB2312" w:eastAsia="仿宋_GB2312" w:cs="仿宋_GB2312"/>
          <w:sz w:val="30"/>
          <w:szCs w:val="30"/>
        </w:rPr>
        <w:t>减少。</w:t>
      </w:r>
    </w:p>
    <w:p>
      <w:pPr>
        <w:pStyle w:val="3"/>
        <w:spacing w:before="0" w:after="0" w:line="600" w:lineRule="exact"/>
        <w:ind w:firstLine="600" w:firstLineChars="200"/>
        <w:rPr>
          <w:rFonts w:ascii="黑体" w:hAnsi="黑体" w:eastAsia="黑体"/>
          <w:b w:val="0"/>
          <w:sz w:val="30"/>
          <w:szCs w:val="30"/>
        </w:rPr>
      </w:pPr>
      <w:bookmarkStart w:id="22" w:name="_Toc10721"/>
      <w:r>
        <w:rPr>
          <w:rFonts w:ascii="黑体" w:hAnsi="黑体" w:eastAsia="黑体"/>
          <w:b w:val="0"/>
          <w:sz w:val="30"/>
          <w:szCs w:val="30"/>
        </w:rPr>
        <w:t>六、一般公共预算财政拨款基本支出决算情况</w:t>
      </w:r>
      <w:r>
        <w:rPr>
          <w:rFonts w:hint="eastAsia" w:ascii="黑体" w:hAnsi="黑体" w:eastAsia="黑体"/>
          <w:b w:val="0"/>
          <w:sz w:val="30"/>
          <w:szCs w:val="30"/>
        </w:rPr>
        <w:t>说明</w:t>
      </w:r>
      <w:bookmarkEnd w:id="22"/>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天津市津南区市场监督管理局12315投诉举报中心</w:t>
      </w:r>
      <w:r>
        <w:rPr>
          <w:rFonts w:hint="eastAsia" w:eastAsia="楷体"/>
          <w:sz w:val="30"/>
          <w:szCs w:val="30"/>
        </w:rPr>
        <w:t>2022</w:t>
      </w:r>
      <w:r>
        <w:rPr>
          <w:rFonts w:hint="eastAsia" w:ascii="仿宋_GB2312" w:eastAsia="仿宋_GB2312" w:cs="仿宋_GB2312"/>
          <w:sz w:val="30"/>
          <w:szCs w:val="30"/>
        </w:rPr>
        <w:t>年度一般公共预算财政拨款基本支出合计869069.85元，与2021年度相比增加57869.71元，主要原因是工资</w:t>
      </w:r>
      <w:r>
        <w:rPr>
          <w:rFonts w:ascii="仿宋_GB2312" w:eastAsia="仿宋_GB2312" w:cs="仿宋_GB2312"/>
          <w:sz w:val="30"/>
          <w:szCs w:val="30"/>
        </w:rPr>
        <w:t>支出增加</w:t>
      </w:r>
      <w:r>
        <w:rPr>
          <w:rFonts w:hint="eastAsia" w:ascii="仿宋_GB2312" w:eastAsia="仿宋_GB2312" w:cs="仿宋_GB2312"/>
          <w:sz w:val="30"/>
          <w:szCs w:val="30"/>
        </w:rPr>
        <w:t>。其中：</w:t>
      </w:r>
      <w:r>
        <w:rPr>
          <w:rFonts w:hint="eastAsia" w:ascii="仿宋_GB2312" w:eastAsia="仿宋_GB2312" w:cs="仿宋_GB2312"/>
          <w:sz w:val="30"/>
          <w:szCs w:val="30"/>
        </w:rPr>
        <w:br w:type="textWrapping"/>
      </w:r>
      <w:r>
        <w:rPr>
          <w:rFonts w:hint="eastAsia" w:ascii="仿宋_GB2312" w:eastAsia="仿宋_GB2312" w:cs="仿宋_GB2312"/>
          <w:sz w:val="30"/>
          <w:szCs w:val="30"/>
        </w:rPr>
        <w:t>　　人员经费848469.09元，主要包括基本工资、津贴补贴、绩效工资、机关事业单位养老保险缴费、职业年金缴费、职工基本医疗保险缴费、其他社会保障缴费、住房公积金、其他工资福利支出；</w:t>
      </w:r>
      <w:r>
        <w:rPr>
          <w:rFonts w:hint="eastAsia" w:ascii="仿宋_GB2312" w:eastAsia="仿宋_GB2312" w:cs="仿宋_GB2312"/>
          <w:sz w:val="30"/>
          <w:szCs w:val="30"/>
        </w:rPr>
        <w:br w:type="textWrapping"/>
      </w:r>
      <w:r>
        <w:rPr>
          <w:rFonts w:hint="eastAsia" w:ascii="仿宋_GB2312" w:eastAsia="仿宋_GB2312" w:cs="仿宋_GB2312"/>
          <w:sz w:val="30"/>
          <w:szCs w:val="30"/>
        </w:rPr>
        <w:t>　　公用经费20600.76元，主要包括办公费、工会经费、福利费。</w:t>
      </w:r>
    </w:p>
    <w:p>
      <w:pPr>
        <w:pStyle w:val="3"/>
        <w:spacing w:before="0" w:after="0" w:line="600" w:lineRule="exact"/>
        <w:ind w:firstLine="600" w:firstLineChars="200"/>
        <w:rPr>
          <w:rFonts w:ascii="楷体" w:hAnsi="楷体" w:eastAsia="楷体" w:cs="仿宋_GB2312"/>
          <w:b w:val="0"/>
          <w:sz w:val="30"/>
          <w:szCs w:val="30"/>
        </w:rPr>
      </w:pPr>
      <w:bookmarkStart w:id="23" w:name="_Toc17918"/>
      <w:r>
        <w:rPr>
          <w:rFonts w:hint="eastAsia" w:ascii="黑体" w:hAnsi="黑体" w:eastAsia="黑体"/>
          <w:b w:val="0"/>
          <w:sz w:val="30"/>
          <w:szCs w:val="30"/>
        </w:rPr>
        <w:t>七</w:t>
      </w:r>
      <w:r>
        <w:rPr>
          <w:rFonts w:ascii="黑体" w:hAnsi="黑体" w:eastAsia="黑体"/>
          <w:b w:val="0"/>
          <w:sz w:val="30"/>
          <w:szCs w:val="30"/>
        </w:rPr>
        <w:t>、政府性基金预算财政拨款</w:t>
      </w:r>
      <w:r>
        <w:rPr>
          <w:rFonts w:hint="eastAsia" w:ascii="黑体" w:hAnsi="黑体" w:eastAsia="黑体"/>
          <w:b w:val="0"/>
          <w:sz w:val="30"/>
          <w:szCs w:val="30"/>
        </w:rPr>
        <w:t>收支决算</w:t>
      </w:r>
      <w:r>
        <w:rPr>
          <w:rFonts w:ascii="黑体" w:hAnsi="黑体" w:eastAsia="黑体"/>
          <w:b w:val="0"/>
          <w:sz w:val="30"/>
          <w:szCs w:val="30"/>
        </w:rPr>
        <w:t>情况</w:t>
      </w:r>
      <w:r>
        <w:rPr>
          <w:rFonts w:hint="eastAsia" w:ascii="黑体" w:hAnsi="黑体" w:eastAsia="黑体"/>
          <w:b w:val="0"/>
          <w:bCs w:val="0"/>
          <w:sz w:val="30"/>
          <w:szCs w:val="30"/>
        </w:rPr>
        <w:t>说明</w:t>
      </w:r>
      <w:bookmarkEnd w:id="23"/>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天津市津南区市场监督管理局12315投诉举报中心2022年度无政府性基金预算财政拨款收入、支出和结转结余。</w:t>
      </w:r>
    </w:p>
    <w:p>
      <w:pPr>
        <w:pStyle w:val="3"/>
        <w:spacing w:before="0" w:after="0" w:line="600" w:lineRule="exact"/>
        <w:ind w:firstLine="600" w:firstLineChars="200"/>
        <w:rPr>
          <w:rFonts w:eastAsia="黑体"/>
          <w:b w:val="0"/>
          <w:sz w:val="30"/>
          <w:szCs w:val="30"/>
        </w:rPr>
      </w:pPr>
      <w:bookmarkStart w:id="24" w:name="_Toc23897"/>
      <w:r>
        <w:rPr>
          <w:rFonts w:hint="eastAsia" w:eastAsia="黑体"/>
          <w:b w:val="0"/>
          <w:sz w:val="30"/>
          <w:szCs w:val="30"/>
        </w:rPr>
        <w:t>八、国有资本经营预算财政拨款收支决算情况</w:t>
      </w:r>
      <w:r>
        <w:rPr>
          <w:rFonts w:hint="eastAsia" w:ascii="黑体" w:hAnsi="黑体" w:eastAsia="黑体"/>
          <w:b w:val="0"/>
          <w:bCs w:val="0"/>
          <w:sz w:val="30"/>
          <w:szCs w:val="30"/>
        </w:rPr>
        <w:t>说明</w:t>
      </w:r>
      <w:bookmarkEnd w:id="24"/>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天津市津南区市场监督管理局12315投诉举报中心2022年度无国有资本经营预算财政拨款收入、支出和结转结余。</w:t>
      </w:r>
    </w:p>
    <w:p>
      <w:pPr>
        <w:pStyle w:val="3"/>
        <w:spacing w:before="0" w:after="0" w:line="600" w:lineRule="exact"/>
        <w:ind w:firstLine="600" w:firstLineChars="200"/>
        <w:rPr>
          <w:rFonts w:ascii="黑体" w:hAnsi="黑体" w:eastAsia="黑体"/>
          <w:b w:val="0"/>
          <w:sz w:val="30"/>
          <w:szCs w:val="30"/>
        </w:rPr>
      </w:pPr>
      <w:bookmarkStart w:id="25" w:name="_Toc4518"/>
      <w:r>
        <w:rPr>
          <w:rFonts w:hint="eastAsia" w:ascii="黑体" w:hAnsi="黑体" w:eastAsia="黑体"/>
          <w:b w:val="0"/>
          <w:sz w:val="30"/>
          <w:szCs w:val="30"/>
        </w:rPr>
        <w:t>九、</w:t>
      </w:r>
      <w:r>
        <w:rPr>
          <w:rFonts w:ascii="黑体" w:hAnsi="黑体" w:eastAsia="黑体"/>
          <w:b w:val="0"/>
          <w:sz w:val="30"/>
          <w:szCs w:val="30"/>
        </w:rPr>
        <w:t>一般公共预算财政拨款“三公”经费</w:t>
      </w:r>
      <w:r>
        <w:rPr>
          <w:rFonts w:hint="eastAsia" w:ascii="黑体" w:hAnsi="黑体" w:eastAsia="黑体"/>
          <w:b w:val="0"/>
          <w:sz w:val="30"/>
          <w:szCs w:val="30"/>
        </w:rPr>
        <w:t>支出决算</w:t>
      </w:r>
      <w:r>
        <w:rPr>
          <w:rFonts w:ascii="黑体" w:hAnsi="黑体" w:eastAsia="黑体"/>
          <w:b w:val="0"/>
          <w:sz w:val="30"/>
          <w:szCs w:val="30"/>
        </w:rPr>
        <w:t>情况</w:t>
      </w:r>
      <w:r>
        <w:rPr>
          <w:rFonts w:hint="eastAsia" w:ascii="黑体" w:hAnsi="黑体" w:eastAsia="黑体"/>
          <w:b w:val="0"/>
          <w:bCs w:val="0"/>
          <w:sz w:val="30"/>
          <w:szCs w:val="30"/>
        </w:rPr>
        <w:t>说明</w:t>
      </w:r>
      <w:bookmarkEnd w:id="25"/>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（一）总体情况</w:t>
      </w:r>
    </w:p>
    <w:p>
      <w:pPr>
        <w:spacing w:line="600" w:lineRule="exact"/>
        <w:ind w:firstLine="645"/>
        <w:jc w:val="both"/>
        <w:rPr>
          <w:rFonts w:ascii="仿宋_GB2312" w:eastAsia="仿宋_GB2312" w:cs="仿宋_GB2312"/>
          <w:sz w:val="30"/>
          <w:szCs w:val="30"/>
        </w:rPr>
      </w:pPr>
      <w:r>
        <w:rPr>
          <w:rFonts w:hint="eastAsia" w:eastAsia="楷体"/>
          <w:sz w:val="30"/>
          <w:szCs w:val="30"/>
        </w:rPr>
        <w:t>2022</w:t>
      </w:r>
      <w:r>
        <w:rPr>
          <w:rFonts w:hint="eastAsia" w:ascii="仿宋_GB2312" w:eastAsia="仿宋_GB2312" w:cs="仿宋_GB2312"/>
          <w:sz w:val="30"/>
          <w:szCs w:val="30"/>
        </w:rPr>
        <w:t>年一般公共预算财政拨款“三公”经费预算0.00元，支出决算0.00元（去年同期0.00元），支出决算与</w:t>
      </w:r>
      <w:r>
        <w:rPr>
          <w:rFonts w:hint="eastAsia" w:eastAsia="楷体"/>
          <w:sz w:val="30"/>
          <w:szCs w:val="30"/>
        </w:rPr>
        <w:t>2022</w:t>
      </w:r>
      <w:r>
        <w:rPr>
          <w:rFonts w:hint="eastAsia" w:ascii="仿宋_GB2312" w:eastAsia="仿宋_GB2312" w:cs="仿宋_GB2312"/>
          <w:sz w:val="30"/>
          <w:szCs w:val="30"/>
        </w:rPr>
        <w:t>年预算相比持平；支出决算较上年持平。决算数与预算数持平的主要原因是本年度未用一般公共预算列支“三公”经费。决算数较上年持平的主要原因是本年度未用一般公共预算列支三公经费。</w:t>
      </w:r>
    </w:p>
    <w:p>
      <w:pPr>
        <w:spacing w:line="600" w:lineRule="exact"/>
        <w:ind w:firstLine="602" w:firstLineChars="200"/>
        <w:jc w:val="both"/>
        <w:rPr>
          <w:rFonts w:ascii="楷体" w:hAnsi="楷体" w:eastAsia="楷体" w:cs="楷体"/>
          <w:b/>
          <w:bCs/>
          <w:sz w:val="30"/>
          <w:szCs w:val="30"/>
        </w:rPr>
      </w:pPr>
      <w:r>
        <w:rPr>
          <w:rFonts w:hint="eastAsia" w:ascii="楷体" w:hAnsi="楷体" w:eastAsia="楷体" w:cs="楷体"/>
          <w:b/>
          <w:bCs/>
          <w:sz w:val="30"/>
          <w:szCs w:val="30"/>
        </w:rPr>
        <w:t>（二）具体情况</w:t>
      </w:r>
    </w:p>
    <w:p>
      <w:pPr>
        <w:spacing w:line="600" w:lineRule="exact"/>
        <w:ind w:firstLine="600" w:firstLineChars="200"/>
        <w:jc w:val="both"/>
        <w:rPr>
          <w:rFonts w:eastAsia="仿宋_GB2312"/>
          <w:sz w:val="30"/>
          <w:szCs w:val="30"/>
        </w:rPr>
      </w:pPr>
      <w:r>
        <w:rPr>
          <w:rFonts w:hint="eastAsia" w:eastAsia="仿宋_GB2312"/>
          <w:sz w:val="30"/>
          <w:szCs w:val="30"/>
        </w:rPr>
        <w:t>1.</w:t>
      </w:r>
      <w:r>
        <w:rPr>
          <w:rFonts w:hint="eastAsia" w:ascii="仿宋_GB2312" w:eastAsia="仿宋_GB2312" w:cs="仿宋_GB2312"/>
          <w:sz w:val="30"/>
          <w:szCs w:val="30"/>
        </w:rPr>
        <w:t>因公出国（境）费预算0.00元，支出决算0.00元（去年同期0.00元），支出决算与预算相比持平；支出决算较上年持平。</w:t>
      </w:r>
      <w:r>
        <w:rPr>
          <w:rFonts w:ascii="仿宋_GB2312" w:eastAsia="仿宋_GB2312" w:cs="仿宋_GB2312"/>
          <w:sz w:val="30"/>
          <w:szCs w:val="30"/>
        </w:rPr>
        <w:t>决算数与预算数持平的主要原因是本年度未用一般公共预算列支“因公出国（境）”经费。决算数较上年持平的主要原因是本年度未用一般公共预算列支“因公出国（境）”经费。2022</w:t>
      </w:r>
      <w:r>
        <w:rPr>
          <w:rFonts w:hint="eastAsia" w:ascii="仿宋_GB2312" w:eastAsia="仿宋_GB2312" w:cs="仿宋_GB2312"/>
          <w:sz w:val="30"/>
          <w:szCs w:val="30"/>
        </w:rPr>
        <w:t>年本单位组织的出国团组0个，出国0人次。</w:t>
      </w:r>
    </w:p>
    <w:p>
      <w:pPr>
        <w:spacing w:line="600" w:lineRule="exact"/>
        <w:ind w:firstLine="600" w:firstLineChars="200"/>
        <w:jc w:val="both"/>
        <w:rPr>
          <w:rFonts w:eastAsia="仿宋_GB2312"/>
          <w:sz w:val="30"/>
          <w:szCs w:val="30"/>
        </w:rPr>
      </w:pPr>
      <w:r>
        <w:rPr>
          <w:rFonts w:hint="eastAsia" w:eastAsia="仿宋_GB2312"/>
          <w:sz w:val="30"/>
          <w:szCs w:val="30"/>
        </w:rPr>
        <w:t>2.</w:t>
      </w:r>
      <w:r>
        <w:rPr>
          <w:rFonts w:hint="eastAsia" w:ascii="仿宋_GB2312" w:eastAsia="仿宋_GB2312" w:cs="仿宋_GB2312"/>
          <w:sz w:val="30"/>
          <w:szCs w:val="30"/>
        </w:rPr>
        <w:t>公务用车购置及运行维护费预算0.00元，支出决算0.00元（去年同期0.00元），支出决算与预算相比持平；支出决算较上年持平。其中：</w:t>
      </w:r>
    </w:p>
    <w:p>
      <w:pPr>
        <w:spacing w:line="600" w:lineRule="exact"/>
        <w:ind w:firstLine="600" w:firstLineChars="200"/>
        <w:jc w:val="both"/>
        <w:rPr>
          <w:rFonts w:eastAsia="仿宋_GB2312"/>
          <w:sz w:val="30"/>
          <w:szCs w:val="30"/>
        </w:rPr>
      </w:pPr>
      <w:r>
        <w:rPr>
          <w:rFonts w:hint="eastAsia" w:ascii="仿宋_GB2312" w:eastAsia="仿宋_GB2312" w:cs="仿宋_GB2312"/>
          <w:sz w:val="30"/>
          <w:szCs w:val="30"/>
        </w:rPr>
        <w:t>公务用车运行维护费预算0.00元，支出决算0.00元（去年同期0.00元），支出决算与预算相比持平；支出决算较上年持平。决算数与预算数持平的主要原因是本年度未用一般公共预算列支“公务用车运行维护费”经费。决算数较上年持平的主要原因是本年度未用一般公共预算列支三公经费。截至2022年12月31日，使用</w:t>
      </w:r>
      <w:r>
        <w:rPr>
          <w:rFonts w:hint="eastAsia" w:eastAsia="仿宋_GB2312"/>
          <w:sz w:val="30"/>
          <w:szCs w:val="30"/>
        </w:rPr>
        <w:t>一般公共预算</w:t>
      </w:r>
      <w:r>
        <w:rPr>
          <w:rFonts w:hint="eastAsia" w:ascii="仿宋_GB2312" w:eastAsia="仿宋_GB2312" w:cs="仿宋_GB2312"/>
          <w:sz w:val="30"/>
          <w:szCs w:val="30"/>
        </w:rPr>
        <w:t>财政拨款开支运行维护费的公务用车保有量为0辆。</w:t>
      </w:r>
    </w:p>
    <w:p>
      <w:pPr>
        <w:spacing w:line="600" w:lineRule="exact"/>
        <w:ind w:firstLine="600" w:firstLineChars="200"/>
        <w:jc w:val="both"/>
        <w:rPr>
          <w:rFonts w:eastAsia="仿宋_GB2312"/>
          <w:sz w:val="30"/>
          <w:szCs w:val="30"/>
        </w:rPr>
      </w:pPr>
      <w:r>
        <w:rPr>
          <w:rFonts w:hint="eastAsia" w:ascii="仿宋_GB2312" w:eastAsia="仿宋_GB2312" w:cs="仿宋_GB2312"/>
          <w:sz w:val="30"/>
          <w:szCs w:val="30"/>
        </w:rPr>
        <w:t>公务用车购置费预算0.00元，支出决算0.00元（去年同期0.00元），支出决算与预算相比持平；支出决算较上年持平。决算数与预算数持平的主要原因是本年度未用一般公共预算列支“公务用车购置”经费。决算数较上年持平的主要原因是本年度未用一般公共预算列支“公务用车购置”经费。2022年购置公务用车0辆。</w:t>
      </w:r>
    </w:p>
    <w:p>
      <w:pPr>
        <w:spacing w:line="600" w:lineRule="exact"/>
        <w:ind w:firstLine="645"/>
        <w:jc w:val="both"/>
        <w:rPr>
          <w:rFonts w:eastAsia="仿宋_GB2312" w:cs="仿宋_GB2312"/>
          <w:sz w:val="30"/>
          <w:szCs w:val="30"/>
        </w:rPr>
      </w:pPr>
      <w:r>
        <w:rPr>
          <w:rFonts w:hint="eastAsia" w:eastAsia="仿宋_GB2312"/>
          <w:sz w:val="30"/>
          <w:szCs w:val="30"/>
        </w:rPr>
        <w:t>3.</w:t>
      </w:r>
      <w:r>
        <w:rPr>
          <w:rFonts w:hint="eastAsia" w:ascii="仿宋_GB2312" w:eastAsia="仿宋_GB2312" w:cs="仿宋_GB2312"/>
          <w:sz w:val="30"/>
          <w:szCs w:val="30"/>
        </w:rPr>
        <w:t>公务接待费预算0.00元，支出决算0.00元（去年同期0.00元），支出决算与预算相比持平；支出决算较上年持平。</w:t>
      </w:r>
      <w:r>
        <w:rPr>
          <w:rFonts w:ascii="仿宋_GB2312" w:eastAsia="仿宋_GB2312" w:cs="仿宋_GB2312"/>
          <w:sz w:val="30"/>
          <w:szCs w:val="30"/>
        </w:rPr>
        <w:t>决算数与预算数持平的主要原因是本年度未用一般公共预算列支“公务接待”经费。决算数较上年持平的主要原因是本年度未用一般公共预算列支“公务接待”经费。2022</w:t>
      </w:r>
      <w:r>
        <w:rPr>
          <w:rFonts w:hint="eastAsia" w:ascii="仿宋_GB2312" w:eastAsia="仿宋_GB2312" w:cs="仿宋_GB2312"/>
          <w:sz w:val="30"/>
          <w:szCs w:val="30"/>
        </w:rPr>
        <w:t>年本单位国内公务接待0批</w:t>
      </w:r>
      <w:r>
        <w:rPr>
          <w:rFonts w:hint="eastAsia" w:eastAsia="仿宋_GB2312" w:cs="仿宋_GB2312"/>
          <w:sz w:val="30"/>
          <w:szCs w:val="30"/>
        </w:rPr>
        <w:t>次，</w:t>
      </w:r>
      <w:r>
        <w:rPr>
          <w:rFonts w:hint="eastAsia" w:ascii="仿宋_GB2312" w:eastAsia="仿宋_GB2312" w:cs="仿宋_GB2312"/>
          <w:sz w:val="30"/>
          <w:szCs w:val="30"/>
        </w:rPr>
        <w:t>0</w:t>
      </w:r>
      <w:r>
        <w:rPr>
          <w:rFonts w:hint="eastAsia" w:eastAsia="仿宋_GB2312" w:cs="仿宋_GB2312"/>
          <w:sz w:val="30"/>
          <w:szCs w:val="30"/>
        </w:rPr>
        <w:t>人次；其中，外事接待</w:t>
      </w:r>
      <w:r>
        <w:rPr>
          <w:rFonts w:hint="eastAsia" w:ascii="仿宋_GB2312" w:eastAsia="仿宋_GB2312" w:cs="仿宋_GB2312"/>
          <w:sz w:val="30"/>
          <w:szCs w:val="30"/>
        </w:rPr>
        <w:t>0</w:t>
      </w:r>
      <w:r>
        <w:rPr>
          <w:rFonts w:hint="eastAsia" w:eastAsia="仿宋_GB2312" w:cs="仿宋_GB2312"/>
          <w:sz w:val="30"/>
          <w:szCs w:val="30"/>
        </w:rPr>
        <w:t>批次，</w:t>
      </w:r>
      <w:r>
        <w:rPr>
          <w:rFonts w:hint="eastAsia" w:ascii="仿宋_GB2312" w:eastAsia="仿宋_GB2312" w:cs="仿宋_GB2312"/>
          <w:sz w:val="30"/>
          <w:szCs w:val="30"/>
        </w:rPr>
        <w:t>0</w:t>
      </w:r>
      <w:r>
        <w:rPr>
          <w:rFonts w:hint="eastAsia" w:eastAsia="仿宋_GB2312" w:cs="仿宋_GB2312"/>
          <w:sz w:val="30"/>
          <w:szCs w:val="30"/>
        </w:rPr>
        <w:t>人次。</w:t>
      </w:r>
    </w:p>
    <w:p>
      <w:pPr>
        <w:pStyle w:val="3"/>
        <w:spacing w:before="0" w:after="0" w:line="600" w:lineRule="exact"/>
        <w:ind w:firstLine="600" w:firstLineChars="200"/>
        <w:rPr>
          <w:rFonts w:ascii="黑体" w:hAnsi="黑体" w:eastAsia="黑体"/>
          <w:b w:val="0"/>
          <w:sz w:val="30"/>
          <w:szCs w:val="30"/>
        </w:rPr>
      </w:pPr>
      <w:bookmarkStart w:id="26" w:name="_Toc3411"/>
      <w:r>
        <w:rPr>
          <w:rFonts w:hint="eastAsia" w:ascii="黑体" w:hAnsi="黑体" w:eastAsia="黑体"/>
          <w:b w:val="0"/>
          <w:sz w:val="30"/>
          <w:szCs w:val="30"/>
        </w:rPr>
        <w:t>十、</w:t>
      </w:r>
      <w:r>
        <w:rPr>
          <w:rFonts w:ascii="黑体" w:hAnsi="黑体" w:eastAsia="黑体"/>
          <w:b w:val="0"/>
          <w:sz w:val="30"/>
          <w:szCs w:val="30"/>
        </w:rPr>
        <w:t>机关运行经费</w:t>
      </w:r>
      <w:r>
        <w:rPr>
          <w:rFonts w:hint="eastAsia" w:ascii="黑体" w:hAnsi="黑体" w:eastAsia="黑体"/>
          <w:b w:val="0"/>
          <w:sz w:val="30"/>
          <w:szCs w:val="30"/>
        </w:rPr>
        <w:t>支出情况</w:t>
      </w:r>
      <w:r>
        <w:rPr>
          <w:rFonts w:hint="eastAsia" w:ascii="黑体" w:hAnsi="黑体" w:eastAsia="黑体"/>
          <w:b w:val="0"/>
          <w:bCs w:val="0"/>
          <w:sz w:val="30"/>
          <w:szCs w:val="30"/>
        </w:rPr>
        <w:t>说明</w:t>
      </w:r>
      <w:bookmarkEnd w:id="26"/>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天津市津南区市场监督管理局12315投诉举报中心2022年度无机关运行经费。</w:t>
      </w:r>
    </w:p>
    <w:p>
      <w:pPr>
        <w:pStyle w:val="3"/>
        <w:spacing w:before="0" w:after="0" w:line="600" w:lineRule="exact"/>
        <w:ind w:firstLine="600" w:firstLineChars="200"/>
        <w:rPr>
          <w:rFonts w:ascii="黑体" w:hAnsi="黑体" w:eastAsia="黑体"/>
          <w:b w:val="0"/>
          <w:sz w:val="30"/>
          <w:szCs w:val="30"/>
        </w:rPr>
      </w:pPr>
      <w:bookmarkStart w:id="27" w:name="_Toc31102"/>
      <w:r>
        <w:rPr>
          <w:rFonts w:hint="eastAsia" w:ascii="黑体" w:hAnsi="黑体" w:eastAsia="黑体"/>
          <w:b w:val="0"/>
          <w:sz w:val="30"/>
          <w:szCs w:val="30"/>
        </w:rPr>
        <w:t>十一、</w:t>
      </w:r>
      <w:r>
        <w:rPr>
          <w:rFonts w:ascii="黑体" w:hAnsi="黑体" w:eastAsia="黑体"/>
          <w:b w:val="0"/>
          <w:sz w:val="30"/>
          <w:szCs w:val="30"/>
        </w:rPr>
        <w:t>政府采购</w:t>
      </w:r>
      <w:r>
        <w:rPr>
          <w:rFonts w:hint="eastAsia" w:ascii="黑体" w:hAnsi="黑体" w:eastAsia="黑体"/>
          <w:b w:val="0"/>
          <w:sz w:val="30"/>
          <w:szCs w:val="30"/>
        </w:rPr>
        <w:t>支出</w:t>
      </w:r>
      <w:r>
        <w:rPr>
          <w:rFonts w:ascii="黑体" w:hAnsi="黑体" w:eastAsia="黑体"/>
          <w:b w:val="0"/>
          <w:sz w:val="30"/>
          <w:szCs w:val="30"/>
        </w:rPr>
        <w:t>情况</w:t>
      </w:r>
      <w:r>
        <w:rPr>
          <w:rFonts w:hint="eastAsia" w:ascii="黑体" w:hAnsi="黑体" w:eastAsia="黑体"/>
          <w:b w:val="0"/>
          <w:bCs w:val="0"/>
          <w:sz w:val="30"/>
          <w:szCs w:val="30"/>
        </w:rPr>
        <w:t>说明</w:t>
      </w:r>
      <w:bookmarkEnd w:id="27"/>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天津市津南区市场监督管理局12315投诉举报中心2022年度无政府采购支出。</w:t>
      </w:r>
    </w:p>
    <w:p>
      <w:pPr>
        <w:pStyle w:val="3"/>
        <w:spacing w:before="0" w:after="0" w:line="600" w:lineRule="exact"/>
        <w:ind w:firstLine="600" w:firstLineChars="200"/>
        <w:rPr>
          <w:rFonts w:ascii="黑体" w:hAnsi="黑体" w:eastAsia="黑体"/>
          <w:b w:val="0"/>
          <w:sz w:val="30"/>
          <w:szCs w:val="30"/>
        </w:rPr>
      </w:pPr>
      <w:bookmarkStart w:id="28" w:name="_Toc23709"/>
      <w:r>
        <w:rPr>
          <w:rFonts w:hint="eastAsia" w:ascii="黑体" w:hAnsi="黑体" w:eastAsia="黑体"/>
          <w:b w:val="0"/>
          <w:sz w:val="30"/>
          <w:szCs w:val="30"/>
        </w:rPr>
        <w:t>十二、国有资产占有使用情况</w:t>
      </w:r>
      <w:r>
        <w:rPr>
          <w:rFonts w:hint="eastAsia" w:ascii="黑体" w:hAnsi="黑体" w:eastAsia="黑体"/>
          <w:b w:val="0"/>
          <w:bCs w:val="0"/>
          <w:sz w:val="30"/>
          <w:szCs w:val="30"/>
        </w:rPr>
        <w:t>说明</w:t>
      </w:r>
      <w:bookmarkEnd w:id="28"/>
    </w:p>
    <w:p>
      <w:pPr>
        <w:spacing w:line="600" w:lineRule="exact"/>
        <w:ind w:firstLine="645"/>
        <w:jc w:val="both"/>
        <w:rPr>
          <w:rFonts w:ascii="仿宋_GB2312" w:eastAsia="仿宋_GB2312" w:cs="仿宋_GB2312"/>
          <w:sz w:val="30"/>
          <w:szCs w:val="30"/>
        </w:rPr>
      </w:pPr>
      <w:r>
        <w:rPr>
          <w:rFonts w:hint="eastAsia" w:ascii="仿宋_GB2312" w:eastAsia="仿宋_GB2312" w:cs="仿宋_GB2312"/>
          <w:sz w:val="30"/>
          <w:szCs w:val="30"/>
        </w:rPr>
        <w:t>天津市津南区市场监督管理局12315投诉举报中心2022年度无国有资产占有使用情况。</w:t>
      </w:r>
    </w:p>
    <w:p>
      <w:pPr>
        <w:pStyle w:val="3"/>
        <w:spacing w:before="0" w:after="0" w:line="540" w:lineRule="exact"/>
        <w:ind w:firstLine="600" w:firstLineChars="200"/>
        <w:rPr>
          <w:rFonts w:ascii="黑体" w:hAnsi="黑体" w:eastAsia="黑体"/>
          <w:b w:val="0"/>
          <w:bCs w:val="0"/>
          <w:sz w:val="30"/>
          <w:szCs w:val="30"/>
        </w:rPr>
      </w:pPr>
      <w:bookmarkStart w:id="29" w:name="_Toc11467"/>
      <w:r>
        <w:rPr>
          <w:rFonts w:hint="eastAsia" w:ascii="黑体" w:hAnsi="黑体" w:eastAsia="黑体"/>
          <w:b w:val="0"/>
          <w:bCs w:val="0"/>
          <w:sz w:val="30"/>
          <w:szCs w:val="30"/>
        </w:rPr>
        <w:t>十三、预算绩效情况说明</w:t>
      </w:r>
      <w:bookmarkEnd w:id="29"/>
    </w:p>
    <w:p>
      <w:pPr>
        <w:spacing w:line="600" w:lineRule="exact"/>
        <w:ind w:firstLine="600" w:firstLineChars="200"/>
        <w:jc w:val="both"/>
        <w:rPr>
          <w:rFonts w:eastAsia="仿宋_GB2312"/>
          <w:sz w:val="30"/>
          <w:szCs w:val="30"/>
        </w:rPr>
      </w:pPr>
      <w:r>
        <w:rPr>
          <w:rFonts w:eastAsia="仿宋_GB2312"/>
          <w:sz w:val="30"/>
          <w:szCs w:val="30"/>
        </w:rPr>
        <w:t>根据预算绩效管理要求，</w:t>
      </w:r>
      <w:r>
        <w:rPr>
          <w:rFonts w:hint="eastAsia" w:ascii="仿宋_GB2312" w:eastAsia="仿宋_GB2312" w:cs="仿宋_GB2312"/>
          <w:sz w:val="30"/>
          <w:szCs w:val="30"/>
        </w:rPr>
        <w:t>天津市津南区市场监督管理局12315投诉举报中心</w:t>
      </w:r>
      <w:r>
        <w:rPr>
          <w:rFonts w:hint="eastAsia" w:eastAsia="楷体"/>
          <w:sz w:val="30"/>
          <w:szCs w:val="30"/>
        </w:rPr>
        <w:t>2022</w:t>
      </w:r>
      <w:r>
        <w:rPr>
          <w:rFonts w:hint="eastAsia" w:ascii="仿宋_GB2312" w:eastAsia="仿宋_GB2312" w:cs="仿宋_GB2312"/>
          <w:sz w:val="30"/>
          <w:szCs w:val="30"/>
        </w:rPr>
        <w:t>年度已</w:t>
      </w:r>
      <w:r>
        <w:rPr>
          <w:rFonts w:hint="eastAsia" w:eastAsia="仿宋_GB2312"/>
          <w:sz w:val="30"/>
          <w:szCs w:val="30"/>
        </w:rPr>
        <w:t>对</w:t>
      </w:r>
      <w:r>
        <w:rPr>
          <w:rFonts w:eastAsia="仿宋_GB2312"/>
          <w:sz w:val="30"/>
          <w:szCs w:val="30"/>
        </w:rPr>
        <w:t>0个</w:t>
      </w:r>
      <w:r>
        <w:rPr>
          <w:rFonts w:hint="eastAsia" w:eastAsia="仿宋_GB2312"/>
          <w:sz w:val="30"/>
          <w:szCs w:val="30"/>
        </w:rPr>
        <w:t>区级</w:t>
      </w:r>
      <w:r>
        <w:rPr>
          <w:rFonts w:eastAsia="仿宋_GB2312"/>
          <w:sz w:val="30"/>
          <w:szCs w:val="30"/>
        </w:rPr>
        <w:t>项目开展绩效自评，涉及金额0元</w:t>
      </w:r>
      <w:r>
        <w:rPr>
          <w:rFonts w:hint="eastAsia" w:eastAsia="仿宋_GB2312"/>
          <w:sz w:val="30"/>
          <w:szCs w:val="30"/>
        </w:rPr>
        <w:t>，自评结果已随部门决算一并公开；已对</w:t>
      </w:r>
      <w:r>
        <w:rPr>
          <w:rFonts w:eastAsia="仿宋_GB2312"/>
          <w:sz w:val="30"/>
          <w:szCs w:val="30"/>
        </w:rPr>
        <w:t>0个项目</w:t>
      </w:r>
      <w:r>
        <w:rPr>
          <w:rFonts w:hint="eastAsia" w:eastAsia="仿宋_GB2312"/>
          <w:sz w:val="30"/>
          <w:szCs w:val="30"/>
        </w:rPr>
        <w:t>开展部门评价</w:t>
      </w:r>
      <w:r>
        <w:rPr>
          <w:rFonts w:eastAsia="仿宋_GB2312"/>
          <w:sz w:val="30"/>
          <w:szCs w:val="30"/>
        </w:rPr>
        <w:t>，涉及金额0元</w:t>
      </w:r>
      <w:r>
        <w:rPr>
          <w:rFonts w:hint="eastAsia" w:eastAsia="仿宋_GB2312"/>
          <w:sz w:val="30"/>
          <w:szCs w:val="30"/>
        </w:rPr>
        <w:t>。</w:t>
      </w:r>
    </w:p>
    <w:p>
      <w:pPr>
        <w:spacing w:line="600" w:lineRule="exact"/>
        <w:ind w:firstLine="600"/>
        <w:jc w:val="both"/>
        <w:rPr>
          <w:rFonts w:eastAsia="仿宋_GB2312"/>
          <w:sz w:val="30"/>
          <w:szCs w:val="30"/>
        </w:rPr>
      </w:pPr>
      <w:r>
        <w:rPr>
          <w:rFonts w:hint="eastAsia" w:eastAsia="仿宋_GB2312"/>
          <w:sz w:val="30"/>
          <w:szCs w:val="30"/>
        </w:rPr>
        <w:t>本部门2022年度没有项目支出，无需开展绩效自评。</w:t>
      </w:r>
    </w:p>
    <w:p>
      <w:pPr>
        <w:pStyle w:val="3"/>
        <w:spacing w:before="0" w:after="0" w:line="600" w:lineRule="exact"/>
        <w:ind w:firstLine="600" w:firstLineChars="200"/>
        <w:rPr>
          <w:rFonts w:ascii="Times New Roman" w:hAnsi="Times New Roman" w:eastAsia="黑体"/>
          <w:b w:val="0"/>
          <w:sz w:val="30"/>
          <w:szCs w:val="30"/>
        </w:rPr>
      </w:pPr>
      <w:bookmarkStart w:id="30" w:name="_Toc15949"/>
      <w:r>
        <w:rPr>
          <w:rFonts w:hint="eastAsia" w:ascii="Times New Roman" w:hAnsi="Times New Roman" w:eastAsia="黑体"/>
          <w:b w:val="0"/>
          <w:sz w:val="30"/>
          <w:szCs w:val="30"/>
        </w:rPr>
        <w:t>十四、</w:t>
      </w:r>
      <w:r>
        <w:rPr>
          <w:rFonts w:ascii="Times New Roman" w:hAnsi="Times New Roman" w:eastAsia="黑体"/>
          <w:b w:val="0"/>
          <w:sz w:val="30"/>
          <w:szCs w:val="30"/>
        </w:rPr>
        <w:t>教育、医疗卫生、社会保障和就业、住房保障、涉农补贴等民生支出情况</w:t>
      </w:r>
      <w:r>
        <w:rPr>
          <w:rFonts w:hint="eastAsia" w:ascii="黑体" w:hAnsi="黑体" w:eastAsia="黑体"/>
          <w:b w:val="0"/>
          <w:bCs w:val="0"/>
          <w:sz w:val="30"/>
          <w:szCs w:val="30"/>
        </w:rPr>
        <w:t>说明</w:t>
      </w:r>
      <w:bookmarkEnd w:id="30"/>
    </w:p>
    <w:p>
      <w:pPr>
        <w:spacing w:line="600" w:lineRule="exact"/>
        <w:ind w:firstLine="645"/>
        <w:jc w:val="both"/>
        <w:rPr>
          <w:rFonts w:ascii="仿宋_GB2312" w:eastAsia="仿宋_GB2312" w:cs="仿宋_GB2312"/>
          <w:sz w:val="30"/>
          <w:szCs w:val="30"/>
        </w:rPr>
        <w:sectPr>
          <w:pgSz w:w="11906" w:h="16838"/>
          <w:pgMar w:top="1440" w:right="1800" w:bottom="1440" w:left="1800" w:header="851" w:footer="992" w:gutter="0"/>
          <w:cols w:space="720" w:num="1"/>
          <w:docGrid w:type="lines" w:linePitch="312" w:charSpace="0"/>
        </w:sectPr>
      </w:pPr>
      <w:r>
        <w:rPr>
          <w:rFonts w:hint="eastAsia" w:ascii="仿宋_GB2312" w:eastAsia="仿宋_GB2312" w:cs="仿宋_GB2312"/>
          <w:sz w:val="30"/>
          <w:szCs w:val="30"/>
        </w:rPr>
        <w:t>天津市津南区市场监督管理局12315投诉举报中心不属于乡、镇、街级单位，不涉及公开2022年度教育、医疗卫生、社会保障和就业、住房保障、涉农补贴等民生支出情况。</w:t>
      </w:r>
    </w:p>
    <w:p>
      <w:pPr>
        <w:pStyle w:val="2"/>
        <w:spacing w:before="0" w:after="0" w:line="600" w:lineRule="exact"/>
        <w:jc w:val="center"/>
        <w:rPr>
          <w:rFonts w:ascii="方正小标宋简体" w:hAnsi="方正小标宋简体" w:eastAsia="方正小标宋简体" w:cs="方正小标宋简体"/>
          <w:b w:val="0"/>
        </w:rPr>
      </w:pPr>
      <w:bookmarkStart w:id="31" w:name="_Toc30612"/>
      <w:r>
        <w:rPr>
          <w:rFonts w:hint="eastAsia" w:ascii="方正小标宋简体" w:hAnsi="方正小标宋简体" w:eastAsia="方正小标宋简体" w:cs="方正小标宋简体"/>
          <w:b w:val="0"/>
        </w:rPr>
        <w:t>第四部分  名词解释</w:t>
      </w:r>
      <w:bookmarkEnd w:id="31"/>
    </w:p>
    <w:p>
      <w:pPr>
        <w:spacing w:line="600" w:lineRule="exact"/>
        <w:ind w:firstLine="600" w:firstLineChars="200"/>
        <w:rPr>
          <w:rFonts w:ascii="仿宋_GB2312" w:eastAsia="仿宋_GB2312"/>
          <w:sz w:val="30"/>
          <w:szCs w:val="30"/>
        </w:rPr>
      </w:pPr>
    </w:p>
    <w:p>
      <w:pPr>
        <w:numPr>
          <w:ilvl w:val="0"/>
          <w:numId w:val="3"/>
        </w:numPr>
        <w:spacing w:line="600" w:lineRule="exact"/>
        <w:ind w:firstLine="600" w:firstLineChars="200"/>
        <w:rPr>
          <w:rFonts w:eastAsia="仿宋_GB2312"/>
          <w:sz w:val="30"/>
          <w:szCs w:val="30"/>
        </w:rPr>
      </w:pPr>
      <w:r>
        <w:rPr>
          <w:rFonts w:hint="eastAsia"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firstLineChars="200"/>
        <w:rPr>
          <w:rFonts w:eastAsia="仿宋_GB2312"/>
          <w:sz w:val="30"/>
          <w:szCs w:val="30"/>
          <w:highlight w:val="yellow"/>
        </w:rPr>
      </w:pPr>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A6DC5"/>
    <w:multiLevelType w:val="singleLevel"/>
    <w:tmpl w:val="403A6DC5"/>
    <w:lvl w:ilvl="0" w:tentative="0">
      <w:start w:val="12"/>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jAyM2UwZTdkMWIwZTBhNjFjZmUwY2I3YjE0MGMifQ=="/>
  </w:docVars>
  <w:rsids>
    <w:rsidRoot w:val="00172A27"/>
    <w:rsid w:val="00015911"/>
    <w:rsid w:val="00016AD6"/>
    <w:rsid w:val="000423B8"/>
    <w:rsid w:val="00046E1C"/>
    <w:rsid w:val="00053901"/>
    <w:rsid w:val="000864BF"/>
    <w:rsid w:val="00092AB8"/>
    <w:rsid w:val="000A1A0D"/>
    <w:rsid w:val="000B129A"/>
    <w:rsid w:val="000B4E39"/>
    <w:rsid w:val="00112C55"/>
    <w:rsid w:val="001179AF"/>
    <w:rsid w:val="0012059C"/>
    <w:rsid w:val="00124993"/>
    <w:rsid w:val="0012531C"/>
    <w:rsid w:val="00126E2D"/>
    <w:rsid w:val="00172A27"/>
    <w:rsid w:val="001829A0"/>
    <w:rsid w:val="00186ED8"/>
    <w:rsid w:val="001974AC"/>
    <w:rsid w:val="001A5732"/>
    <w:rsid w:val="001F61CD"/>
    <w:rsid w:val="00215444"/>
    <w:rsid w:val="00215EBD"/>
    <w:rsid w:val="00241712"/>
    <w:rsid w:val="002532F7"/>
    <w:rsid w:val="002566ED"/>
    <w:rsid w:val="00257643"/>
    <w:rsid w:val="0027583A"/>
    <w:rsid w:val="002912A7"/>
    <w:rsid w:val="002D2BBE"/>
    <w:rsid w:val="002E091E"/>
    <w:rsid w:val="002F00A9"/>
    <w:rsid w:val="003365DD"/>
    <w:rsid w:val="00352CF7"/>
    <w:rsid w:val="003714D5"/>
    <w:rsid w:val="00381206"/>
    <w:rsid w:val="0038216E"/>
    <w:rsid w:val="003942CD"/>
    <w:rsid w:val="003A4529"/>
    <w:rsid w:val="004040D1"/>
    <w:rsid w:val="00432D37"/>
    <w:rsid w:val="0044208E"/>
    <w:rsid w:val="00464079"/>
    <w:rsid w:val="00465602"/>
    <w:rsid w:val="0047635D"/>
    <w:rsid w:val="004918AD"/>
    <w:rsid w:val="004A1361"/>
    <w:rsid w:val="0050332F"/>
    <w:rsid w:val="00532C4C"/>
    <w:rsid w:val="00570354"/>
    <w:rsid w:val="005B60DB"/>
    <w:rsid w:val="005C22AF"/>
    <w:rsid w:val="005F2510"/>
    <w:rsid w:val="006162E9"/>
    <w:rsid w:val="00676A5E"/>
    <w:rsid w:val="006A54BF"/>
    <w:rsid w:val="006C58F6"/>
    <w:rsid w:val="006D05B2"/>
    <w:rsid w:val="00715738"/>
    <w:rsid w:val="00722412"/>
    <w:rsid w:val="00727434"/>
    <w:rsid w:val="00734D29"/>
    <w:rsid w:val="0076364F"/>
    <w:rsid w:val="0077787E"/>
    <w:rsid w:val="0079348B"/>
    <w:rsid w:val="007A3491"/>
    <w:rsid w:val="007B4B58"/>
    <w:rsid w:val="007B78DD"/>
    <w:rsid w:val="007F3679"/>
    <w:rsid w:val="007F448B"/>
    <w:rsid w:val="007F718E"/>
    <w:rsid w:val="00801B2B"/>
    <w:rsid w:val="0080287C"/>
    <w:rsid w:val="00803B43"/>
    <w:rsid w:val="00817AE2"/>
    <w:rsid w:val="008405C5"/>
    <w:rsid w:val="0085671E"/>
    <w:rsid w:val="00862A57"/>
    <w:rsid w:val="00876FA4"/>
    <w:rsid w:val="00893EAC"/>
    <w:rsid w:val="008A059D"/>
    <w:rsid w:val="008A6092"/>
    <w:rsid w:val="008C19C3"/>
    <w:rsid w:val="008C3474"/>
    <w:rsid w:val="008C677C"/>
    <w:rsid w:val="008D2605"/>
    <w:rsid w:val="008D64CE"/>
    <w:rsid w:val="008E4334"/>
    <w:rsid w:val="009142B8"/>
    <w:rsid w:val="00915276"/>
    <w:rsid w:val="00936468"/>
    <w:rsid w:val="009371C3"/>
    <w:rsid w:val="00977064"/>
    <w:rsid w:val="0098387F"/>
    <w:rsid w:val="009D4654"/>
    <w:rsid w:val="009E0EF5"/>
    <w:rsid w:val="009F18E1"/>
    <w:rsid w:val="009F712F"/>
    <w:rsid w:val="00A12C57"/>
    <w:rsid w:val="00A24D14"/>
    <w:rsid w:val="00A557F8"/>
    <w:rsid w:val="00AA4B7A"/>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81609"/>
    <w:rsid w:val="00DA3A83"/>
    <w:rsid w:val="00DB0D2B"/>
    <w:rsid w:val="00DC0D31"/>
    <w:rsid w:val="00E124DF"/>
    <w:rsid w:val="00E21DD7"/>
    <w:rsid w:val="00E4337C"/>
    <w:rsid w:val="00E56EBF"/>
    <w:rsid w:val="00E56F06"/>
    <w:rsid w:val="00E576CC"/>
    <w:rsid w:val="00E8795B"/>
    <w:rsid w:val="00EB277E"/>
    <w:rsid w:val="00EB7B3B"/>
    <w:rsid w:val="00EF7D8C"/>
    <w:rsid w:val="00F01373"/>
    <w:rsid w:val="00F14DB8"/>
    <w:rsid w:val="00F3454D"/>
    <w:rsid w:val="00F3737B"/>
    <w:rsid w:val="00F6315A"/>
    <w:rsid w:val="00FF6CDB"/>
    <w:rsid w:val="01582EB3"/>
    <w:rsid w:val="01670A75"/>
    <w:rsid w:val="01D92F4B"/>
    <w:rsid w:val="021D09AE"/>
    <w:rsid w:val="02317CA1"/>
    <w:rsid w:val="02C26D17"/>
    <w:rsid w:val="032B2B72"/>
    <w:rsid w:val="03633F1C"/>
    <w:rsid w:val="03877CF5"/>
    <w:rsid w:val="03971CD2"/>
    <w:rsid w:val="03997587"/>
    <w:rsid w:val="03A73B20"/>
    <w:rsid w:val="04D27C6A"/>
    <w:rsid w:val="04DA6E85"/>
    <w:rsid w:val="054E0E8D"/>
    <w:rsid w:val="05901C8F"/>
    <w:rsid w:val="059D199E"/>
    <w:rsid w:val="06516202"/>
    <w:rsid w:val="065A73D7"/>
    <w:rsid w:val="068D56CD"/>
    <w:rsid w:val="068F1656"/>
    <w:rsid w:val="06CE3C39"/>
    <w:rsid w:val="070745F4"/>
    <w:rsid w:val="0750320D"/>
    <w:rsid w:val="080C427F"/>
    <w:rsid w:val="08496DC5"/>
    <w:rsid w:val="08601190"/>
    <w:rsid w:val="08610C17"/>
    <w:rsid w:val="08AB76E6"/>
    <w:rsid w:val="08B17C7F"/>
    <w:rsid w:val="09794F69"/>
    <w:rsid w:val="09BC7107"/>
    <w:rsid w:val="09C86481"/>
    <w:rsid w:val="09CD6F6A"/>
    <w:rsid w:val="0ABD2EA9"/>
    <w:rsid w:val="0AF02B7A"/>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2946208"/>
    <w:rsid w:val="135D03D9"/>
    <w:rsid w:val="13A17616"/>
    <w:rsid w:val="144F5DF3"/>
    <w:rsid w:val="149264E6"/>
    <w:rsid w:val="14A04A70"/>
    <w:rsid w:val="14F31DE2"/>
    <w:rsid w:val="15127621"/>
    <w:rsid w:val="156A2C3E"/>
    <w:rsid w:val="157A3189"/>
    <w:rsid w:val="15E37C52"/>
    <w:rsid w:val="169221B4"/>
    <w:rsid w:val="16EA0A1B"/>
    <w:rsid w:val="17A617C9"/>
    <w:rsid w:val="181D0AF6"/>
    <w:rsid w:val="18E12A26"/>
    <w:rsid w:val="1A2F34CF"/>
    <w:rsid w:val="1B0B6786"/>
    <w:rsid w:val="1BCC4E67"/>
    <w:rsid w:val="1BE24A05"/>
    <w:rsid w:val="1C12375B"/>
    <w:rsid w:val="1C2E1750"/>
    <w:rsid w:val="1C8A5079"/>
    <w:rsid w:val="1D520C3E"/>
    <w:rsid w:val="1DA340AC"/>
    <w:rsid w:val="1E2F4E67"/>
    <w:rsid w:val="1E506972"/>
    <w:rsid w:val="1E8146FC"/>
    <w:rsid w:val="1E9B145E"/>
    <w:rsid w:val="1EC8639D"/>
    <w:rsid w:val="1EC97805"/>
    <w:rsid w:val="1EFB07B0"/>
    <w:rsid w:val="1F6101B7"/>
    <w:rsid w:val="1FABD71D"/>
    <w:rsid w:val="20505929"/>
    <w:rsid w:val="2093268B"/>
    <w:rsid w:val="228770CD"/>
    <w:rsid w:val="22A211C8"/>
    <w:rsid w:val="22F75B35"/>
    <w:rsid w:val="236906A5"/>
    <w:rsid w:val="23BA0D09"/>
    <w:rsid w:val="24593BF8"/>
    <w:rsid w:val="24BA0C0F"/>
    <w:rsid w:val="250B61A3"/>
    <w:rsid w:val="259F5563"/>
    <w:rsid w:val="25A662F9"/>
    <w:rsid w:val="25AD749C"/>
    <w:rsid w:val="25AE4162"/>
    <w:rsid w:val="261B2634"/>
    <w:rsid w:val="26872640"/>
    <w:rsid w:val="26C653DA"/>
    <w:rsid w:val="26EC5D21"/>
    <w:rsid w:val="27615821"/>
    <w:rsid w:val="27A13E6E"/>
    <w:rsid w:val="27A644E5"/>
    <w:rsid w:val="28863E70"/>
    <w:rsid w:val="288A6337"/>
    <w:rsid w:val="28994B2A"/>
    <w:rsid w:val="28CD1B01"/>
    <w:rsid w:val="290441D9"/>
    <w:rsid w:val="292E4395"/>
    <w:rsid w:val="29867FF5"/>
    <w:rsid w:val="29D72E63"/>
    <w:rsid w:val="29F01BC9"/>
    <w:rsid w:val="2A1248CB"/>
    <w:rsid w:val="2A24302B"/>
    <w:rsid w:val="2A7456B8"/>
    <w:rsid w:val="2B330D0F"/>
    <w:rsid w:val="2C3B01C9"/>
    <w:rsid w:val="2CB024EC"/>
    <w:rsid w:val="2D2B1A30"/>
    <w:rsid w:val="2D5BB7F4"/>
    <w:rsid w:val="2DA87FE3"/>
    <w:rsid w:val="2DAB1C1C"/>
    <w:rsid w:val="2E6455AA"/>
    <w:rsid w:val="2E6E5875"/>
    <w:rsid w:val="2EAA1E45"/>
    <w:rsid w:val="2EBA2F30"/>
    <w:rsid w:val="2F8573F4"/>
    <w:rsid w:val="2FFC60D8"/>
    <w:rsid w:val="2FFD4B55"/>
    <w:rsid w:val="31F32BCC"/>
    <w:rsid w:val="322D5537"/>
    <w:rsid w:val="32500429"/>
    <w:rsid w:val="32B00783"/>
    <w:rsid w:val="33987EA4"/>
    <w:rsid w:val="33E55770"/>
    <w:rsid w:val="342060B3"/>
    <w:rsid w:val="343041E9"/>
    <w:rsid w:val="343E2C5A"/>
    <w:rsid w:val="34E404B6"/>
    <w:rsid w:val="353874A5"/>
    <w:rsid w:val="356C4B0F"/>
    <w:rsid w:val="357756D0"/>
    <w:rsid w:val="35F83418"/>
    <w:rsid w:val="35FA3DA7"/>
    <w:rsid w:val="36433E0B"/>
    <w:rsid w:val="3685618C"/>
    <w:rsid w:val="369B027F"/>
    <w:rsid w:val="36DF7E92"/>
    <w:rsid w:val="37210A48"/>
    <w:rsid w:val="37C605ED"/>
    <w:rsid w:val="37EC07D4"/>
    <w:rsid w:val="39054161"/>
    <w:rsid w:val="395157DA"/>
    <w:rsid w:val="39D81DB4"/>
    <w:rsid w:val="39DD1F63"/>
    <w:rsid w:val="3A875795"/>
    <w:rsid w:val="3B3A6848"/>
    <w:rsid w:val="3B5C22DF"/>
    <w:rsid w:val="3C7702D9"/>
    <w:rsid w:val="3C822FFF"/>
    <w:rsid w:val="3C987755"/>
    <w:rsid w:val="3D1712DB"/>
    <w:rsid w:val="3D6E4CFB"/>
    <w:rsid w:val="3DB948D9"/>
    <w:rsid w:val="3DED19CC"/>
    <w:rsid w:val="3E551C1D"/>
    <w:rsid w:val="3E6D1878"/>
    <w:rsid w:val="3EAA16DD"/>
    <w:rsid w:val="3EE7006C"/>
    <w:rsid w:val="3F043070"/>
    <w:rsid w:val="3F397145"/>
    <w:rsid w:val="419141BF"/>
    <w:rsid w:val="41C515FE"/>
    <w:rsid w:val="41F26234"/>
    <w:rsid w:val="42955F29"/>
    <w:rsid w:val="42C52D12"/>
    <w:rsid w:val="42EA0B90"/>
    <w:rsid w:val="436E1D48"/>
    <w:rsid w:val="442221E6"/>
    <w:rsid w:val="44FC0AD9"/>
    <w:rsid w:val="45C66F5A"/>
    <w:rsid w:val="464311BD"/>
    <w:rsid w:val="46762869"/>
    <w:rsid w:val="46800ECA"/>
    <w:rsid w:val="46D65DFF"/>
    <w:rsid w:val="46ED43C8"/>
    <w:rsid w:val="47655748"/>
    <w:rsid w:val="481F5D29"/>
    <w:rsid w:val="485B08F6"/>
    <w:rsid w:val="48E65506"/>
    <w:rsid w:val="49A95325"/>
    <w:rsid w:val="49C60D15"/>
    <w:rsid w:val="49EE18E7"/>
    <w:rsid w:val="4C72500A"/>
    <w:rsid w:val="4E470451"/>
    <w:rsid w:val="4E5A4E46"/>
    <w:rsid w:val="4E776E4B"/>
    <w:rsid w:val="4EBE5040"/>
    <w:rsid w:val="4EC635D4"/>
    <w:rsid w:val="4EF42DDE"/>
    <w:rsid w:val="4F021DFD"/>
    <w:rsid w:val="4F4E29DD"/>
    <w:rsid w:val="4FA93361"/>
    <w:rsid w:val="50491464"/>
    <w:rsid w:val="50EB4351"/>
    <w:rsid w:val="513E3E14"/>
    <w:rsid w:val="516E5D30"/>
    <w:rsid w:val="519A61B8"/>
    <w:rsid w:val="529328AD"/>
    <w:rsid w:val="52A26688"/>
    <w:rsid w:val="52C3106D"/>
    <w:rsid w:val="532D1C0A"/>
    <w:rsid w:val="53583E88"/>
    <w:rsid w:val="54D72BF4"/>
    <w:rsid w:val="54F6709D"/>
    <w:rsid w:val="566138B1"/>
    <w:rsid w:val="56832AE6"/>
    <w:rsid w:val="56F540E8"/>
    <w:rsid w:val="576B6402"/>
    <w:rsid w:val="57814C22"/>
    <w:rsid w:val="579303E0"/>
    <w:rsid w:val="57BD125F"/>
    <w:rsid w:val="57DB4D69"/>
    <w:rsid w:val="58CB2B06"/>
    <w:rsid w:val="59005937"/>
    <w:rsid w:val="596D5572"/>
    <w:rsid w:val="59DC23BD"/>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B56D9"/>
    <w:rsid w:val="5E7F01AB"/>
    <w:rsid w:val="5E910416"/>
    <w:rsid w:val="5FC652D8"/>
    <w:rsid w:val="6043407E"/>
    <w:rsid w:val="605F74B4"/>
    <w:rsid w:val="607B68FE"/>
    <w:rsid w:val="617007B5"/>
    <w:rsid w:val="61E56E86"/>
    <w:rsid w:val="621870FC"/>
    <w:rsid w:val="62DA2A3D"/>
    <w:rsid w:val="637B3A8F"/>
    <w:rsid w:val="63A65E89"/>
    <w:rsid w:val="65001203"/>
    <w:rsid w:val="65737FA2"/>
    <w:rsid w:val="65D920E1"/>
    <w:rsid w:val="65D9655D"/>
    <w:rsid w:val="6637149C"/>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68529E"/>
    <w:rsid w:val="6FB410D2"/>
    <w:rsid w:val="6FC54BEF"/>
    <w:rsid w:val="706921FA"/>
    <w:rsid w:val="70B22C23"/>
    <w:rsid w:val="71411B5D"/>
    <w:rsid w:val="719931E1"/>
    <w:rsid w:val="7240055A"/>
    <w:rsid w:val="728E0BA0"/>
    <w:rsid w:val="73134A0E"/>
    <w:rsid w:val="736064A7"/>
    <w:rsid w:val="736159D6"/>
    <w:rsid w:val="73F71039"/>
    <w:rsid w:val="73F91498"/>
    <w:rsid w:val="74D5337C"/>
    <w:rsid w:val="74D975E2"/>
    <w:rsid w:val="756B7D6A"/>
    <w:rsid w:val="757C417D"/>
    <w:rsid w:val="759455DB"/>
    <w:rsid w:val="75D160D9"/>
    <w:rsid w:val="762914BB"/>
    <w:rsid w:val="76685F07"/>
    <w:rsid w:val="773A73AB"/>
    <w:rsid w:val="775767BB"/>
    <w:rsid w:val="7779068F"/>
    <w:rsid w:val="77B92148"/>
    <w:rsid w:val="77FFE39F"/>
    <w:rsid w:val="781B1736"/>
    <w:rsid w:val="78F051A8"/>
    <w:rsid w:val="79EF18A6"/>
    <w:rsid w:val="7A903B21"/>
    <w:rsid w:val="7AC3080E"/>
    <w:rsid w:val="7CF2196B"/>
    <w:rsid w:val="7D2E7430"/>
    <w:rsid w:val="7D993EC8"/>
    <w:rsid w:val="7D9A013D"/>
    <w:rsid w:val="7E9160CF"/>
    <w:rsid w:val="7EC677D3"/>
    <w:rsid w:val="7FDC2489"/>
    <w:rsid w:val="7FFDEEFD"/>
    <w:rsid w:val="BBFEB28B"/>
    <w:rsid w:val="D74FDF30"/>
    <w:rsid w:val="DEAEE68D"/>
    <w:rsid w:val="EE3AF741"/>
    <w:rsid w:val="F7F97754"/>
    <w:rsid w:val="FB7FC3E7"/>
    <w:rsid w:val="FF3F61B6"/>
    <w:rsid w:val="FFC7E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3">
    <w:name w:val="Hyperlink"/>
    <w:unhideWhenUsed/>
    <w:qFormat/>
    <w:uiPriority w:val="99"/>
    <w:rPr>
      <w:color w:val="0000FF"/>
      <w:u w:val="single"/>
    </w:rPr>
  </w:style>
  <w:style w:type="character" w:customStyle="1" w:styleId="14">
    <w:name w:val="标题 1 字符"/>
    <w:link w:val="2"/>
    <w:qFormat/>
    <w:uiPriority w:val="9"/>
    <w:rPr>
      <w:b/>
      <w:bCs/>
      <w:kern w:val="44"/>
      <w:sz w:val="44"/>
      <w:szCs w:val="44"/>
    </w:rPr>
  </w:style>
  <w:style w:type="character" w:customStyle="1" w:styleId="15">
    <w:name w:val="标题 2 字符"/>
    <w:link w:val="3"/>
    <w:semiHidden/>
    <w:qFormat/>
    <w:uiPriority w:val="9"/>
    <w:rPr>
      <w:rFonts w:ascii="Cambria" w:hAnsi="Cambria" w:eastAsia="宋体" w:cs="Times New Roman"/>
      <w:b/>
      <w:bCs/>
      <w:sz w:val="32"/>
      <w:szCs w:val="32"/>
    </w:rPr>
  </w:style>
  <w:style w:type="character" w:customStyle="1" w:styleId="16">
    <w:name w:val="标题 3 字符"/>
    <w:link w:val="4"/>
    <w:semiHidden/>
    <w:qFormat/>
    <w:uiPriority w:val="9"/>
    <w:rPr>
      <w:b/>
      <w:bCs/>
      <w:sz w:val="32"/>
      <w:szCs w:val="32"/>
    </w:rPr>
  </w:style>
  <w:style w:type="character" w:customStyle="1" w:styleId="17">
    <w:name w:val="批注框文本 字符"/>
    <w:link w:val="6"/>
    <w:semiHidden/>
    <w:qFormat/>
    <w:uiPriority w:val="99"/>
    <w:rPr>
      <w:sz w:val="18"/>
      <w:szCs w:val="18"/>
    </w:rPr>
  </w:style>
  <w:style w:type="character" w:customStyle="1" w:styleId="18">
    <w:name w:val="页脚 字符"/>
    <w:link w:val="7"/>
    <w:semiHidden/>
    <w:qFormat/>
    <w:uiPriority w:val="0"/>
    <w:rPr>
      <w:sz w:val="18"/>
      <w:szCs w:val="18"/>
    </w:rPr>
  </w:style>
  <w:style w:type="character" w:customStyle="1" w:styleId="19">
    <w:name w:val="页眉 字符"/>
    <w:link w:val="8"/>
    <w:semiHidden/>
    <w:qFormat/>
    <w:uiPriority w:val="0"/>
    <w:rPr>
      <w:sz w:val="18"/>
      <w:szCs w:val="18"/>
    </w:rPr>
  </w:style>
  <w:style w:type="paragraph" w:customStyle="1" w:styleId="20">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1023</Words>
  <Characters>5832</Characters>
  <Lines>48</Lines>
  <Paragraphs>13</Paragraphs>
  <TotalTime>89</TotalTime>
  <ScaleCrop>false</ScaleCrop>
  <LinksUpToDate>false</LinksUpToDate>
  <CharactersWithSpaces>6842</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2019-07-28T10:37:00Z</dcterms:created>
  <dc:creator>Administrator</dc:creator>
  <cp:lastModifiedBy>greatwall</cp:lastModifiedBy>
  <cp:lastPrinted>2012-09-19T22:00:00Z</cp:lastPrinted>
  <dcterms:modified xsi:type="dcterms:W3CDTF">2023-08-25T14:36:07Z</dcterms:modified>
  <dc:title>附件1</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90D74AD8847844C8B6B3F08FF3278CF3_13</vt:lpwstr>
  </property>
</Properties>
</file>