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r>
        <w:rPr>
          <w:rFonts w:hint="eastAsia" w:ascii="Times New Roman" w:hAnsi="Times New Roman" w:eastAsia="方正小标宋简体" w:cs="方正小标宋简体"/>
          <w:kern w:val="0"/>
          <w:sz w:val="48"/>
          <w:szCs w:val="48"/>
          <w:highlight w:val="none"/>
          <w:lang w:val="zh-CN"/>
        </w:rPr>
        <w:t>天津市宁河区市场监督管理局(本级)</w:t>
      </w:r>
    </w:p>
    <w:p>
      <w:pPr>
        <w:autoSpaceDE w:val="0"/>
        <w:autoSpaceDN w:val="0"/>
        <w:adjustRightInd w:val="0"/>
        <w:jc w:val="center"/>
        <w:rPr>
          <w:rFonts w:ascii="Times New Roman" w:hAnsi="Times New Roman" w:eastAsia="方正小标宋简体" w:cs="方正小标宋简体"/>
          <w:kern w:val="0"/>
          <w:sz w:val="48"/>
          <w:szCs w:val="48"/>
          <w:highlight w:val="none"/>
          <w:lang w:val="zh-CN"/>
        </w:rPr>
      </w:pPr>
      <w:r>
        <w:rPr>
          <w:rFonts w:hint="eastAsia" w:ascii="方正小标宋简体" w:hAnsi="方正小标宋简体" w:eastAsia="方正小标宋简体" w:cs="方正小标宋简体"/>
          <w:sz w:val="48"/>
          <w:szCs w:val="48"/>
          <w:lang w:eastAsia="zh-CN"/>
        </w:rPr>
        <w:t>202</w:t>
      </w:r>
      <w:r>
        <w:rPr>
          <w:rFonts w:hint="eastAsia" w:ascii="方正小标宋简体" w:hAnsi="方正小标宋简体" w:eastAsia="方正小标宋简体" w:cs="方正小标宋简体"/>
          <w:sz w:val="48"/>
          <w:szCs w:val="48"/>
          <w:lang w:val="en-US" w:eastAsia="zh-CN"/>
        </w:rPr>
        <w:t>3</w:t>
      </w:r>
      <w:r>
        <w:rPr>
          <w:rFonts w:hint="eastAsia" w:ascii="Times New Roman" w:hAnsi="Times New Roman" w:eastAsia="方正小标宋简体" w:cs="方正小标宋简体"/>
          <w:kern w:val="0"/>
          <w:sz w:val="48"/>
          <w:szCs w:val="48"/>
          <w:highlight w:val="none"/>
          <w:lang w:val="zh-CN"/>
        </w:rPr>
        <w:t>年度部门决算</w:t>
      </w: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600" w:lineRule="exact"/>
        <w:jc w:val="center"/>
        <w:rPr>
          <w:rFonts w:ascii="Times New Roman" w:hAnsi="Times New Roman" w:eastAsia="黑体" w:cs="黑体"/>
          <w:kern w:val="0"/>
          <w:sz w:val="44"/>
          <w:szCs w:val="44"/>
          <w:highlight w:val="none"/>
        </w:rPr>
      </w:pPr>
      <w:r>
        <w:rPr>
          <w:rFonts w:ascii="Times New Roman" w:hAnsi="Times New Roman" w:eastAsia="黑体" w:cs="黑体"/>
          <w:sz w:val="30"/>
          <w:szCs w:val="30"/>
          <w:highlight w:val="none"/>
        </w:rPr>
        <w:br w:type="page"/>
      </w:r>
    </w:p>
    <w:p>
      <w:pPr>
        <w:autoSpaceDE w:val="0"/>
        <w:autoSpaceDN w:val="0"/>
        <w:adjustRightInd w:val="0"/>
        <w:spacing w:line="600" w:lineRule="exact"/>
        <w:jc w:val="center"/>
        <w:rPr>
          <w:rFonts w:ascii="Times New Roman" w:hAnsi="Times New Roman" w:eastAsia="黑体" w:cs="黑体"/>
          <w:kern w:val="0"/>
          <w:sz w:val="44"/>
          <w:szCs w:val="44"/>
          <w:highlight w:val="none"/>
        </w:rPr>
      </w:pPr>
      <w:r>
        <w:rPr>
          <w:rFonts w:hint="eastAsia" w:ascii="Times New Roman" w:hAnsi="Times New Roman" w:eastAsia="黑体" w:cs="黑体"/>
          <w:kern w:val="0"/>
          <w:sz w:val="44"/>
          <w:szCs w:val="44"/>
          <w:highlight w:val="none"/>
        </w:rPr>
        <w:t>目</w:t>
      </w:r>
      <w:r>
        <w:rPr>
          <w:rFonts w:hint="eastAsia" w:ascii="Times New Roman" w:hAnsi="Times New Roman" w:eastAsia="黑体" w:cs="黑体"/>
          <w:kern w:val="0"/>
          <w:sz w:val="44"/>
          <w:szCs w:val="44"/>
          <w:highlight w:val="none"/>
          <w:lang w:val="en-US" w:eastAsia="zh-CN"/>
        </w:rPr>
        <w:t xml:space="preserve">   </w:t>
      </w:r>
      <w:r>
        <w:rPr>
          <w:rFonts w:hint="eastAsia" w:ascii="Times New Roman" w:hAnsi="Times New Roman" w:eastAsia="黑体" w:cs="黑体"/>
          <w:kern w:val="0"/>
          <w:sz w:val="44"/>
          <w:szCs w:val="44"/>
          <w:highlight w:val="none"/>
        </w:rPr>
        <w:t>录</w:t>
      </w:r>
    </w:p>
    <w:p>
      <w:pPr>
        <w:autoSpaceDE w:val="0"/>
        <w:autoSpaceDN w:val="0"/>
        <w:adjustRightInd w:val="0"/>
        <w:spacing w:line="600" w:lineRule="exact"/>
        <w:jc w:val="left"/>
        <w:rPr>
          <w:rFonts w:ascii="Times New Roman" w:hAnsi="Times New Roman" w:eastAsia="黑体" w:cs="黑体"/>
          <w:kern w:val="0"/>
          <w:sz w:val="30"/>
          <w:szCs w:val="30"/>
          <w:highlight w:val="none"/>
        </w:rPr>
      </w:pP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第一部分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rPr>
        <w:t>概</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rPr>
        <w:t>况</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一、主要职责</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二、机构设置</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第二部分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eastAsia="zh-CN"/>
        </w:rPr>
        <w:t>2023</w:t>
      </w:r>
      <w:r>
        <w:rPr>
          <w:rFonts w:hint="eastAsia" w:ascii="Times New Roman" w:hAnsi="Times New Roman" w:eastAsia="方正小标宋简体" w:cs="方正小标宋简体"/>
          <w:kern w:val="0"/>
          <w:sz w:val="30"/>
          <w:szCs w:val="30"/>
          <w:highlight w:val="none"/>
        </w:rPr>
        <w:t>年度部门决算表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一、收入支出决算总表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二、收入决算表（按功能分类列示）</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三、收入决算表（按单位列示）</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四、支出决算表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五、财政拨款收入支出决算总表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六、一般公共预算财政拨款支出决算表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七、一般公共预算财政拨款基本支出决算表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八、政府性基金预算财政拨款收入支出决算表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九、国有资本经营预算财政拨款收入支出决算表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十一、项目支出决算表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十二、关于空表的说明</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第三部分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eastAsia="zh-CN"/>
        </w:rPr>
        <w:t>2023</w:t>
      </w:r>
      <w:r>
        <w:rPr>
          <w:rFonts w:hint="eastAsia" w:ascii="Times New Roman" w:hAnsi="Times New Roman" w:eastAsia="方正小标宋简体" w:cs="方正小标宋简体"/>
          <w:kern w:val="0"/>
          <w:sz w:val="30"/>
          <w:szCs w:val="30"/>
          <w:highlight w:val="none"/>
        </w:rPr>
        <w:t>年度部门决算情况说明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一、收支决算总体情况说明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二、收入决算情况说明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三、支出决算情况说明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四、财政拨款收支决算总体情况说明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五、一般公共预算财政拨款支出决算情况说明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六、一般公共预算财政拨款基本支出决算情况说明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七、政府性基金预算财政拨款收支决算情况说明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八、国有资本经营预算财政拨款收支决算情况说明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九、财政拨款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十、机关运行经费支出情况说明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十一、政府采购支出情况说明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十二、国有资产占有使用情况说明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十三、预算绩效情况说明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lang w:val="en"/>
        </w:rPr>
      </w:pPr>
      <w:r>
        <w:rPr>
          <w:rFonts w:hint="eastAsia" w:ascii="Times New Roman" w:hAnsi="Times New Roman" w:eastAsia="仿宋_GB2312" w:cs="仿宋_GB2312"/>
          <w:kern w:val="0"/>
          <w:sz w:val="30"/>
          <w:szCs w:val="30"/>
          <w:highlight w:val="none"/>
        </w:rPr>
        <w:t>十四、教育、医疗卫生、社会保障和就业、住房保障、涉农补贴等民生支出情况说明</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lang w:val="en"/>
        </w:rPr>
      </w:pPr>
      <w:r>
        <w:rPr>
          <w:rFonts w:hint="eastAsia" w:ascii="Times New Roman" w:hAnsi="Times New Roman" w:eastAsia="方正小标宋简体" w:cs="方正小标宋简体"/>
          <w:kern w:val="0"/>
          <w:sz w:val="30"/>
          <w:szCs w:val="30"/>
          <w:highlight w:val="none"/>
          <w:lang w:val="en"/>
        </w:rPr>
        <w:t>第四部分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val="en"/>
        </w:rPr>
        <w:t>名词解释</w:t>
      </w:r>
    </w:p>
    <w:p>
      <w:pPr>
        <w:autoSpaceDE w:val="0"/>
        <w:autoSpaceDN w:val="0"/>
        <w:adjustRightInd w:val="0"/>
        <w:spacing w:line="700" w:lineRule="exact"/>
        <w:jc w:val="left"/>
        <w:rPr>
          <w:rFonts w:ascii="Times New Roman" w:hAnsi="Times New Roman" w:eastAsia="黑体" w:cs="黑体"/>
          <w:sz w:val="30"/>
          <w:szCs w:val="30"/>
          <w:highlight w:val="none"/>
          <w:lang w:val="zh-CN"/>
        </w:rPr>
      </w:pPr>
      <w:r>
        <w:rPr>
          <w:rFonts w:ascii="Times New Roman" w:hAnsi="Times New Roman" w:eastAsia="黑体" w:cs="黑体"/>
          <w:sz w:val="30"/>
          <w:szCs w:val="30"/>
          <w:highlight w:val="none"/>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第一部分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rPr>
        <w:t>概</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rPr>
        <w:t>况</w:t>
      </w:r>
    </w:p>
    <w:p>
      <w:pPr>
        <w:keepNext/>
        <w:keepLines/>
        <w:autoSpaceDE w:val="0"/>
        <w:autoSpaceDN w:val="0"/>
        <w:adjustRightInd w:val="0"/>
        <w:spacing w:line="600" w:lineRule="exact"/>
        <w:ind w:firstLine="600"/>
        <w:jc w:val="left"/>
        <w:outlineLvl w:val="1"/>
        <w:rPr>
          <w:rFonts w:hint="eastAsia" w:ascii="Times New Roman" w:hAnsi="Times New Roman" w:eastAsia="黑体" w:cs="黑体"/>
          <w:kern w:val="0"/>
          <w:sz w:val="30"/>
          <w:szCs w:val="30"/>
          <w:highlight w:val="none"/>
        </w:rPr>
      </w:pPr>
    </w:p>
    <w:p>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一、主要职责</w:t>
      </w:r>
    </w:p>
    <w:p>
      <w:pPr>
        <w:keepNext w:val="0"/>
        <w:keepLines w:val="0"/>
        <w:pageBreakBefore w:val="0"/>
        <w:widowControl w:val="0"/>
        <w:kinsoku/>
        <w:wordWrap/>
        <w:overflowPunct/>
        <w:topLinePunct w:val="0"/>
        <w:autoSpaceDE w:val="0"/>
        <w:autoSpaceDN w:val="0"/>
        <w:bidi w:val="0"/>
        <w:adjustRightInd w:val="0"/>
        <w:snapToGrid/>
        <w:spacing w:line="600" w:lineRule="exact"/>
        <w:ind w:firstLine="42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一）负责市场综合监督管理。贯彻执行市场监督管理方面法律、法规、规章和政策、标准，组织实施质量立市、质量强区战略和食品安全战略、标准化战略，拟订并组织实施有关区市场监管规划、计划，规范和维护市场秩序，营造诚实守信、公平竞争的市场环境。</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二）负责本区市场主体统一登记注册。负责本区各类企业、农民专业合作社、个体工商户，以及外资企业等市场主体的登记注册和监督管理工作。实施市场主体信息公示和共享机制，依法公示和共享有关信息，加强信用监管，推动市场主体信用体系建设。</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（三）负责组织实施本区市场监管综合执法工作。推动区市场监管综合执法队伍整合和建设，推动实行统一的市场监管。组织查处重大违法案件。规范市场监管行政执法行为。</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（四）负责本区反垄断案件线索信息的收集和汇总，并及时上报。统筹推进本区竞争政策实施，组织实施公平竞争审查制度。依法依</w:t>
      </w:r>
      <w:r>
        <w:rPr>
          <w:rFonts w:hint="eastAsia" w:ascii="Times New Roman" w:hAnsi="Times New Roman" w:eastAsia="仿宋_GB2312" w:cs="仿宋_GB2312"/>
          <w:sz w:val="30"/>
          <w:szCs w:val="30"/>
          <w:highlight w:val="none"/>
          <w:lang w:eastAsia="zh-CN"/>
        </w:rPr>
        <w:t>授权对经营者集中行为进行反垄断审查，负责垄断协议、滥用市场支配地位和滥用行政权力排除、限制竞争等反垄断执法工作。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五）负责监督管理市场秩序。依法监督管理市场交易、网络商品交易及有关服务的行为。依法实施合同、拍卖行为监督管理，管理动产抵押物登记工作。组织指导查处价格收费违法违规、虚假广告、不正当竞争、违法直销、传销、侵犯商标专利知识产权和制售假冒伪劣行为。指导广告业发展，监督管理广告活动，监测各类媒介广告发布情况。查处无照生产经营和相关无证生产经营行为。指导区消费者协会开展消费维权工作。承担区打击侵犯知识产权和制售假冒伪劣商品工作领导小组日常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六）组织开展有关商标、专利、原产地地理标志等知识产权方面的法律法规的宣传和教育活动。贯彻执行国家和市有关知识产权方面的法律、法规和方针、政策；起草本区知识产权保护和发展纲要，研究制定本区的知识产权政策，经批准后组织实施。</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七）负责保护知识产权。组织实施保护商标、专利、原产地地理标志等知识产权的制度。负责开展商标、专利等知识产权方面的执法工作，在市知识产权行政管理部门的指导下，参与调解侵犯知识产权的纠纷案件以及查处假冒他人专利、冒充专利违法行为。</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（八）贯彻执行国家有关价格工作的法律、法规、规章、政策；组织推动本区价格监督检查工作，检查纠正价格违法行为，处理价格违法案件。设置12358价格举报平台，受理对价格、收费问题的举报。</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（九）负责宏观质量管理。拟订并组织实施本区质量发展的制度措施。统筹本区质量基础设施建设与应用，配合上级部门对重大质量事故进行调查，组织落实缺陷产品召回制度，监督管理产品防伪工作。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（十）负责产品质量安全监督管理。管理产品质量安全风险监控、监督抽检工作。落实质量分级制度、质量安全追溯制度。负责工业产品生产许可管理并实施监督。</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（十一）负责特种设备安全监督管理。综合管理特种设备安全监察、监督工作，监督检查高耗能特种设备节能标准和锅炉环境保护标准的执行情况。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十二）负责食品安全监督管理综合协调。组织制定本区食品安全重大政策并组织实施。负责食品安全应急体系建设，组织和指导重大食品安全事件应急处置和调查处理工作。建立健全食品安全重要信息直报制度。承担宁河区食品安全委员会日常工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十三）负责食品安全监督管理。建立本区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定期发布相关信息。贯彻执行国家有关食盐质量安全监督管理的方针政策和法律法规，组织开展对全区进入批发、零售市场和生产加工企业后的质量安全监督管理工作；组织实施特殊食品监督管理。</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十四）贯彻执行国家有关药品、医疗器械、化妆品监管工作的法律、法规、规章和政策。按照职责要求，拟定并组织实施本区有关的药品、医疗器械、化妆品监管规划、计划。组织实施分类管理制度，配合有关部门实施国家基本药物制度。负责药品、医疗器械、化妆品质量管理，实施经营、使用质量管理规范并监督实施；负责药品零售、医疗器械经营的许可、检查和处罚，以及化妆品经营和药品、医疗器械使用环节质量的检查和处罚。</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（十五）负责统一管理计量工作。推行法定计量单位和国家计量制度，组织实施地方计量检定规程和计量技术规范，依法管理计量器具及量值传递和比对工作，规范、监督商品量和市场计量行为。</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十六）负责统一管理标准化工作。配合建立标准实施信息反馈和评估机制并组织实施。依法对国家标准、行业标准、地方标准、团体标准和企业标准的实施进行监督。依法协调指导团体标准、企业标准制定工作。负责商品条码管理工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（十七）负责本区检验检测机构监督管理工作。组织推进检验检测机构改革，规范检验检测市场，完善检验检测体系，指导协调本区检验检测行业发展。</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（十八）负责统一管理、监督和综合协调全区认证认可工作。负责组织实施认证认可和合格评定监督管理工作。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（十九）负责制定本区市场监督管理的科技发展和信息化建设规划并组织实施。负责本区市场监督管理相关的新闻宣传、教育培训、对外合作交流和信息发布工作。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（二十）负责本领域安全生产监督管理工作。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（二十一）配合有关部门推动招商引资工作。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（二十二）负责区市场监管体系人才队伍建设工作。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（二十三）完成区委、区政府交办的其他事项。</w:t>
      </w:r>
    </w:p>
    <w:p>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二、机构设置</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宁河区市场监督管理局（本级）内设25个：1.办公室；2.党委办公室；3.法规科；4.政务服务科；5.信用监督管理科；6.消费者权益保护科；7.反垄断与反不正当竞争执法科；8.价格监督管理科；9.市场和网络交易监督管理科；10.广告监督管理科；11.产品质量安全监督管理科；12.食品安全协调科；13.食品经营安全监督管理科；14.食品生产安全监督管理科；15.商标管理科；16.特种设备安全监察科；17.计量科；18.标准化科；19.认证认可和检验检测监督管理科；20.药品化妆品监督管理科；21.医疗器械监督管理科；22.知识产权保护科；23.信息档案管理科；24.组织人事科；25.财务科；下辖</w:t>
      </w:r>
      <w:r>
        <w:rPr>
          <w:rFonts w:hint="eastAsia" w:ascii="Times New Roman" w:hAnsi="Times New Roman" w:eastAsia="仿宋_GB2312" w:cs="仿宋_GB2312"/>
          <w:sz w:val="30"/>
          <w:szCs w:val="30"/>
          <w:highlight w:val="none"/>
          <w:lang w:val="en-US" w:eastAsia="zh-CN"/>
        </w:rPr>
        <w:t>0</w:t>
      </w:r>
      <w:r>
        <w:rPr>
          <w:rFonts w:hint="eastAsia" w:ascii="Times New Roman" w:hAnsi="Times New Roman" w:eastAsia="仿宋_GB2312" w:cs="仿宋_GB2312"/>
          <w:sz w:val="30"/>
          <w:szCs w:val="30"/>
          <w:highlight w:val="none"/>
          <w:lang w:eastAsia="zh-CN"/>
        </w:rPr>
        <w:t>个预算单位。纳入天津市宁河区市场监督管理局（本级）2023年度部门决算编制范围的单位包括：</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bookmarkStart w:id="0" w:name="_GoBack"/>
      <w:bookmarkEnd w:id="0"/>
      <w:r>
        <w:rPr>
          <w:rFonts w:hint="eastAsia" w:ascii="Times New Roman" w:hAnsi="Times New Roman" w:eastAsia="仿宋_GB2312" w:cs="仿宋_GB2312"/>
          <w:sz w:val="30"/>
          <w:szCs w:val="30"/>
          <w:highlight w:val="none"/>
          <w:lang w:eastAsia="zh-CN"/>
        </w:rPr>
        <w:t>天津市宁河区市场监督管理局（本级）</w:t>
      </w:r>
    </w:p>
    <w:p>
      <w:pPr>
        <w:rPr>
          <w:rFonts w:ascii="Times New Roman" w:hAnsi="Times New Roman" w:eastAsia="黑体" w:cs="黑体"/>
          <w:sz w:val="30"/>
          <w:szCs w:val="30"/>
          <w:highlight w:val="none"/>
          <w:lang w:val="zh-CN"/>
        </w:rPr>
      </w:pPr>
      <w:r>
        <w:rPr>
          <w:rFonts w:ascii="Times New Roman" w:hAnsi="Times New Roman" w:eastAsia="黑体" w:cs="黑体"/>
          <w:sz w:val="30"/>
          <w:szCs w:val="30"/>
          <w:highlight w:val="none"/>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第二部分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lang w:eastAsia="zh-CN"/>
        </w:rPr>
        <w:t>2023</w:t>
      </w:r>
      <w:r>
        <w:rPr>
          <w:rFonts w:hint="eastAsia" w:ascii="Times New Roman" w:hAnsi="Times New Roman" w:eastAsia="方正小标宋简体" w:cs="方正小标宋简体"/>
          <w:kern w:val="44"/>
          <w:sz w:val="44"/>
          <w:szCs w:val="44"/>
          <w:highlight w:val="none"/>
        </w:rPr>
        <w:t>年度部门决算表</w:t>
      </w:r>
    </w:p>
    <w:p>
      <w:pPr>
        <w:autoSpaceDE w:val="0"/>
        <w:autoSpaceDN w:val="0"/>
        <w:adjustRightInd w:val="0"/>
        <w:spacing w:line="600" w:lineRule="exact"/>
        <w:jc w:val="left"/>
        <w:rPr>
          <w:rFonts w:ascii="Times New Roman" w:hAnsi="Times New Roman" w:eastAsia="方正小标宋简体" w:cs="Times New Roman"/>
          <w:kern w:val="0"/>
          <w:sz w:val="24"/>
          <w:szCs w:val="24"/>
          <w:highlight w:val="none"/>
        </w:rPr>
      </w:pP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一、《收入支出决算总表》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二、《收入决算表（按功能分类列示）》</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三、《收入决算表（按单位列示）》</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四、《支出决算表》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五、《财政拨款收入支出决算总表》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六、《一般公共预算财政拨款支出决算表》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七、《一般公共预算财政拨款基本支出决算表》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八、《政府性基金预算财政拨款收入支出决算表》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九、《国有资本经营预算财政拨款收入支出决算表》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十、《财政拨款</w:t>
      </w:r>
      <w:r>
        <w:rPr>
          <w:rFonts w:ascii="Times New Roman" w:hAnsi="Times New Roman" w:eastAsia="黑体" w:cs="黑体"/>
          <w:kern w:val="0"/>
          <w:sz w:val="30"/>
          <w:szCs w:val="30"/>
          <w:highlight w:val="none"/>
        </w:rPr>
        <w:t>“</w:t>
      </w:r>
      <w:r>
        <w:rPr>
          <w:rFonts w:hint="eastAsia" w:ascii="Times New Roman" w:hAnsi="Times New Roman" w:eastAsia="黑体" w:cs="黑体"/>
          <w:kern w:val="0"/>
          <w:sz w:val="30"/>
          <w:szCs w:val="30"/>
          <w:highlight w:val="none"/>
        </w:rPr>
        <w:t>三公</w:t>
      </w:r>
      <w:r>
        <w:rPr>
          <w:rFonts w:ascii="Times New Roman" w:hAnsi="Times New Roman" w:eastAsia="黑体" w:cs="黑体"/>
          <w:kern w:val="0"/>
          <w:sz w:val="30"/>
          <w:szCs w:val="30"/>
          <w:highlight w:val="none"/>
        </w:rPr>
        <w:t>”</w:t>
      </w:r>
      <w:r>
        <w:rPr>
          <w:rFonts w:hint="eastAsia" w:ascii="Times New Roman" w:hAnsi="Times New Roman" w:eastAsia="黑体" w:cs="黑体"/>
          <w:kern w:val="0"/>
          <w:sz w:val="30"/>
          <w:szCs w:val="30"/>
          <w:highlight w:val="none"/>
        </w:rPr>
        <w:t>经费支出决算表》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十一、《项目支出决算表》</w:t>
      </w:r>
    </w:p>
    <w:p>
      <w:pPr>
        <w:autoSpaceDE w:val="0"/>
        <w:autoSpaceDN w:val="0"/>
        <w:adjustRightInd w:val="0"/>
        <w:spacing w:line="800" w:lineRule="exact"/>
        <w:jc w:val="left"/>
        <w:rPr>
          <w:rFonts w:ascii="Times New Roman" w:hAnsi="Times New Roman" w:eastAsia="楷体" w:cs="楷体"/>
          <w:kern w:val="0"/>
          <w:sz w:val="30"/>
          <w:szCs w:val="30"/>
          <w:highlight w:val="none"/>
        </w:rPr>
      </w:pPr>
      <w:r>
        <w:rPr>
          <w:rFonts w:hint="eastAsia" w:ascii="Times New Roman" w:hAnsi="Times New Roman" w:eastAsia="楷体" w:cs="楷体"/>
          <w:kern w:val="0"/>
          <w:sz w:val="30"/>
          <w:szCs w:val="30"/>
          <w:highlight w:val="none"/>
        </w:rPr>
        <w:t>注：以上决算公开表均作为附表，附于决算公开说明文档后。</w:t>
      </w:r>
    </w:p>
    <w:p>
      <w:pPr>
        <w:autoSpaceDE w:val="0"/>
        <w:autoSpaceDN w:val="0"/>
        <w:adjustRightInd w:val="0"/>
        <w:spacing w:line="600" w:lineRule="exact"/>
        <w:jc w:val="left"/>
        <w:rPr>
          <w:rFonts w:ascii="Times New Roman" w:hAnsi="Times New Roman" w:eastAsia="黑体" w:cs="黑体"/>
          <w:b w:val="0"/>
          <w:bCs w:val="0"/>
          <w:kern w:val="0"/>
          <w:sz w:val="30"/>
          <w:szCs w:val="30"/>
          <w:highlight w:val="none"/>
        </w:rPr>
      </w:pPr>
      <w:r>
        <w:rPr>
          <w:rFonts w:ascii="Times New Roman" w:hAnsi="Times New Roman" w:eastAsia="楷体" w:cs="Times New Roman"/>
          <w:kern w:val="0"/>
          <w:sz w:val="24"/>
          <w:szCs w:val="24"/>
          <w:highlight w:val="none"/>
        </w:rPr>
        <w:br w:type="page"/>
      </w:r>
      <w:r>
        <w:rPr>
          <w:rFonts w:hint="eastAsia" w:ascii="Times New Roman" w:hAnsi="Times New Roman" w:eastAsia="楷体" w:cs="Times New Roman"/>
          <w:kern w:val="0"/>
          <w:sz w:val="24"/>
          <w:szCs w:val="24"/>
          <w:highlight w:val="none"/>
          <w:lang w:val="en-US" w:eastAsia="zh-CN"/>
        </w:rPr>
        <w:t xml:space="preserve">     </w:t>
      </w:r>
      <w:r>
        <w:rPr>
          <w:rFonts w:hint="eastAsia" w:ascii="Times New Roman" w:hAnsi="Times New Roman" w:eastAsia="黑体" w:cs="黑体"/>
          <w:b w:val="0"/>
          <w:bCs w:val="0"/>
          <w:kern w:val="0"/>
          <w:sz w:val="30"/>
          <w:szCs w:val="30"/>
          <w:highlight w:val="none"/>
        </w:rPr>
        <w:t>十二、关于空表的说明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天津市宁河区市场监督管理局（本级）2023年度政府性基金预算财政拨款收入支出决算表为空表。</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天津市宁河区市场监督管理局（本级）2023年度国有资本经营预算财政拨款收入支出决算表为空表。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keepLines/>
        <w:autoSpaceDE w:val="0"/>
        <w:autoSpaceDN w:val="0"/>
        <w:adjustRightInd w:val="0"/>
        <w:spacing w:line="600" w:lineRule="exact"/>
        <w:ind w:firstLine="600"/>
        <w:jc w:val="left"/>
        <w:outlineLvl w:val="1"/>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第三部分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lang w:eastAsia="zh-CN"/>
        </w:rPr>
        <w:t>2023</w:t>
      </w:r>
      <w:r>
        <w:rPr>
          <w:rFonts w:hint="eastAsia" w:ascii="Times New Roman" w:hAnsi="Times New Roman" w:eastAsia="方正小标宋简体" w:cs="方正小标宋简体"/>
          <w:kern w:val="44"/>
          <w:sz w:val="44"/>
          <w:szCs w:val="44"/>
          <w:highlight w:val="none"/>
        </w:rPr>
        <w:t>年度部门决算情况说明</w:t>
      </w:r>
    </w:p>
    <w:p>
      <w:pPr>
        <w:autoSpaceDE w:val="0"/>
        <w:autoSpaceDN w:val="0"/>
        <w:adjustRightInd w:val="0"/>
        <w:spacing w:line="580" w:lineRule="exact"/>
        <w:ind w:firstLine="600"/>
        <w:jc w:val="left"/>
        <w:rPr>
          <w:rFonts w:ascii="Times New Roman" w:hAnsi="Times New Roman" w:eastAsia="黑体" w:cs="黑体"/>
          <w:sz w:val="30"/>
          <w:szCs w:val="30"/>
          <w:highlight w:val="none"/>
          <w:lang w:val="zh-CN"/>
        </w:rPr>
      </w:pP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一、收入支出决算总体情况说明</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val="zh-CN" w:eastAsia="zh-CN"/>
        </w:rPr>
        <w:t>天津市宁河区市场监督管理局(本级)2023年度收入、支出决算总计</w:t>
      </w:r>
      <w:r>
        <w:rPr>
          <w:rFonts w:hint="eastAsia" w:ascii="Times New Roman" w:hAnsi="Times New Roman" w:eastAsia="仿宋_GB2312" w:cs="仿宋_GB2312"/>
          <w:sz w:val="30"/>
          <w:szCs w:val="30"/>
          <w:highlight w:val="none"/>
          <w:lang w:eastAsia="zh-CN"/>
        </w:rPr>
        <w:t>60,033,157.83元，与2022年度相比，收、支总计各增加25,041,145.19元，增长71.56%，</w:t>
      </w:r>
      <w:r>
        <w:rPr>
          <w:rFonts w:hint="eastAsia" w:ascii="Times New Roman" w:hAnsi="Times New Roman" w:eastAsia="仿宋_GB2312" w:cs="仿宋_GB2312"/>
          <w:sz w:val="30"/>
          <w:szCs w:val="30"/>
          <w:highlight w:val="none"/>
          <w:lang w:val="zh-CN" w:eastAsia="zh-CN"/>
        </w:rPr>
        <w:t>主要原因是</w:t>
      </w:r>
      <w:r>
        <w:rPr>
          <w:rFonts w:hint="eastAsia" w:ascii="Times New Roman" w:hAnsi="Times New Roman" w:eastAsia="仿宋_GB2312" w:cs="仿宋_GB2312"/>
          <w:sz w:val="30"/>
          <w:szCs w:val="30"/>
          <w:highlight w:val="none"/>
          <w:lang w:eastAsia="zh-CN"/>
        </w:rPr>
        <w:t>：2022年</w:t>
      </w:r>
      <w:r>
        <w:rPr>
          <w:rFonts w:hint="eastAsia" w:ascii="Times New Roman" w:hAnsi="Times New Roman" w:eastAsia="仿宋_GB2312" w:cs="仿宋_GB2312"/>
          <w:sz w:val="30"/>
          <w:szCs w:val="30"/>
          <w:highlight w:val="none"/>
          <w:lang w:val="zh-CN" w:eastAsia="zh-CN"/>
        </w:rPr>
        <w:t>财政拨款收入减少，人员经费类工资奖金社保公积金等部分收入支出计入往来款</w:t>
      </w:r>
      <w:r>
        <w:rPr>
          <w:rFonts w:hint="eastAsia" w:ascii="Times New Roman" w:hAnsi="Times New Roman" w:eastAsia="仿宋_GB2312" w:cs="仿宋_GB2312"/>
          <w:sz w:val="30"/>
          <w:szCs w:val="30"/>
          <w:highlight w:val="none"/>
          <w:lang w:eastAsia="zh-CN"/>
        </w:rPr>
        <w:t>。</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二、</w:t>
      </w:r>
      <w:r>
        <w:rPr>
          <w:rFonts w:hint="eastAsia" w:ascii="Times New Roman" w:hAnsi="Times New Roman" w:eastAsia="黑体" w:cs="黑体"/>
          <w:b/>
          <w:bCs/>
          <w:kern w:val="0"/>
          <w:sz w:val="30"/>
          <w:szCs w:val="30"/>
          <w:highlight w:val="none"/>
        </w:rPr>
        <w:t>收入决算情况</w:t>
      </w:r>
      <w:r>
        <w:rPr>
          <w:rFonts w:hint="eastAsia" w:ascii="Times New Roman" w:hAnsi="Times New Roman" w:eastAsia="黑体" w:cs="黑体"/>
          <w:b/>
          <w:bCs/>
          <w:kern w:val="0"/>
          <w:sz w:val="30"/>
          <w:szCs w:val="30"/>
          <w:highlight w:val="none"/>
          <w:lang w:val="zh-CN"/>
        </w:rPr>
        <w:t>说明</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lang w:eastAsia="zh-CN"/>
        </w:rPr>
      </w:pPr>
      <w:r>
        <w:rPr>
          <w:rFonts w:hint="eastAsia" w:ascii="Times New Roman" w:hAnsi="Times New Roman" w:eastAsia="仿宋_GB2312" w:cs="仿宋_GB2312"/>
          <w:sz w:val="30"/>
          <w:szCs w:val="30"/>
          <w:highlight w:val="none"/>
          <w:lang w:eastAsia="zh-CN"/>
        </w:rPr>
        <w:t>天津市宁河区市场监督管理局(本级)</w:t>
      </w:r>
      <w:r>
        <w:rPr>
          <w:rFonts w:hint="eastAsia" w:ascii="Times New Roman" w:hAnsi="Times New Roman" w:eastAsia="仿宋_GB2312" w:cs="Times New Roman"/>
          <w:sz w:val="30"/>
          <w:szCs w:val="30"/>
          <w:highlight w:val="none"/>
          <w:lang w:eastAsia="zh-CN"/>
        </w:rPr>
        <w:t>2023</w:t>
      </w:r>
      <w:r>
        <w:rPr>
          <w:rFonts w:hint="eastAsia" w:ascii="Times New Roman" w:hAnsi="Times New Roman" w:eastAsia="仿宋_GB2312" w:cs="仿宋_GB2312"/>
          <w:sz w:val="30"/>
          <w:szCs w:val="30"/>
          <w:highlight w:val="none"/>
          <w:lang w:val="zh-CN"/>
        </w:rPr>
        <w:t>年度本年收入合计</w:t>
      </w:r>
      <w:r>
        <w:rPr>
          <w:rFonts w:hint="eastAsia" w:ascii="Times New Roman" w:hAnsi="Times New Roman" w:eastAsia="仿宋_GB2312" w:cs="Times New Roman"/>
          <w:sz w:val="30"/>
          <w:szCs w:val="30"/>
          <w:highlight w:val="none"/>
          <w:lang w:eastAsia="zh-CN"/>
        </w:rPr>
        <w:t>53,312,224.44</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w:t>
      </w:r>
      <w:r>
        <w:rPr>
          <w:rFonts w:hint="eastAsia" w:ascii="Times New Roman" w:hAnsi="Times New Roman" w:eastAsia="仿宋_GB2312" w:cs="仿宋_GB2312"/>
          <w:sz w:val="30"/>
          <w:szCs w:val="30"/>
          <w:highlight w:val="none"/>
          <w:lang w:eastAsia="zh-CN"/>
        </w:rPr>
        <w:t>增加24,959,999.84</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kern w:val="0"/>
          <w:sz w:val="30"/>
          <w:szCs w:val="30"/>
          <w:highlight w:val="none"/>
          <w:lang w:val="zh-CN"/>
        </w:rPr>
        <w:t>主要原因是</w:t>
      </w:r>
      <w:r>
        <w:rPr>
          <w:rFonts w:hint="eastAsia"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lang w:eastAsia="zh-CN"/>
        </w:rPr>
        <w:t>2022年</w:t>
      </w:r>
      <w:r>
        <w:rPr>
          <w:rFonts w:hint="eastAsia" w:ascii="Times New Roman" w:hAnsi="Times New Roman" w:eastAsia="仿宋_GB2312" w:cs="仿宋_GB2312"/>
          <w:kern w:val="0"/>
          <w:sz w:val="30"/>
          <w:szCs w:val="30"/>
          <w:highlight w:val="none"/>
          <w:lang w:val="zh-CN" w:eastAsia="zh-CN"/>
        </w:rPr>
        <w:t>财政拨款收入减少，人员经费类工资奖金社保公积金等部分收入支出计入往来款</w:t>
      </w:r>
      <w:r>
        <w:rPr>
          <w:rFonts w:hint="eastAsia" w:ascii="Times New Roman" w:hAnsi="Times New Roman" w:eastAsia="仿宋_GB2312" w:cs="仿宋_GB2312"/>
          <w:kern w:val="0"/>
          <w:sz w:val="30"/>
          <w:szCs w:val="30"/>
          <w:highlight w:val="none"/>
          <w:lang w:eastAsia="zh-CN"/>
        </w:rPr>
        <w:t>。</w:t>
      </w:r>
    </w:p>
    <w:p>
      <w:pPr>
        <w:autoSpaceDE w:val="0"/>
        <w:autoSpaceDN w:val="0"/>
        <w:adjustRightInd w:val="0"/>
        <w:spacing w:line="600" w:lineRule="exact"/>
        <w:ind w:firstLine="600"/>
        <w:jc w:val="left"/>
        <w:rPr>
          <w:rFonts w:hint="eastAsia" w:ascii="Times New Roman" w:hAnsi="Times New Roman" w:eastAsia="宋体" w:cs="Times New Roman"/>
          <w:sz w:val="30"/>
          <w:szCs w:val="30"/>
          <w:highlight w:val="none"/>
          <w:lang w:eastAsia="zh-CN"/>
        </w:rPr>
      </w:pPr>
      <w:r>
        <w:rPr>
          <w:rFonts w:hint="eastAsia" w:ascii="Times New Roman" w:hAnsi="Times New Roman" w:eastAsia="仿宋_GB2312" w:cs="仿宋_GB2312"/>
          <w:sz w:val="30"/>
          <w:szCs w:val="30"/>
          <w:highlight w:val="none"/>
        </w:rPr>
        <w:t>其中：</w:t>
      </w:r>
      <w:r>
        <w:rPr>
          <w:rFonts w:ascii="Times New Roman" w:hAnsi="Times New Roman" w:eastAsia="仿宋_GB2312" w:cs="仿宋_GB2312"/>
          <w:sz w:val="30"/>
          <w:szCs w:val="30"/>
          <w:highlight w:val="none"/>
          <w:lang w:val="zh-CN"/>
        </w:rPr>
        <w:t>一般公共预算财政拨款收入</w:t>
      </w:r>
      <w:r>
        <w:rPr>
          <w:rFonts w:hint="eastAsia" w:ascii="Times New Roman" w:hAnsi="Times New Roman" w:eastAsia="仿宋_GB2312" w:cs="Times New Roman"/>
          <w:sz w:val="30"/>
          <w:szCs w:val="30"/>
          <w:highlight w:val="none"/>
          <w:lang w:eastAsia="zh-CN"/>
        </w:rPr>
        <w:t>53,298,890.89</w:t>
      </w:r>
      <w:r>
        <w:rPr>
          <w:rFonts w:hint="eastAsia" w:ascii="Times New Roman" w:hAnsi="Times New Roman" w:eastAsia="仿宋_GB2312" w:cs="仿宋_GB2312"/>
          <w:sz w:val="30"/>
          <w:szCs w:val="30"/>
          <w:highlight w:val="none"/>
          <w:lang w:val="zh-CN"/>
        </w:rPr>
        <w:t>元</w:t>
      </w:r>
      <w:r>
        <w:rPr>
          <w:rFonts w:ascii="Times New Roman" w:hAnsi="Times New Roman" w:eastAsia="仿宋_GB2312" w:cs="仿宋_GB2312"/>
          <w:sz w:val="30"/>
          <w:szCs w:val="30"/>
          <w:highlight w:val="none"/>
          <w:lang w:val="zh-CN"/>
        </w:rPr>
        <w:t>，占</w:t>
      </w:r>
      <w:r>
        <w:rPr>
          <w:rFonts w:hint="eastAsia" w:ascii="Times New Roman" w:hAnsi="Times New Roman" w:eastAsia="仿宋_GB2312" w:cs="Times New Roman"/>
          <w:sz w:val="30"/>
          <w:szCs w:val="30"/>
          <w:highlight w:val="none"/>
          <w:lang w:eastAsia="zh-CN"/>
        </w:rPr>
        <w:t>99.97</w:t>
      </w:r>
      <w:r>
        <w:rPr>
          <w:rFonts w:hint="eastAsia" w:ascii="Times New Roman" w:hAnsi="Times New Roman" w:eastAsia="宋体" w:cs="Times New Roman"/>
          <w:sz w:val="30"/>
          <w:szCs w:val="30"/>
          <w:highlight w:val="none"/>
          <w:lang w:eastAsia="zh-CN"/>
        </w:rPr>
        <w:t>%；</w:t>
      </w:r>
    </w:p>
    <w:p>
      <w:pPr>
        <w:autoSpaceDE w:val="0"/>
        <w:autoSpaceDN w:val="0"/>
        <w:adjustRightInd w:val="0"/>
        <w:spacing w:line="600" w:lineRule="exact"/>
        <w:ind w:firstLine="600" w:firstLineChars="2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政府性基金预算财政拨款收入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国有资本经营预算财政拨款收入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财政专户管理资金收入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事业收入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事业单位经营收入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上级补助收入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eastAsia="仿宋_GB2312"/>
          <w:sz w:val="30"/>
          <w:szCs w:val="30"/>
          <w:highlight w:val="none"/>
        </w:rPr>
        <w:t>附属单位上缴收入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en-US" w:eastAsia="zh-CN"/>
        </w:rPr>
      </w:pPr>
      <w:r>
        <w:rPr>
          <w:rFonts w:ascii="Times New Roman" w:hAnsi="Times New Roman" w:eastAsia="仿宋_GB2312" w:cs="仿宋_GB2312"/>
          <w:sz w:val="30"/>
          <w:szCs w:val="30"/>
          <w:highlight w:val="none"/>
          <w:lang w:val="zh-CN"/>
        </w:rPr>
        <w:t>其他收入</w:t>
      </w:r>
      <w:r>
        <w:rPr>
          <w:rFonts w:hint="eastAsia" w:ascii="Times New Roman" w:hAnsi="Times New Roman" w:eastAsia="仿宋_GB2312" w:cs="仿宋_GB2312"/>
          <w:sz w:val="30"/>
          <w:szCs w:val="30"/>
          <w:highlight w:val="none"/>
          <w:lang w:val="zh-CN"/>
        </w:rPr>
        <w:t>13,333.55元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0.03%</w:t>
      </w:r>
      <w:r>
        <w:rPr>
          <w:rFonts w:hint="eastAsia" w:ascii="Times New Roman" w:hAnsi="Times New Roman" w:eastAsia="仿宋_GB2312" w:cs="仿宋_GB2312"/>
          <w:sz w:val="30"/>
          <w:szCs w:val="30"/>
          <w:highlight w:val="none"/>
          <w:lang w:val="zh-CN" w:eastAsia="zh-CN"/>
        </w:rPr>
        <w:t>。</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三、支出</w:t>
      </w:r>
      <w:r>
        <w:rPr>
          <w:rFonts w:hint="eastAsia" w:ascii="Times New Roman" w:hAnsi="Times New Roman" w:eastAsia="黑体" w:cs="黑体"/>
          <w:b/>
          <w:bCs/>
          <w:kern w:val="0"/>
          <w:sz w:val="30"/>
          <w:szCs w:val="30"/>
          <w:highlight w:val="none"/>
        </w:rPr>
        <w:t>决算情况说明</w:t>
      </w:r>
    </w:p>
    <w:p>
      <w:pPr>
        <w:autoSpaceDE w:val="0"/>
        <w:autoSpaceDN w:val="0"/>
        <w:adjustRightInd w:val="0"/>
        <w:spacing w:line="580" w:lineRule="exact"/>
        <w:ind w:firstLine="600"/>
        <w:jc w:val="left"/>
        <w:rPr>
          <w:rFonts w:hint="eastAsia" w:ascii="Times New Roman" w:hAnsi="Times New Roman" w:eastAsia="仿宋_GB2312" w:cs="仿宋_GB2312"/>
          <w:kern w:val="0"/>
          <w:sz w:val="30"/>
          <w:szCs w:val="30"/>
          <w:highlight w:val="none"/>
          <w:lang w:eastAsia="zh-CN"/>
        </w:rPr>
      </w:pPr>
      <w:r>
        <w:rPr>
          <w:rFonts w:hint="eastAsia" w:ascii="Times New Roman" w:hAnsi="Times New Roman" w:eastAsia="仿宋_GB2312" w:cs="仿宋_GB2312"/>
          <w:sz w:val="30"/>
          <w:szCs w:val="30"/>
          <w:highlight w:val="none"/>
          <w:lang w:eastAsia="zh-CN"/>
        </w:rPr>
        <w:t>天津市宁河区市场监督管理局(本级)</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年度本年支出合计</w:t>
      </w:r>
      <w:r>
        <w:rPr>
          <w:rFonts w:hint="eastAsia" w:ascii="Times New Roman" w:hAnsi="Times New Roman" w:eastAsia="仿宋_GB2312" w:cs="仿宋_GB2312"/>
          <w:sz w:val="30"/>
          <w:szCs w:val="30"/>
          <w:highlight w:val="none"/>
          <w:lang w:eastAsia="zh-CN"/>
        </w:rPr>
        <w:t>53,018,126.66</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sz w:val="30"/>
          <w:szCs w:val="30"/>
          <w:highlight w:val="none"/>
          <w:lang w:eastAsia="zh-CN"/>
        </w:rPr>
        <w:t>24,747,047.41</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sz w:val="30"/>
          <w:szCs w:val="30"/>
          <w:highlight w:val="none"/>
          <w:lang w:val="zh-CN"/>
        </w:rPr>
        <w:t>主要原因是</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2022年</w:t>
      </w:r>
      <w:r>
        <w:rPr>
          <w:rFonts w:hint="eastAsia" w:ascii="Times New Roman" w:hAnsi="Times New Roman" w:eastAsia="仿宋_GB2312" w:cs="仿宋_GB2312"/>
          <w:sz w:val="30"/>
          <w:szCs w:val="30"/>
          <w:highlight w:val="none"/>
          <w:lang w:val="zh-CN" w:eastAsia="zh-CN"/>
        </w:rPr>
        <w:t>财政拨款收入减少，人员经费类工资奖金社保公积金等部分收入支出计入往来款</w:t>
      </w:r>
      <w:r>
        <w:rPr>
          <w:rFonts w:hint="eastAsia" w:ascii="Times New Roman" w:hAnsi="Times New Roman" w:eastAsia="仿宋_GB2312" w:cs="仿宋_GB2312"/>
          <w:sz w:val="30"/>
          <w:szCs w:val="30"/>
          <w:highlight w:val="none"/>
          <w:lang w:eastAsia="zh-CN"/>
        </w:rPr>
        <w:t>。</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val="en-US" w:eastAsia="zh-CN"/>
        </w:rPr>
      </w:pPr>
      <w:r>
        <w:rPr>
          <w:rFonts w:hint="eastAsia" w:ascii="Times New Roman" w:hAnsi="Times New Roman" w:eastAsia="仿宋_GB2312" w:cs="仿宋_GB2312"/>
          <w:sz w:val="30"/>
          <w:szCs w:val="30"/>
          <w:highlight w:val="none"/>
        </w:rPr>
        <w:t>其中：</w:t>
      </w:r>
      <w:r>
        <w:rPr>
          <w:rFonts w:ascii="Times New Roman" w:hAnsi="Times New Roman" w:eastAsia="仿宋_GB2312" w:cs="仿宋_GB2312"/>
          <w:sz w:val="30"/>
          <w:szCs w:val="30"/>
          <w:highlight w:val="none"/>
        </w:rPr>
        <w:t>基本支出</w:t>
      </w:r>
      <w:r>
        <w:rPr>
          <w:rFonts w:hint="eastAsia" w:ascii="Times New Roman" w:hAnsi="Times New Roman" w:eastAsia="仿宋_GB2312" w:cs="仿宋_GB2312"/>
          <w:sz w:val="30"/>
          <w:szCs w:val="30"/>
          <w:highlight w:val="none"/>
          <w:lang w:eastAsia="zh-CN"/>
        </w:rPr>
        <w:t>51,452,146.06元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w:t>
      </w:r>
      <w:r>
        <w:rPr>
          <w:rFonts w:hint="eastAsia" w:ascii="Times New Roman" w:hAnsi="Times New Roman" w:eastAsia="仿宋_GB2312" w:cs="仿宋_GB2312"/>
          <w:sz w:val="30"/>
          <w:szCs w:val="30"/>
          <w:highlight w:val="none"/>
          <w:lang w:val="en-US" w:eastAsia="zh-CN"/>
        </w:rPr>
        <w:t>97.05</w:t>
      </w:r>
      <w:r>
        <w:rPr>
          <w:rFonts w:hint="eastAsia" w:ascii="Times New Roman" w:hAnsi="Times New Roman" w:eastAsia="仿宋_GB2312" w:cs="仿宋_GB2312"/>
          <w:sz w:val="30"/>
          <w:szCs w:val="30"/>
          <w:highlight w:val="none"/>
          <w:lang w:eastAsia="zh-CN"/>
        </w:rPr>
        <w:t>%；</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项目支出</w:t>
      </w:r>
      <w:r>
        <w:rPr>
          <w:rFonts w:hint="eastAsia" w:ascii="Times New Roman" w:hAnsi="Times New Roman" w:eastAsia="仿宋_GB2312" w:cs="仿宋_GB2312"/>
          <w:sz w:val="30"/>
          <w:szCs w:val="30"/>
          <w:highlight w:val="none"/>
          <w:lang w:eastAsia="zh-CN"/>
        </w:rPr>
        <w:t>1,565,980.60元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占2.95%；</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上缴上级支出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占0.0%；</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经营支出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占0.0%；</w:t>
      </w:r>
    </w:p>
    <w:p>
      <w:pPr>
        <w:autoSpaceDE w:val="0"/>
        <w:autoSpaceDN w:val="0"/>
        <w:adjustRightInd w:val="0"/>
        <w:spacing w:line="580" w:lineRule="exact"/>
        <w:ind w:firstLine="600"/>
        <w:jc w:val="left"/>
        <w:rPr>
          <w:rFonts w:ascii="Times New Roman" w:hAnsi="Times New Roman" w:eastAsia="黑体" w:cs="黑体"/>
          <w:sz w:val="30"/>
          <w:szCs w:val="30"/>
          <w:highlight w:val="none"/>
          <w:lang w:val="zh-CN"/>
        </w:rPr>
      </w:pPr>
      <w:r>
        <w:rPr>
          <w:rFonts w:ascii="Times New Roman" w:hAnsi="Times New Roman" w:eastAsia="仿宋_GB2312" w:cs="仿宋_GB2312"/>
          <w:sz w:val="30"/>
          <w:szCs w:val="30"/>
          <w:highlight w:val="none"/>
        </w:rPr>
        <w:t>对附属单位补助支出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占0.0%。</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四、财政拨款收支决算总体情况说明</w:t>
      </w:r>
    </w:p>
    <w:p>
      <w:pPr>
        <w:autoSpaceDE w:val="0"/>
        <w:autoSpaceDN w:val="0"/>
        <w:adjustRightInd w:val="0"/>
        <w:spacing w:line="580" w:lineRule="exact"/>
        <w:ind w:firstLine="600"/>
        <w:jc w:val="left"/>
        <w:rPr>
          <w:rFonts w:ascii="Times New Roman" w:hAnsi="Times New Roman" w:eastAsia="仿宋_GB2312" w:cs="仿宋_GB2312"/>
          <w:sz w:val="30"/>
          <w:szCs w:val="30"/>
          <w:highlight w:val="none"/>
        </w:rPr>
      </w:pPr>
      <w:r>
        <w:rPr>
          <w:rFonts w:hint="eastAsia" w:ascii="Times New Roman" w:hAnsi="Times New Roman" w:eastAsia="仿宋_GB2312" w:cs="仿宋_GB2312"/>
          <w:sz w:val="30"/>
          <w:szCs w:val="30"/>
          <w:highlight w:val="none"/>
          <w:lang w:eastAsia="zh-CN"/>
        </w:rPr>
        <w:t>天津市宁河区市场监督管理局(本级)</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年度财政拨款收入、支出决算总计</w:t>
      </w:r>
      <w:r>
        <w:rPr>
          <w:rFonts w:hint="eastAsia" w:ascii="Times New Roman" w:hAnsi="Times New Roman" w:eastAsia="仿宋_GB2312" w:cs="Times New Roman"/>
          <w:sz w:val="30"/>
          <w:szCs w:val="30"/>
          <w:highlight w:val="none"/>
          <w:lang w:val="zh-CN"/>
        </w:rPr>
        <w:t>53,684,503.31</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年度相比，财政拨款收、支总计各</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sz w:val="30"/>
          <w:szCs w:val="30"/>
          <w:highlight w:val="none"/>
          <w:lang w:eastAsia="zh-CN"/>
        </w:rPr>
        <w:t>25,043,557.49</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sz w:val="30"/>
          <w:szCs w:val="30"/>
          <w:highlight w:val="none"/>
          <w:lang w:val="en-US" w:eastAsia="zh-CN"/>
        </w:rPr>
        <w:t>增长</w:t>
      </w:r>
      <w:r>
        <w:rPr>
          <w:rFonts w:hint="eastAsia" w:ascii="Times New Roman" w:hAnsi="Times New Roman" w:eastAsia="仿宋_GB2312" w:cs="仿宋_GB2312"/>
          <w:sz w:val="30"/>
          <w:szCs w:val="30"/>
          <w:highlight w:val="none"/>
          <w:lang w:eastAsia="zh-CN"/>
        </w:rPr>
        <w:t>87.44</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val="zh-CN"/>
        </w:rPr>
        <w:t>主要原因是：</w:t>
      </w:r>
      <w:r>
        <w:rPr>
          <w:rFonts w:hint="eastAsia" w:ascii="Times New Roman" w:hAnsi="Times New Roman" w:eastAsia="仿宋_GB2312" w:cs="仿宋_GB2312"/>
          <w:sz w:val="30"/>
          <w:szCs w:val="30"/>
          <w:highlight w:val="none"/>
          <w:lang w:val="zh-CN" w:eastAsia="zh-CN"/>
        </w:rPr>
        <w:t>2022年财政拨款收入减少，人员经费类工资奖金社保公积金等部分收入支出计入往来款。</w:t>
      </w:r>
    </w:p>
    <w:p>
      <w:pPr>
        <w:keepNext/>
        <w:keepLines/>
        <w:autoSpaceDE w:val="0"/>
        <w:autoSpaceDN w:val="0"/>
        <w:adjustRightInd w:val="0"/>
        <w:spacing w:line="600" w:lineRule="exact"/>
        <w:ind w:firstLine="602" w:firstLineChars="200"/>
        <w:jc w:val="left"/>
        <w:outlineLvl w:val="1"/>
        <w:rPr>
          <w:rFonts w:hint="eastAsia"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五、一般公共预算财政拨款支出决算情况说明</w:t>
      </w:r>
    </w:p>
    <w:p>
      <w:pPr>
        <w:autoSpaceDE w:val="0"/>
        <w:autoSpaceDN w:val="0"/>
        <w:adjustRightInd w:val="0"/>
        <w:spacing w:line="600" w:lineRule="exact"/>
        <w:ind w:firstLine="602" w:firstLineChars="200"/>
        <w:jc w:val="left"/>
        <w:rPr>
          <w:rFonts w:hint="eastAsia"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（一）总体情况</w:t>
      </w:r>
    </w:p>
    <w:p>
      <w:pPr>
        <w:autoSpaceDE w:val="0"/>
        <w:autoSpaceDN w:val="0"/>
        <w:adjustRightInd w:val="0"/>
        <w:spacing w:line="600" w:lineRule="exact"/>
        <w:ind w:firstLine="600" w:firstLineChars="2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天津市宁河区市场监督管理局(本级)2023年度部门决算一般公共预算财政拨款支出</w:t>
      </w:r>
      <w:r>
        <w:rPr>
          <w:rFonts w:hint="eastAsia" w:ascii="Times New Roman" w:hAnsi="Times New Roman" w:eastAsia="仿宋_GB2312" w:cs="仿宋_GB2312"/>
          <w:sz w:val="30"/>
          <w:szCs w:val="30"/>
          <w:highlight w:val="none"/>
          <w:lang w:val="zh-CN" w:eastAsia="zh-CN"/>
        </w:rPr>
        <w:t>合</w:t>
      </w:r>
      <w:r>
        <w:rPr>
          <w:rFonts w:hint="eastAsia" w:ascii="Times New Roman" w:hAnsi="Times New Roman" w:eastAsia="仿宋_GB2312" w:cs="仿宋_GB2312"/>
          <w:sz w:val="30"/>
          <w:szCs w:val="30"/>
          <w:highlight w:val="none"/>
          <w:lang w:eastAsia="zh-CN"/>
        </w:rPr>
        <w:t>计53,005,284.20元，占本年支出合计的99.98%，与2022年度相比，一般公共预算财政拨款支出</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sz w:val="30"/>
          <w:szCs w:val="30"/>
          <w:highlight w:val="none"/>
          <w:lang w:eastAsia="zh-CN"/>
        </w:rPr>
        <w:t>24,749,950.80元，</w:t>
      </w:r>
      <w:r>
        <w:rPr>
          <w:rFonts w:hint="eastAsia" w:ascii="Times New Roman" w:hAnsi="Times New Roman" w:eastAsia="仿宋_GB2312" w:cs="仿宋_GB2312"/>
          <w:sz w:val="30"/>
          <w:szCs w:val="30"/>
          <w:highlight w:val="none"/>
          <w:lang w:val="en-US" w:eastAsia="zh-CN"/>
        </w:rPr>
        <w:t>增长</w:t>
      </w:r>
      <w:r>
        <w:rPr>
          <w:rFonts w:hint="eastAsia" w:ascii="Times New Roman" w:hAnsi="Times New Roman" w:eastAsia="仿宋_GB2312" w:cs="仿宋_GB2312"/>
          <w:sz w:val="30"/>
          <w:szCs w:val="30"/>
          <w:highlight w:val="none"/>
          <w:lang w:eastAsia="zh-CN"/>
        </w:rPr>
        <w:t>87.59%，</w:t>
      </w:r>
      <w:r>
        <w:rPr>
          <w:rFonts w:hint="eastAsia" w:ascii="Times New Roman" w:hAnsi="Times New Roman" w:eastAsia="仿宋_GB2312" w:cs="仿宋_GB2312"/>
          <w:sz w:val="30"/>
          <w:szCs w:val="30"/>
          <w:highlight w:val="none"/>
          <w:lang w:val="zh-CN" w:eastAsia="zh-CN"/>
        </w:rPr>
        <w:t>主要原因是</w:t>
      </w:r>
      <w:r>
        <w:rPr>
          <w:rFonts w:hint="eastAsia" w:ascii="Times New Roman" w:hAnsi="Times New Roman" w:eastAsia="仿宋_GB2312" w:cs="仿宋_GB2312"/>
          <w:sz w:val="30"/>
          <w:szCs w:val="30"/>
          <w:highlight w:val="none"/>
          <w:lang w:eastAsia="zh-CN"/>
        </w:rPr>
        <w:t>：2022年</w:t>
      </w:r>
      <w:r>
        <w:rPr>
          <w:rFonts w:hint="eastAsia" w:ascii="Times New Roman" w:hAnsi="Times New Roman" w:eastAsia="仿宋_GB2312" w:cs="仿宋_GB2312"/>
          <w:sz w:val="30"/>
          <w:szCs w:val="30"/>
          <w:highlight w:val="none"/>
          <w:lang w:val="zh-CN" w:eastAsia="zh-CN"/>
        </w:rPr>
        <w:t>财政拨款收入减少，人员经费类工资奖金社保公积金等部分收入支出计入往来款</w:t>
      </w:r>
      <w:r>
        <w:rPr>
          <w:rFonts w:hint="eastAsia" w:ascii="Times New Roman" w:hAnsi="Times New Roman" w:eastAsia="仿宋_GB2312" w:cs="仿宋_GB2312"/>
          <w:sz w:val="30"/>
          <w:szCs w:val="30"/>
          <w:highlight w:val="none"/>
          <w:lang w:eastAsia="zh-CN"/>
        </w:rPr>
        <w:t>。</w:t>
      </w:r>
    </w:p>
    <w:p>
      <w:pPr>
        <w:autoSpaceDE w:val="0"/>
        <w:autoSpaceDN w:val="0"/>
        <w:adjustRightInd w:val="0"/>
        <w:spacing w:line="600" w:lineRule="exact"/>
        <w:ind w:firstLine="602" w:firstLineChars="200"/>
        <w:jc w:val="left"/>
        <w:rPr>
          <w:rFonts w:hint="eastAsia"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（二）</w:t>
      </w:r>
      <w:r>
        <w:rPr>
          <w:rFonts w:hint="eastAsia" w:ascii="Times New Roman" w:hAnsi="Times New Roman" w:eastAsia="楷体" w:cs="楷体"/>
          <w:b/>
          <w:bCs/>
          <w:kern w:val="0"/>
          <w:sz w:val="30"/>
          <w:szCs w:val="30"/>
          <w:highlight w:val="none"/>
          <w:lang w:val="zh-CN"/>
        </w:rPr>
        <w:t>支出结构</w:t>
      </w:r>
      <w:r>
        <w:rPr>
          <w:rFonts w:hint="eastAsia" w:ascii="Times New Roman" w:hAnsi="Times New Roman" w:eastAsia="楷体" w:cs="楷体"/>
          <w:b/>
          <w:bCs/>
          <w:kern w:val="0"/>
          <w:sz w:val="30"/>
          <w:szCs w:val="30"/>
          <w:highlight w:val="none"/>
        </w:rPr>
        <w:t>情况</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2023</w:t>
      </w:r>
      <w:r>
        <w:rPr>
          <w:rFonts w:hint="eastAsia" w:ascii="Times New Roman" w:hAnsi="Times New Roman" w:eastAsia="仿宋_GB2312" w:cs="仿宋_GB2312"/>
          <w:sz w:val="30"/>
          <w:szCs w:val="30"/>
          <w:highlight w:val="none"/>
        </w:rPr>
        <w:t>年度一般公共预算财政拨款支出</w:t>
      </w:r>
      <w:r>
        <w:rPr>
          <w:rFonts w:hint="eastAsia" w:ascii="Times New Roman" w:hAnsi="Times New Roman" w:eastAsia="仿宋_GB2312" w:cs="Times New Roman"/>
          <w:sz w:val="30"/>
          <w:szCs w:val="30"/>
          <w:highlight w:val="none"/>
          <w:lang w:eastAsia="zh-CN"/>
        </w:rPr>
        <w:t>53,005,284.20</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kern w:val="0"/>
          <w:sz w:val="30"/>
          <w:szCs w:val="30"/>
          <w:highlight w:val="none"/>
        </w:rPr>
        <w:t>主要用于以下方面：</w:t>
      </w:r>
      <w:r>
        <w:rPr>
          <w:rFonts w:hint="eastAsia" w:ascii="Times New Roman" w:hAnsi="Times New Roman" w:eastAsia="仿宋_GB2312" w:cs="仿宋_GB2312"/>
          <w:sz w:val="30"/>
          <w:szCs w:val="30"/>
          <w:highlight w:val="none"/>
          <w:lang w:eastAsia="zh-CN"/>
        </w:rPr>
        <w:t>一般公共服务支出43,987,386.23元，占82.99%；社会保障和就业支出6,250,389.84元，占11.79%；卫生健康支出2,767,508.13元，占5.22%。</w:t>
      </w:r>
    </w:p>
    <w:p>
      <w:pPr>
        <w:autoSpaceDE w:val="0"/>
        <w:autoSpaceDN w:val="0"/>
        <w:adjustRightInd w:val="0"/>
        <w:spacing w:line="600" w:lineRule="exact"/>
        <w:ind w:firstLine="602" w:firstLineChars="200"/>
        <w:jc w:val="left"/>
        <w:rPr>
          <w:rFonts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（三）具体情况</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lang w:eastAsia="zh-CN"/>
        </w:rPr>
        <w:t>2023</w:t>
      </w:r>
      <w:r>
        <w:rPr>
          <w:rFonts w:hint="eastAsia" w:ascii="Times New Roman" w:hAnsi="Times New Roman" w:eastAsia="仿宋_GB2312" w:cs="仿宋_GB2312"/>
          <w:kern w:val="0"/>
          <w:sz w:val="30"/>
          <w:szCs w:val="30"/>
          <w:highlight w:val="none"/>
        </w:rPr>
        <w:t>年度一般公共预算财政拨款支出年初预算为</w:t>
      </w:r>
      <w:r>
        <w:rPr>
          <w:rFonts w:hint="eastAsia" w:ascii="Times New Roman" w:hAnsi="Times New Roman" w:eastAsia="仿宋_GB2312" w:cs="Times New Roman"/>
          <w:sz w:val="30"/>
          <w:szCs w:val="30"/>
          <w:highlight w:val="none"/>
          <w:lang w:eastAsia="zh-CN"/>
        </w:rPr>
        <w:t>67,523,988.41</w:t>
      </w:r>
      <w:r>
        <w:rPr>
          <w:rFonts w:hint="eastAsia" w:ascii="Times New Roman" w:hAnsi="Times New Roman" w:eastAsia="仿宋_GB2312" w:cs="仿宋_GB2312"/>
          <w:kern w:val="0"/>
          <w:sz w:val="30"/>
          <w:szCs w:val="30"/>
          <w:highlight w:val="none"/>
        </w:rPr>
        <w:t>元，支出决算为</w:t>
      </w:r>
      <w:r>
        <w:rPr>
          <w:rFonts w:hint="eastAsia" w:ascii="Times New Roman" w:hAnsi="Times New Roman" w:eastAsia="仿宋_GB2312" w:cs="Times New Roman"/>
          <w:sz w:val="30"/>
          <w:szCs w:val="30"/>
          <w:highlight w:val="none"/>
          <w:lang w:eastAsia="zh-CN"/>
        </w:rPr>
        <w:t>53,005,284.20</w:t>
      </w:r>
      <w:r>
        <w:rPr>
          <w:rFonts w:hint="eastAsia" w:ascii="Times New Roman" w:hAnsi="Times New Roman" w:eastAsia="仿宋_GB2312" w:cs="仿宋_GB2312"/>
          <w:kern w:val="0"/>
          <w:sz w:val="30"/>
          <w:szCs w:val="30"/>
          <w:highlight w:val="none"/>
        </w:rPr>
        <w:t>元，完成年初预算的</w:t>
      </w:r>
      <w:r>
        <w:rPr>
          <w:rFonts w:hint="eastAsia" w:ascii="Times New Roman" w:hAnsi="Times New Roman" w:eastAsia="仿宋_GB2312" w:cs="Times New Roman"/>
          <w:sz w:val="30"/>
          <w:szCs w:val="30"/>
          <w:highlight w:val="none"/>
          <w:lang w:eastAsia="zh-CN"/>
        </w:rPr>
        <w:t>78.5%</w:t>
      </w:r>
      <w:r>
        <w:rPr>
          <w:rFonts w:hint="eastAsia" w:ascii="Times New Roman" w:hAnsi="Times New Roman" w:eastAsia="仿宋_GB2312" w:cs="仿宋_GB2312"/>
          <w:kern w:val="0"/>
          <w:sz w:val="30"/>
          <w:szCs w:val="30"/>
          <w:highlight w:val="none"/>
        </w:rPr>
        <w:t>。其中：</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1.一般公共服务支出（类）市场监督管理事务（款）食品安全监管（项）的年初预算数为6,800,000.00元。支出决算为59,600.00元，完成年初预算的0.88%，决算数小于年初预算数的主要原因是我单位按要求合理节约安排使用资金，压减经费支出。</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2.一般公共服务支出（类）市场监督管理事务（款）质量基础（项）的年初预算数为900,000.00元。支出决算为20,000.00元，完成年初预算的2.22%，决算数小于年初预算数的主要原因是我单位按要求合理节约安排使用资金，压减经费支出。</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3.卫生健康支出（类）行政事业单位医疗（款）公务员医疗补助（项）的年初预算数为972,973.96元。支出决算为452,167.48元，完成年初预算的46.47%，决算数小于年初预算数的主要原因是公务员医疗补助缴费比例下降。</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4.一般公共服务支出（类）市场监督管理事务（款）一般行政管理事务（项）的年初预算数为100,000.00元。支出决算为9,000.00元，完成年初预算的9.00%，决算数小于年初预算数的主要原因是我单位按要求合理节约安排使用资金，压减经费支出。</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5.一般公共服务支出（类）市场监督管理事务（款）机关服务（项）的年初预算数为600,000.00元。支出决算为785,000.00元，完成年初预算的130.83%，决算数大于年初预算数的主要原因是我单位增加3名新招录退役军人帮扶就业。</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6.一般公共服务支出（类）市场监督管理事务（款）行政运行（项）的年初预算数为48,545,267.36元。支出决算为43,063,786.23元，完成年初预算的88.71%，决算数小于年初预算数的主要原因是我单位按要求合理节约安排使用资金，压减经费支出。</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7.社会保障和就业支出（类）行政事业单位养老支出（款）机关事业单位职业年金缴费支出（项）的年初预算数为2,011,767.44元。支出决算为2,083,463.28元，完成年初预算的103.56%，决算数大于年初预算数的主要原因是我单位按要求调补2021-2022年度职业年金。</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8.卫生健康支出（类）行政事业单位医疗（款）事业单位医疗（项）的年初预算数为86,388.12元。支出决算为73,168.35元，完成年初预算的84.70%，决算数小于年初预算数的主要原因是我单位有事业编人员退休。</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9.一般公共服务支出（类）市场监督管理事务（款）药品事务（项）的年初预算数为400,000.00元。支出决算为40,000.00元，完成年初预算的10.00%，决算数小于年初预算数的主要原因是我单位按要求合理节约安排使用资金，压减经费支出。</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10.一般公共服务支出（类）市场监督管理事务（款）质量安全监管（项）的年初预算数为500,000.00元。支出决算为10,000.00元，完成年初预算的2.00%，决算数小于年初预算数的主要原因是我单位按要求合理节约安排使用资金，压减经费支出。</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11.社会保障和就业支出（类）行政事业单位养老支出（款）机关事业单位基本养老保险缴费支出（项）的年初预算数为4,023,534.88元。支出决算为4,166,926.56元，完成年初预算的103.56%，决算数大于年初预算数的主要原因是我单位按要求调补2021-2022年度基本养老保险。</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12.卫生健康支出（类）行政事业单位医疗（款）行政单位医疗（项）的年初预算数为2,554,056.65元。支出决算为2,242,172.30元，完成年初预算的87.79%，决算数小于年初预算数的主要原因是我单位有人员减少。</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13.一般公共服务支出（类）市场监督管理事务（款）市场主体管理（项）年初预算为30000元，支出决算为0元，完成年初预算的0%，决算数小于年初预算数的主要原因我单位按要求合理节约安排使用资金，压减经费支出。</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六、一般公共预算财政拨款基本支出决算情况说明</w:t>
      </w:r>
    </w:p>
    <w:p>
      <w:pPr>
        <w:autoSpaceDE w:val="0"/>
        <w:autoSpaceDN w:val="0"/>
        <w:adjustRightInd w:val="0"/>
        <w:spacing w:line="600" w:lineRule="exact"/>
        <w:ind w:firstLine="72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天津市宁河区市场监督管理局(本级)</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年度部门决算一般公共预算财政拨款基本支出合计</w:t>
      </w:r>
      <w:r>
        <w:rPr>
          <w:rFonts w:hint="eastAsia" w:ascii="Times New Roman" w:hAnsi="Times New Roman" w:eastAsia="仿宋_GB2312" w:cs="Times New Roman"/>
          <w:sz w:val="30"/>
          <w:szCs w:val="30"/>
          <w:highlight w:val="none"/>
          <w:lang w:eastAsia="zh-CN"/>
        </w:rPr>
        <w:t>51,439,303.60</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sz w:val="30"/>
          <w:szCs w:val="30"/>
          <w:highlight w:val="none"/>
          <w:lang w:eastAsia="zh-CN"/>
        </w:rPr>
        <w:t>25,297,943.73</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楷体_GB2312" w:cs="楷体_GB2312"/>
          <w:sz w:val="30"/>
          <w:szCs w:val="30"/>
          <w:highlight w:val="none"/>
        </w:rPr>
        <w:t>：</w:t>
      </w:r>
      <w:r>
        <w:rPr>
          <w:rFonts w:hint="eastAsia" w:ascii="Times New Roman" w:hAnsi="Times New Roman" w:eastAsia="仿宋_GB2312" w:cs="仿宋_GB2312"/>
          <w:sz w:val="30"/>
          <w:szCs w:val="30"/>
          <w:highlight w:val="none"/>
          <w:lang w:eastAsia="zh-CN"/>
        </w:rPr>
        <w:t>2022年</w:t>
      </w:r>
      <w:r>
        <w:rPr>
          <w:rFonts w:hint="eastAsia" w:ascii="Times New Roman" w:hAnsi="Times New Roman" w:eastAsia="仿宋_GB2312" w:cs="仿宋_GB2312"/>
          <w:sz w:val="30"/>
          <w:szCs w:val="30"/>
          <w:highlight w:val="none"/>
          <w:lang w:val="zh-CN" w:eastAsia="zh-CN"/>
        </w:rPr>
        <w:t>财政拨款收入减少，人员经费类工资奖金社保公积金等部分收入支出计入往来款</w:t>
      </w:r>
      <w:r>
        <w:rPr>
          <w:rFonts w:hint="eastAsia" w:ascii="Times New Roman" w:hAnsi="Times New Roman" w:eastAsia="仿宋_GB2312" w:cs="仿宋_GB2312"/>
          <w:sz w:val="30"/>
          <w:szCs w:val="30"/>
          <w:highlight w:val="none"/>
          <w:lang w:eastAsia="zh-CN"/>
        </w:rPr>
        <w:t>。</w:t>
      </w:r>
      <w:r>
        <w:rPr>
          <w:rFonts w:hint="eastAsia" w:ascii="Times New Roman" w:hAnsi="Times New Roman" w:eastAsia="仿宋_GB2312" w:cs="仿宋_GB2312"/>
          <w:kern w:val="0"/>
          <w:sz w:val="30"/>
          <w:szCs w:val="30"/>
          <w:highlight w:val="none"/>
        </w:rPr>
        <w:t>其中：</w:t>
      </w:r>
    </w:p>
    <w:p>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kern w:val="0"/>
          <w:sz w:val="30"/>
          <w:szCs w:val="30"/>
          <w:highlight w:val="none"/>
        </w:rPr>
        <w:t>人员经费</w:t>
      </w:r>
      <w:r>
        <w:rPr>
          <w:rFonts w:hint="eastAsia" w:ascii="Times New Roman" w:hAnsi="Times New Roman" w:eastAsia="仿宋_GB2312" w:cs="Times New Roman"/>
          <w:sz w:val="30"/>
          <w:szCs w:val="30"/>
          <w:highlight w:val="none"/>
          <w:lang w:eastAsia="zh-CN"/>
        </w:rPr>
        <w:t>46,873,716.19</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eastAsia="zh-CN"/>
        </w:rPr>
        <w:t>主要包括基本工资、津贴补贴、奖金、绩效工资、机关事业单位基本养老保险缴费、职业年金缴费、职工基本医疗保险缴费、公务员医疗补助缴费、其他社会保障缴费、住房公积金、退休费、抚恤金、生活补助、其他对个人和家庭的补助。</w:t>
      </w:r>
    </w:p>
    <w:p>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kern w:val="0"/>
          <w:sz w:val="30"/>
          <w:szCs w:val="30"/>
          <w:highlight w:val="none"/>
        </w:rPr>
        <w:t>公用经费</w:t>
      </w:r>
      <w:r>
        <w:rPr>
          <w:rFonts w:hint="eastAsia" w:ascii="Times New Roman" w:hAnsi="Times New Roman" w:eastAsia="仿宋_GB2312" w:cs="Times New Roman"/>
          <w:sz w:val="30"/>
          <w:szCs w:val="30"/>
          <w:highlight w:val="none"/>
          <w:lang w:eastAsia="zh-CN"/>
        </w:rPr>
        <w:t>4,565,587.41</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eastAsia="zh-CN"/>
        </w:rPr>
        <w:t>主要包括办公费、印刷费、手续费、水费、电费、邮电费、取暖费、物业管理费、差旅费、维修(护)费、委托业务费、工会经费、福利费、其他交通费用、税金及附加费用、其他商品和服务支出。</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七、政府性基金预算财政拨款收支决算情况</w:t>
      </w:r>
    </w:p>
    <w:p>
      <w:pPr>
        <w:autoSpaceDE w:val="0"/>
        <w:autoSpaceDN w:val="0"/>
        <w:adjustRightInd w:val="0"/>
        <w:spacing w:line="600" w:lineRule="exact"/>
        <w:ind w:firstLine="600"/>
        <w:jc w:val="left"/>
        <w:rPr>
          <w:rFonts w:hint="default" w:ascii="Times New Roman" w:hAnsi="Times New Roman" w:eastAsia="楷体" w:cs="楷体"/>
          <w:kern w:val="0"/>
          <w:sz w:val="30"/>
          <w:szCs w:val="30"/>
          <w:highlight w:val="none"/>
          <w:lang w:val="en-US"/>
        </w:rPr>
      </w:pPr>
      <w:r>
        <w:rPr>
          <w:rFonts w:hint="eastAsia" w:ascii="Times New Roman" w:hAnsi="Times New Roman" w:eastAsia="仿宋_GB2312" w:cs="仿宋_GB2312"/>
          <w:sz w:val="30"/>
          <w:szCs w:val="30"/>
          <w:highlight w:val="none"/>
          <w:lang w:eastAsia="zh-CN"/>
        </w:rPr>
        <w:t>天津市宁河区市场监督管理局（本级）2023年度无政府性基金预算财政拨款收入、支出和结转结余。</w:t>
      </w:r>
      <w:r>
        <w:rPr>
          <w:rFonts w:hint="eastAsia" w:ascii="Times New Roman" w:hAnsi="Times New Roman" w:eastAsia="仿宋_GB2312" w:cs="仿宋_GB2312"/>
          <w:sz w:val="30"/>
          <w:szCs w:val="30"/>
          <w:highlight w:val="none"/>
          <w:lang w:val="en-US" w:eastAsia="zh-CN"/>
        </w:rPr>
        <w:tab/>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八、国有资本经营预算财政拨款收支决算情况说明</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天津市宁河区市场监督管理局(本级）2023年度无国有资本经营预算财政拨款收入、支出和结转结余。</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九、财政拨款</w:t>
      </w:r>
      <w:r>
        <w:rPr>
          <w:rFonts w:ascii="Times New Roman" w:hAnsi="Times New Roman" w:eastAsia="黑体" w:cs="黑体"/>
          <w:b/>
          <w:bCs/>
          <w:kern w:val="0"/>
          <w:sz w:val="30"/>
          <w:szCs w:val="30"/>
          <w:highlight w:val="none"/>
        </w:rPr>
        <w:t>“</w:t>
      </w:r>
      <w:r>
        <w:rPr>
          <w:rFonts w:hint="eastAsia" w:ascii="Times New Roman" w:hAnsi="Times New Roman" w:eastAsia="黑体" w:cs="黑体"/>
          <w:b/>
          <w:bCs/>
          <w:kern w:val="0"/>
          <w:sz w:val="30"/>
          <w:szCs w:val="30"/>
          <w:highlight w:val="none"/>
        </w:rPr>
        <w:t>三公</w:t>
      </w:r>
      <w:r>
        <w:rPr>
          <w:rFonts w:ascii="Times New Roman" w:hAnsi="Times New Roman" w:eastAsia="黑体" w:cs="黑体"/>
          <w:b/>
          <w:bCs/>
          <w:kern w:val="0"/>
          <w:sz w:val="30"/>
          <w:szCs w:val="30"/>
          <w:highlight w:val="none"/>
        </w:rPr>
        <w:t>”</w:t>
      </w:r>
      <w:r>
        <w:rPr>
          <w:rFonts w:hint="eastAsia" w:ascii="Times New Roman" w:hAnsi="Times New Roman" w:eastAsia="黑体" w:cs="黑体"/>
          <w:b/>
          <w:bCs/>
          <w:kern w:val="0"/>
          <w:sz w:val="30"/>
          <w:szCs w:val="30"/>
          <w:highlight w:val="none"/>
        </w:rPr>
        <w:t>经费</w:t>
      </w:r>
      <w:r>
        <w:rPr>
          <w:rFonts w:hint="eastAsia" w:ascii="Times New Roman" w:hAnsi="Times New Roman" w:eastAsia="黑体" w:cs="黑体"/>
          <w:b/>
          <w:bCs/>
          <w:kern w:val="0"/>
          <w:sz w:val="30"/>
          <w:szCs w:val="30"/>
          <w:highlight w:val="none"/>
          <w:lang w:val="zh-CN"/>
        </w:rPr>
        <w:t>支出决算</w:t>
      </w:r>
      <w:r>
        <w:rPr>
          <w:rFonts w:hint="eastAsia" w:ascii="Times New Roman" w:hAnsi="Times New Roman" w:eastAsia="黑体" w:cs="黑体"/>
          <w:b/>
          <w:bCs/>
          <w:kern w:val="0"/>
          <w:sz w:val="30"/>
          <w:szCs w:val="30"/>
          <w:highlight w:val="none"/>
        </w:rPr>
        <w:t>情况</w:t>
      </w:r>
    </w:p>
    <w:p>
      <w:pPr>
        <w:autoSpaceDE w:val="0"/>
        <w:autoSpaceDN w:val="0"/>
        <w:adjustRightInd w:val="0"/>
        <w:spacing w:line="600" w:lineRule="exact"/>
        <w:ind w:firstLine="602"/>
        <w:jc w:val="left"/>
        <w:rPr>
          <w:rFonts w:hint="default" w:ascii="Times New Roman" w:hAnsi="Times New Roman" w:eastAsia="楷体" w:cs="楷体"/>
          <w:b/>
          <w:bCs/>
          <w:kern w:val="0"/>
          <w:sz w:val="30"/>
          <w:szCs w:val="30"/>
          <w:highlight w:val="none"/>
          <w:lang w:val="en-US" w:eastAsia="zh-CN"/>
        </w:rPr>
      </w:pPr>
      <w:r>
        <w:rPr>
          <w:rFonts w:hint="eastAsia" w:ascii="Times New Roman" w:hAnsi="Times New Roman" w:eastAsia="楷体" w:cs="楷体"/>
          <w:b/>
          <w:bCs/>
          <w:kern w:val="0"/>
          <w:sz w:val="30"/>
          <w:szCs w:val="30"/>
          <w:highlight w:val="none"/>
        </w:rPr>
        <w:t>（一）总体情况</w:t>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经费预算</w:t>
      </w:r>
      <w:r>
        <w:rPr>
          <w:rFonts w:hint="eastAsia" w:ascii="Times New Roman" w:hAnsi="Times New Roman" w:eastAsia="仿宋_GB2312" w:cs="Times New Roman"/>
          <w:kern w:val="0"/>
          <w:sz w:val="30"/>
          <w:szCs w:val="30"/>
          <w:highlight w:val="none"/>
          <w:lang w:eastAsia="zh-CN"/>
        </w:rPr>
        <w:t>310,000.00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123,273.83</w:t>
      </w:r>
      <w:r>
        <w:rPr>
          <w:rFonts w:hint="eastAsia" w:ascii="Times New Roman" w:hAnsi="Times New Roman" w:eastAsia="仿宋_GB2312" w:cs="仿宋_GB2312"/>
          <w:kern w:val="0"/>
          <w:sz w:val="30"/>
          <w:szCs w:val="30"/>
          <w:highlight w:val="none"/>
        </w:rPr>
        <w:t>元，与</w:t>
      </w: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年预算相比</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Times New Roman"/>
          <w:kern w:val="0"/>
          <w:sz w:val="30"/>
          <w:szCs w:val="30"/>
          <w:highlight w:val="none"/>
          <w:lang w:eastAsia="zh-CN"/>
        </w:rPr>
        <w:t>186,726.17</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39.77</w:t>
      </w:r>
      <w:r>
        <w:rPr>
          <w:rFonts w:hint="eastAsia" w:ascii="Times New Roman" w:hAnsi="Times New Roman" w:eastAsia="仿宋_GB2312" w:cs="仿宋_GB2312"/>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仿宋_GB2312"/>
          <w:kern w:val="0"/>
          <w:sz w:val="30"/>
          <w:szCs w:val="30"/>
          <w:highlight w:val="none"/>
          <w:lang w:eastAsia="zh-CN"/>
        </w:rPr>
        <w:t>37,217.93</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下降</w:t>
      </w:r>
      <w:r>
        <w:rPr>
          <w:rFonts w:hint="eastAsia" w:ascii="Times New Roman" w:hAnsi="Times New Roman" w:eastAsia="仿宋_GB2312" w:cs="仿宋_GB2312"/>
          <w:kern w:val="0"/>
          <w:sz w:val="30"/>
          <w:szCs w:val="30"/>
          <w:highlight w:val="none"/>
          <w:lang w:eastAsia="zh-CN"/>
        </w:rPr>
        <w:t>23.19</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小于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响应“过紧日子”的政策号召，压减“三公”支出，本年未安排公务用车购置费和因公出国（境）费，未列支公务接待费，减少公务用车运行维护费</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减少</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响应“过紧日子”的政策号召，压减“三公”支出，本年未安排公务用车购置费和因公出国（境）费，未列支公务接待费，减少公务用车运行维护费。</w:t>
      </w:r>
    </w:p>
    <w:p>
      <w:pPr>
        <w:autoSpaceDE w:val="0"/>
        <w:autoSpaceDN w:val="0"/>
        <w:adjustRightInd w:val="0"/>
        <w:spacing w:line="600" w:lineRule="exact"/>
        <w:ind w:firstLine="602"/>
        <w:jc w:val="left"/>
        <w:rPr>
          <w:rFonts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（二）具体情况</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1.</w:t>
      </w:r>
      <w:r>
        <w:rPr>
          <w:rFonts w:hint="eastAsia" w:ascii="Times New Roman" w:hAnsi="Times New Roman" w:eastAsia="仿宋_GB2312" w:cs="仿宋_GB2312"/>
          <w:kern w:val="0"/>
          <w:sz w:val="30"/>
          <w:szCs w:val="30"/>
          <w:highlight w:val="none"/>
        </w:rPr>
        <w:t>因公出国（境）费预算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本年未安排因公出国（境）费预算，一般公共预算未用于因公出国（境）费</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本年未安排因公出国（境）费预算，一般公共预算未用于因公出国（境）费。</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年本单位组织的出国团组</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个，出国</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人次。</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2.</w:t>
      </w:r>
      <w:r>
        <w:rPr>
          <w:rFonts w:hint="eastAsia" w:ascii="Times New Roman" w:hAnsi="Times New Roman" w:eastAsia="仿宋_GB2312" w:cs="仿宋_GB2312"/>
          <w:kern w:val="0"/>
          <w:sz w:val="30"/>
          <w:szCs w:val="30"/>
          <w:highlight w:val="none"/>
        </w:rPr>
        <w:t>公务用车购置及运行维护费预算</w:t>
      </w:r>
      <w:r>
        <w:rPr>
          <w:rFonts w:hint="eastAsia" w:ascii="Times New Roman" w:hAnsi="Times New Roman" w:eastAsia="仿宋_GB2312" w:cs="Times New Roman"/>
          <w:kern w:val="0"/>
          <w:sz w:val="30"/>
          <w:szCs w:val="30"/>
          <w:highlight w:val="none"/>
          <w:lang w:eastAsia="zh-CN"/>
        </w:rPr>
        <w:t>300,000.00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123,273.83</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Times New Roman"/>
          <w:kern w:val="0"/>
          <w:sz w:val="30"/>
          <w:szCs w:val="30"/>
          <w:highlight w:val="none"/>
          <w:lang w:eastAsia="zh-CN"/>
        </w:rPr>
        <w:t>176,726.17</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41.09</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仿宋_GB2312"/>
          <w:kern w:val="0"/>
          <w:sz w:val="30"/>
          <w:szCs w:val="30"/>
          <w:highlight w:val="none"/>
          <w:lang w:eastAsia="zh-CN"/>
        </w:rPr>
        <w:t>37,217.93</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下降</w:t>
      </w:r>
      <w:r>
        <w:rPr>
          <w:rFonts w:hint="eastAsia" w:ascii="Times New Roman" w:hAnsi="Times New Roman" w:eastAsia="仿宋_GB2312" w:cs="仿宋_GB2312"/>
          <w:kern w:val="0"/>
          <w:sz w:val="30"/>
          <w:szCs w:val="30"/>
          <w:highlight w:val="none"/>
          <w:lang w:eastAsia="zh-CN"/>
        </w:rPr>
        <w:t>23.19</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小于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响应“过紧日子”的政策号召，压减“三公”支出，本年未安排公务用车购置费支出，并减少公务用车运行维护费支出</w:t>
      </w:r>
      <w:r>
        <w:rPr>
          <w:rFonts w:hint="eastAsia" w:ascii="Times New Roman" w:hAnsi="Times New Roman" w:eastAsia="仿宋_GB2312" w:cs="仿宋_GB2312"/>
          <w:kern w:val="0"/>
          <w:sz w:val="30"/>
          <w:szCs w:val="30"/>
          <w:highlight w:val="none"/>
          <w:lang w:eastAsia="zh-CN"/>
        </w:rPr>
        <w:t>；</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减少</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响应“过紧日子”的政策号召，压减“三公”支出，本年未安排公务用车购置费支出，并减少公务用车运行维护费支出。</w:t>
      </w:r>
      <w:r>
        <w:rPr>
          <w:rFonts w:hint="eastAsia" w:ascii="Times New Roman" w:hAnsi="Times New Roman" w:eastAsia="仿宋_GB2312" w:cs="仿宋_GB2312"/>
          <w:kern w:val="0"/>
          <w:sz w:val="30"/>
          <w:szCs w:val="30"/>
          <w:highlight w:val="none"/>
        </w:rPr>
        <w:t>其中：</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rPr>
        <w:t>公务用车运行维护费预算</w:t>
      </w:r>
      <w:r>
        <w:rPr>
          <w:rFonts w:hint="eastAsia" w:ascii="Times New Roman" w:hAnsi="Times New Roman" w:eastAsia="仿宋_GB2312" w:cs="Times New Roman"/>
          <w:kern w:val="0"/>
          <w:sz w:val="30"/>
          <w:szCs w:val="30"/>
          <w:highlight w:val="none"/>
          <w:lang w:eastAsia="zh-CN"/>
        </w:rPr>
        <w:t>300,000.00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123,273.83</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Times New Roman"/>
          <w:kern w:val="0"/>
          <w:sz w:val="30"/>
          <w:szCs w:val="30"/>
          <w:highlight w:val="none"/>
          <w:lang w:eastAsia="zh-CN"/>
        </w:rPr>
        <w:t>176,726.17</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41.09</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仿宋_GB2312"/>
          <w:kern w:val="0"/>
          <w:sz w:val="30"/>
          <w:szCs w:val="30"/>
          <w:highlight w:val="none"/>
          <w:lang w:eastAsia="zh-CN"/>
        </w:rPr>
        <w:t>37,217.93</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下降</w:t>
      </w:r>
      <w:r>
        <w:rPr>
          <w:rFonts w:hint="eastAsia" w:ascii="Times New Roman" w:hAnsi="Times New Roman" w:eastAsia="仿宋_GB2312" w:cs="仿宋_GB2312"/>
          <w:kern w:val="0"/>
          <w:sz w:val="30"/>
          <w:szCs w:val="30"/>
          <w:highlight w:val="none"/>
          <w:lang w:eastAsia="zh-CN"/>
        </w:rPr>
        <w:t>23.19</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小于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响应“过紧日子”的政策号召，压减“三公”支出，减少公务用车运行维护费支出</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减少</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响应“过紧日子”的政策号召，压减“三公”支出，减少公务用车运行维护费支出。</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截至</w:t>
      </w: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w:t>
      </w:r>
      <w:r>
        <w:rPr>
          <w:rFonts w:ascii="Times New Roman" w:hAnsi="Times New Roman" w:eastAsia="仿宋_GB2312" w:cs="仿宋_GB2312"/>
          <w:kern w:val="0"/>
          <w:sz w:val="30"/>
          <w:szCs w:val="30"/>
          <w:highlight w:val="none"/>
        </w:rPr>
        <w:t>12</w:t>
      </w:r>
      <w:r>
        <w:rPr>
          <w:rFonts w:hint="eastAsia" w:ascii="Times New Roman" w:hAnsi="Times New Roman" w:eastAsia="仿宋_GB2312" w:cs="仿宋_GB2312"/>
          <w:kern w:val="0"/>
          <w:sz w:val="30"/>
          <w:szCs w:val="30"/>
          <w:highlight w:val="none"/>
        </w:rPr>
        <w:t>月</w:t>
      </w:r>
      <w:r>
        <w:rPr>
          <w:rFonts w:ascii="Times New Roman" w:hAnsi="Times New Roman" w:eastAsia="仿宋_GB2312" w:cs="仿宋_GB2312"/>
          <w:kern w:val="0"/>
          <w:sz w:val="30"/>
          <w:szCs w:val="30"/>
          <w:highlight w:val="none"/>
        </w:rPr>
        <w:t>31</w:t>
      </w:r>
      <w:r>
        <w:rPr>
          <w:rFonts w:hint="eastAsia" w:ascii="Times New Roman" w:hAnsi="Times New Roman" w:eastAsia="仿宋_GB2312" w:cs="仿宋_GB2312"/>
          <w:kern w:val="0"/>
          <w:sz w:val="30"/>
          <w:szCs w:val="30"/>
          <w:highlight w:val="none"/>
        </w:rPr>
        <w:t>日，使用财政拨款开支运行维护费的公务用车保有量为</w:t>
      </w:r>
      <w:r>
        <w:rPr>
          <w:rFonts w:hint="eastAsia" w:ascii="Times New Roman" w:hAnsi="Times New Roman" w:eastAsia="仿宋_GB2312" w:cs="Times New Roman"/>
          <w:kern w:val="0"/>
          <w:sz w:val="30"/>
          <w:szCs w:val="30"/>
          <w:highlight w:val="none"/>
          <w:lang w:eastAsia="zh-CN"/>
        </w:rPr>
        <w:t>22</w:t>
      </w:r>
      <w:r>
        <w:rPr>
          <w:rFonts w:hint="eastAsia" w:ascii="Times New Roman" w:hAnsi="Times New Roman" w:eastAsia="仿宋_GB2312" w:cs="仿宋_GB2312"/>
          <w:kern w:val="0"/>
          <w:sz w:val="30"/>
          <w:szCs w:val="30"/>
          <w:highlight w:val="none"/>
        </w:rPr>
        <w:t>辆。</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rPr>
        <w:t>公务用车购置费预算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本年未安排公务用车购置费预算，一般公共预算未用于公务用车购置费</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本年未安排公务用车购置费预算，一般公共预算未用于公务用车购置费。</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年购置公务用车</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辆。</w:t>
      </w:r>
    </w:p>
    <w:p>
      <w:pPr>
        <w:autoSpaceDE w:val="0"/>
        <w:autoSpaceDN w:val="0"/>
        <w:adjustRightInd w:val="0"/>
        <w:spacing w:line="600" w:lineRule="exact"/>
        <w:ind w:firstLine="645"/>
        <w:jc w:val="left"/>
        <w:rPr>
          <w:rFonts w:hint="eastAsia"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3.</w:t>
      </w:r>
      <w:r>
        <w:rPr>
          <w:rFonts w:hint="eastAsia" w:ascii="Times New Roman" w:hAnsi="Times New Roman" w:eastAsia="仿宋_GB2312" w:cs="仿宋_GB2312"/>
          <w:kern w:val="0"/>
          <w:sz w:val="30"/>
          <w:szCs w:val="30"/>
          <w:highlight w:val="none"/>
        </w:rPr>
        <w:t>公务接待费预算</w:t>
      </w:r>
      <w:r>
        <w:rPr>
          <w:rFonts w:hint="eastAsia" w:ascii="Times New Roman" w:hAnsi="Times New Roman" w:eastAsia="仿宋_GB2312" w:cs="Times New Roman"/>
          <w:kern w:val="0"/>
          <w:sz w:val="30"/>
          <w:szCs w:val="30"/>
          <w:highlight w:val="none"/>
          <w:lang w:eastAsia="zh-CN"/>
        </w:rPr>
        <w:t>10,000.00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Times New Roman"/>
          <w:kern w:val="0"/>
          <w:sz w:val="30"/>
          <w:szCs w:val="30"/>
          <w:highlight w:val="none"/>
          <w:lang w:eastAsia="zh-CN"/>
        </w:rPr>
        <w:t>10,000.00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小于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本年一般公共预算未用于公务接待费</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本年一般公共预算未用于公务接待费。</w:t>
      </w:r>
    </w:p>
    <w:p>
      <w:pPr>
        <w:autoSpaceDE w:val="0"/>
        <w:autoSpaceDN w:val="0"/>
        <w:adjustRightInd w:val="0"/>
        <w:spacing w:line="600" w:lineRule="exact"/>
        <w:ind w:firstLine="645"/>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年本单位国内公务接待</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批次，</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人次；其中，外事接待</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批次，</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人次。</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十、机关运行经费支出情况说明</w:t>
      </w:r>
    </w:p>
    <w:p>
      <w:pPr>
        <w:autoSpaceDE w:val="0"/>
        <w:autoSpaceDN w:val="0"/>
        <w:adjustRightInd w:val="0"/>
        <w:spacing w:line="58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机关运行经费是指行政单位和参照公务员法管理的事业单位使用一般公共预算财政拨款安排的基本支出中的日常公用经费支出，</w:t>
      </w:r>
      <w:r>
        <w:rPr>
          <w:rFonts w:hint="eastAsia" w:ascii="Times New Roman" w:hAnsi="Times New Roman" w:eastAsia="仿宋_GB2312" w:cs="Times New Roman"/>
          <w:kern w:val="0"/>
          <w:sz w:val="30"/>
          <w:szCs w:val="30"/>
          <w:highlight w:val="none"/>
          <w:lang w:eastAsia="zh-CN"/>
        </w:rPr>
        <w:t>天津市宁河区市场监督管理局(本级)</w:t>
      </w:r>
      <w:r>
        <w:rPr>
          <w:rFonts w:hint="eastAsia" w:ascii="Times New Roman" w:hAnsi="Times New Roman" w:eastAsia="宋体" w:cs="宋体"/>
          <w:kern w:val="0"/>
          <w:sz w:val="30"/>
          <w:szCs w:val="30"/>
          <w:highlight w:val="none"/>
          <w:lang w:eastAsia="zh-CN"/>
        </w:rPr>
        <w:t>2023</w:t>
      </w:r>
      <w:r>
        <w:rPr>
          <w:rFonts w:hint="eastAsia" w:ascii="Times New Roman" w:hAnsi="Times New Roman" w:eastAsia="仿宋_GB2312" w:cs="仿宋_GB2312"/>
          <w:kern w:val="0"/>
          <w:sz w:val="30"/>
          <w:szCs w:val="30"/>
          <w:highlight w:val="none"/>
        </w:rPr>
        <w:t>年度机关运行经费决算数</w:t>
      </w:r>
      <w:r>
        <w:rPr>
          <w:rFonts w:hint="eastAsia" w:ascii="Times New Roman" w:hAnsi="Times New Roman" w:eastAsia="仿宋_GB2312" w:cs="Times New Roman"/>
          <w:kern w:val="0"/>
          <w:sz w:val="30"/>
          <w:szCs w:val="30"/>
          <w:highlight w:val="none"/>
          <w:lang w:eastAsia="zh-CN"/>
        </w:rPr>
        <w:t>4,565,587.41</w:t>
      </w:r>
      <w:r>
        <w:rPr>
          <w:rFonts w:hint="eastAsia" w:ascii="Times New Roman" w:hAnsi="Times New Roman" w:eastAsia="仿宋_GB2312" w:cs="仿宋_GB2312"/>
          <w:kern w:val="0"/>
          <w:sz w:val="30"/>
          <w:szCs w:val="30"/>
          <w:highlight w:val="none"/>
        </w:rPr>
        <w:t>元，比</w:t>
      </w:r>
      <w:r>
        <w:rPr>
          <w:rFonts w:hint="eastAsia" w:ascii="Times New Roman" w:hAnsi="Times New Roman" w:eastAsia="仿宋_GB2312" w:cs="Times New Roman"/>
          <w:kern w:val="0"/>
          <w:sz w:val="30"/>
          <w:szCs w:val="30"/>
          <w:highlight w:val="none"/>
          <w:lang w:eastAsia="zh-CN"/>
        </w:rPr>
        <w:t>2022</w:t>
      </w:r>
      <w:r>
        <w:rPr>
          <w:rFonts w:hint="eastAsia" w:ascii="Times New Roman" w:hAnsi="Times New Roman" w:eastAsia="仿宋_GB2312" w:cs="仿宋_GB2312"/>
          <w:kern w:val="0"/>
          <w:sz w:val="30"/>
          <w:szCs w:val="30"/>
          <w:highlight w:val="none"/>
        </w:rPr>
        <w:t>年</w:t>
      </w:r>
      <w:r>
        <w:rPr>
          <w:rFonts w:hint="eastAsia" w:ascii="Times New Roman" w:hAnsi="Times New Roman" w:eastAsia="仿宋_GB2312" w:cs="仿宋_GB2312"/>
          <w:kern w:val="0"/>
          <w:sz w:val="30"/>
          <w:szCs w:val="30"/>
          <w:highlight w:val="none"/>
          <w:lang w:val="en-US" w:eastAsia="zh-CN"/>
        </w:rPr>
        <w:t>增加</w:t>
      </w:r>
      <w:r>
        <w:rPr>
          <w:rFonts w:hint="eastAsia" w:ascii="Times New Roman" w:hAnsi="Times New Roman" w:eastAsia="仿宋_GB2312" w:cs="仿宋_GB2312"/>
          <w:kern w:val="0"/>
          <w:sz w:val="30"/>
          <w:szCs w:val="30"/>
          <w:highlight w:val="none"/>
          <w:lang w:eastAsia="zh-CN"/>
        </w:rPr>
        <w:t>344,459.47</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kern w:val="0"/>
          <w:sz w:val="30"/>
          <w:szCs w:val="30"/>
          <w:highlight w:val="none"/>
          <w:lang w:val="en-US" w:eastAsia="zh-CN"/>
        </w:rPr>
        <w:t>增长</w:t>
      </w:r>
      <w:r>
        <w:rPr>
          <w:rFonts w:hint="eastAsia" w:ascii="Times New Roman" w:hAnsi="Times New Roman" w:eastAsia="仿宋_GB2312" w:cs="仿宋_GB2312"/>
          <w:kern w:val="0"/>
          <w:sz w:val="30"/>
          <w:szCs w:val="30"/>
          <w:highlight w:val="none"/>
          <w:lang w:eastAsia="zh-CN"/>
        </w:rPr>
        <w:t>8.16</w:t>
      </w:r>
      <w:r>
        <w:rPr>
          <w:rFonts w:hint="eastAsia" w:ascii="Times New Roman" w:hAnsi="Times New Roman" w:eastAsia="仿宋_GB2312" w:cs="Times New Roman"/>
          <w:kern w:val="0"/>
          <w:sz w:val="30"/>
          <w:szCs w:val="30"/>
          <w:highlight w:val="none"/>
          <w:lang w:eastAsia="zh-CN"/>
        </w:rPr>
        <w:t>%</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仿宋_GB2312" w:cs="仿宋_GB2312"/>
          <w:sz w:val="30"/>
          <w:szCs w:val="30"/>
          <w:highlight w:val="none"/>
          <w:lang w:eastAsia="zh-CN"/>
        </w:rPr>
        <w:t>本年办公费、维修（护）费、委托业务费等较上年有所增加。</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十一、政府采购支出情况说明</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color w:val="000000"/>
          <w:kern w:val="0"/>
          <w:sz w:val="30"/>
          <w:szCs w:val="30"/>
          <w:highlight w:val="none"/>
          <w:lang w:eastAsia="zh-CN"/>
        </w:rPr>
        <w:t>天津市宁河区市场监督管理局(本级)</w:t>
      </w:r>
      <w:r>
        <w:rPr>
          <w:rFonts w:hint="eastAsia" w:ascii="Times New Roman" w:hAnsi="Times New Roman" w:eastAsia="宋体" w:cs="宋体"/>
          <w:color w:val="000000"/>
          <w:kern w:val="0"/>
          <w:sz w:val="30"/>
          <w:szCs w:val="30"/>
          <w:highlight w:val="none"/>
          <w:lang w:eastAsia="zh-CN"/>
        </w:rPr>
        <w:t>2023</w:t>
      </w:r>
      <w:r>
        <w:rPr>
          <w:rFonts w:hint="eastAsia" w:ascii="Times New Roman" w:hAnsi="Times New Roman" w:eastAsia="仿宋_GB2312" w:cs="仿宋_GB2312"/>
          <w:color w:val="000000"/>
          <w:kern w:val="0"/>
          <w:sz w:val="30"/>
          <w:szCs w:val="30"/>
          <w:highlight w:val="none"/>
        </w:rPr>
        <w:t>年</w:t>
      </w:r>
      <w:r>
        <w:rPr>
          <w:rFonts w:hint="eastAsia" w:ascii="Times New Roman" w:hAnsi="Times New Roman" w:eastAsia="仿宋_GB2312" w:cs="仿宋_GB2312"/>
          <w:sz w:val="30"/>
          <w:szCs w:val="30"/>
          <w:highlight w:val="none"/>
        </w:rPr>
        <w:t>政府</w:t>
      </w:r>
      <w:r>
        <w:rPr>
          <w:rFonts w:hint="eastAsia" w:ascii="Times New Roman" w:hAnsi="Times New Roman" w:eastAsia="仿宋_GB2312" w:cs="仿宋_GB2312"/>
          <w:color w:val="000000"/>
          <w:kern w:val="0"/>
          <w:sz w:val="30"/>
          <w:szCs w:val="30"/>
          <w:highlight w:val="none"/>
        </w:rPr>
        <w:t>采购支出总额</w:t>
      </w:r>
      <w:r>
        <w:rPr>
          <w:rFonts w:hint="eastAsia" w:ascii="Times New Roman" w:hAnsi="Times New Roman" w:eastAsia="仿宋_GB2312" w:cs="Times New Roman"/>
          <w:kern w:val="0"/>
          <w:sz w:val="30"/>
          <w:szCs w:val="30"/>
          <w:highlight w:val="none"/>
          <w:lang w:eastAsia="zh-CN"/>
        </w:rPr>
        <w:t>4,043,982.00</w:t>
      </w:r>
      <w:r>
        <w:rPr>
          <w:rFonts w:hint="eastAsia" w:ascii="Times New Roman" w:hAnsi="Times New Roman" w:eastAsia="仿宋_GB2312" w:cs="仿宋_GB2312"/>
          <w:color w:val="000000"/>
          <w:kern w:val="0"/>
          <w:sz w:val="30"/>
          <w:szCs w:val="30"/>
          <w:highlight w:val="none"/>
        </w:rPr>
        <w:t>元，其中：政府采购货物支出</w:t>
      </w:r>
      <w:r>
        <w:rPr>
          <w:rFonts w:hint="eastAsia" w:ascii="Times New Roman" w:hAnsi="Times New Roman" w:eastAsia="仿宋_GB2312" w:cs="Times New Roman"/>
          <w:kern w:val="0"/>
          <w:sz w:val="30"/>
          <w:szCs w:val="30"/>
          <w:highlight w:val="none"/>
          <w:lang w:eastAsia="zh-CN"/>
        </w:rPr>
        <w:t>244,182.00</w:t>
      </w:r>
      <w:r>
        <w:rPr>
          <w:rFonts w:hint="eastAsia" w:ascii="Times New Roman" w:hAnsi="Times New Roman" w:eastAsia="仿宋_GB2312" w:cs="仿宋_GB2312"/>
          <w:color w:val="000000"/>
          <w:kern w:val="0"/>
          <w:sz w:val="30"/>
          <w:szCs w:val="30"/>
          <w:highlight w:val="none"/>
        </w:rPr>
        <w:t>元、政府采购工程支出</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color w:val="000000"/>
          <w:kern w:val="0"/>
          <w:sz w:val="30"/>
          <w:szCs w:val="30"/>
          <w:highlight w:val="none"/>
        </w:rPr>
        <w:t>元、政府采购服务支出</w:t>
      </w:r>
      <w:r>
        <w:rPr>
          <w:rFonts w:hint="eastAsia" w:ascii="Times New Roman" w:hAnsi="Times New Roman" w:eastAsia="仿宋_GB2312" w:cs="Times New Roman"/>
          <w:kern w:val="0"/>
          <w:sz w:val="30"/>
          <w:szCs w:val="30"/>
          <w:highlight w:val="none"/>
          <w:lang w:eastAsia="zh-CN"/>
        </w:rPr>
        <w:t>3,799,800.00</w:t>
      </w:r>
      <w:r>
        <w:rPr>
          <w:rFonts w:hint="eastAsia" w:ascii="Times New Roman" w:hAnsi="Times New Roman" w:eastAsia="仿宋_GB2312" w:cs="仿宋_GB2312"/>
          <w:color w:val="000000"/>
          <w:kern w:val="0"/>
          <w:sz w:val="30"/>
          <w:szCs w:val="30"/>
          <w:highlight w:val="none"/>
        </w:rPr>
        <w:t>元。授予中小企业合同金额</w:t>
      </w:r>
      <w:r>
        <w:rPr>
          <w:rFonts w:hint="eastAsia" w:ascii="Times New Roman" w:hAnsi="Times New Roman" w:eastAsia="仿宋_GB2312" w:cs="Times New Roman"/>
          <w:kern w:val="0"/>
          <w:sz w:val="30"/>
          <w:szCs w:val="30"/>
          <w:highlight w:val="none"/>
          <w:lang w:eastAsia="zh-CN"/>
        </w:rPr>
        <w:t>3,419,982.00</w:t>
      </w:r>
      <w:r>
        <w:rPr>
          <w:rFonts w:hint="eastAsia" w:ascii="Times New Roman" w:hAnsi="Times New Roman" w:eastAsia="仿宋_GB2312" w:cs="仿宋_GB2312"/>
          <w:color w:val="000000"/>
          <w:kern w:val="0"/>
          <w:sz w:val="30"/>
          <w:szCs w:val="30"/>
          <w:highlight w:val="none"/>
        </w:rPr>
        <w:t>元，占政府采购支出总额的</w:t>
      </w:r>
      <w:r>
        <w:rPr>
          <w:rFonts w:hint="eastAsia" w:ascii="Times New Roman" w:hAnsi="Times New Roman" w:eastAsia="仿宋_GB2312" w:cs="Times New Roman"/>
          <w:kern w:val="0"/>
          <w:sz w:val="30"/>
          <w:szCs w:val="30"/>
          <w:highlight w:val="none"/>
          <w:lang w:eastAsia="zh-CN"/>
        </w:rPr>
        <w:t>84.57%</w:t>
      </w:r>
      <w:r>
        <w:rPr>
          <w:rFonts w:hint="eastAsia" w:ascii="Times New Roman" w:hAnsi="Times New Roman" w:eastAsia="仿宋_GB2312" w:cs="仿宋_GB2312"/>
          <w:color w:val="000000"/>
          <w:kern w:val="0"/>
          <w:sz w:val="30"/>
          <w:szCs w:val="30"/>
          <w:highlight w:val="none"/>
        </w:rPr>
        <w:t>，其中：授予小微企业合同金额</w:t>
      </w:r>
      <w:r>
        <w:rPr>
          <w:rFonts w:hint="eastAsia" w:ascii="Times New Roman" w:hAnsi="Times New Roman" w:eastAsia="仿宋_GB2312" w:cs="Times New Roman"/>
          <w:kern w:val="0"/>
          <w:sz w:val="30"/>
          <w:szCs w:val="30"/>
          <w:highlight w:val="none"/>
          <w:lang w:eastAsia="zh-CN"/>
        </w:rPr>
        <w:t>2,564,082.00</w:t>
      </w:r>
      <w:r>
        <w:rPr>
          <w:rFonts w:hint="eastAsia" w:ascii="Times New Roman" w:hAnsi="Times New Roman" w:eastAsia="仿宋_GB2312" w:cs="仿宋_GB2312"/>
          <w:color w:val="000000"/>
          <w:kern w:val="0"/>
          <w:sz w:val="30"/>
          <w:szCs w:val="30"/>
          <w:highlight w:val="none"/>
        </w:rPr>
        <w:t>元，占政府采购支出总额的</w:t>
      </w:r>
      <w:r>
        <w:rPr>
          <w:rFonts w:hint="eastAsia" w:ascii="Times New Roman" w:hAnsi="Times New Roman" w:eastAsia="仿宋_GB2312" w:cs="Times New Roman"/>
          <w:kern w:val="0"/>
          <w:sz w:val="30"/>
          <w:szCs w:val="30"/>
          <w:highlight w:val="none"/>
          <w:lang w:eastAsia="zh-CN"/>
        </w:rPr>
        <w:t>63.4%</w:t>
      </w:r>
      <w:r>
        <w:rPr>
          <w:rFonts w:hint="eastAsia" w:ascii="Times New Roman" w:hAnsi="Times New Roman" w:eastAsia="仿宋_GB2312" w:cs="仿宋_GB2312"/>
          <w:color w:val="000000"/>
          <w:kern w:val="0"/>
          <w:sz w:val="30"/>
          <w:szCs w:val="30"/>
          <w:highlight w:val="none"/>
        </w:rPr>
        <w:t>；</w:t>
      </w:r>
      <w:r>
        <w:rPr>
          <w:rFonts w:hint="eastAsia" w:ascii="Times New Roman" w:hAnsi="Times New Roman" w:eastAsia="仿宋_GB2312" w:cs="仿宋_GB2312"/>
          <w:kern w:val="0"/>
          <w:sz w:val="30"/>
          <w:szCs w:val="30"/>
          <w:highlight w:val="none"/>
        </w:rPr>
        <w:t>货物采购授予中小企业合同金额占货物支出金额的</w:t>
      </w:r>
      <w:r>
        <w:rPr>
          <w:rFonts w:hint="eastAsia" w:ascii="Times New Roman" w:hAnsi="Times New Roman" w:eastAsia="仿宋_GB2312" w:cs="仿宋_GB2312"/>
          <w:sz w:val="30"/>
          <w:szCs w:val="30"/>
          <w:highlight w:val="none"/>
          <w:lang w:eastAsia="zh-CN"/>
        </w:rPr>
        <w:t>100.0</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，工程采购授予中小企业合同金额占工程支出金额的</w:t>
      </w:r>
      <w:r>
        <w:rPr>
          <w:rFonts w:hint="eastAsia" w:ascii="Times New Roman" w:hAnsi="Times New Roman" w:eastAsia="仿宋_GB2312" w:cs="仿宋_GB2312"/>
          <w:sz w:val="30"/>
          <w:szCs w:val="30"/>
          <w:highlight w:val="none"/>
          <w:lang w:eastAsia="zh-CN"/>
        </w:rPr>
        <w:t>0.0</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，服务采购授予中小企业合同金额占服务支出金额的</w:t>
      </w:r>
      <w:r>
        <w:rPr>
          <w:rFonts w:hint="eastAsia" w:ascii="Times New Roman" w:hAnsi="Times New Roman" w:eastAsia="仿宋_GB2312" w:cs="仿宋_GB2312"/>
          <w:sz w:val="30"/>
          <w:szCs w:val="30"/>
          <w:highlight w:val="none"/>
          <w:lang w:eastAsia="zh-CN"/>
        </w:rPr>
        <w:t>83.58</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十二、</w:t>
      </w:r>
      <w:r>
        <w:rPr>
          <w:rFonts w:hint="eastAsia" w:ascii="Times New Roman" w:hAnsi="Times New Roman" w:eastAsia="黑体" w:cs="黑体"/>
          <w:b/>
          <w:bCs/>
          <w:kern w:val="0"/>
          <w:sz w:val="30"/>
          <w:szCs w:val="30"/>
          <w:highlight w:val="none"/>
        </w:rPr>
        <w:t>国有资产占有使用情况说明</w:t>
      </w:r>
    </w:p>
    <w:p>
      <w:pPr>
        <w:autoSpaceDE w:val="0"/>
        <w:autoSpaceDN w:val="0"/>
        <w:adjustRightInd w:val="0"/>
        <w:spacing w:line="600" w:lineRule="exact"/>
        <w:ind w:firstLine="720"/>
        <w:jc w:val="left"/>
        <w:rPr>
          <w:rFonts w:ascii="Times New Roman" w:hAnsi="Times New Roman" w:eastAsia="仿宋_GB2312" w:cs="Times New Roman"/>
          <w:color w:val="000000"/>
          <w:kern w:val="0"/>
          <w:sz w:val="30"/>
          <w:szCs w:val="30"/>
          <w:highlight w:val="none"/>
        </w:rPr>
      </w:pPr>
      <w:r>
        <w:rPr>
          <w:rFonts w:hint="eastAsia" w:ascii="Times New Roman" w:hAnsi="Times New Roman" w:eastAsia="仿宋_GB2312" w:cs="仿宋_GB2312"/>
          <w:color w:val="000000"/>
          <w:kern w:val="0"/>
          <w:sz w:val="30"/>
          <w:szCs w:val="30"/>
          <w:highlight w:val="none"/>
        </w:rPr>
        <w:t>截至</w:t>
      </w:r>
      <w:r>
        <w:rPr>
          <w:rFonts w:ascii="Times New Roman" w:hAnsi="Times New Roman" w:eastAsia="宋体" w:cs="宋体"/>
          <w:color w:val="000000"/>
          <w:kern w:val="0"/>
          <w:sz w:val="30"/>
          <w:szCs w:val="30"/>
          <w:highlight w:val="none"/>
        </w:rPr>
        <w:t>202</w:t>
      </w:r>
      <w:r>
        <w:rPr>
          <w:rFonts w:hint="eastAsia" w:ascii="Times New Roman" w:hAnsi="Times New Roman" w:eastAsia="宋体" w:cs="宋体"/>
          <w:color w:val="000000"/>
          <w:kern w:val="0"/>
          <w:sz w:val="30"/>
          <w:szCs w:val="30"/>
          <w:highlight w:val="none"/>
          <w:lang w:val="en-US" w:eastAsia="zh-CN"/>
        </w:rPr>
        <w:t>3</w:t>
      </w:r>
      <w:r>
        <w:rPr>
          <w:rFonts w:hint="eastAsia" w:ascii="Times New Roman" w:hAnsi="Times New Roman" w:eastAsia="仿宋_GB2312" w:cs="仿宋_GB2312"/>
          <w:color w:val="000000"/>
          <w:kern w:val="0"/>
          <w:sz w:val="30"/>
          <w:szCs w:val="30"/>
          <w:highlight w:val="none"/>
        </w:rPr>
        <w:t>年</w:t>
      </w:r>
      <w:r>
        <w:rPr>
          <w:rFonts w:ascii="Times New Roman" w:hAnsi="Times New Roman" w:eastAsia="仿宋_GB2312" w:cs="Times New Roman"/>
          <w:color w:val="000000"/>
          <w:kern w:val="0"/>
          <w:sz w:val="30"/>
          <w:szCs w:val="30"/>
          <w:highlight w:val="none"/>
        </w:rPr>
        <w:t>12</w:t>
      </w:r>
      <w:r>
        <w:rPr>
          <w:rFonts w:hint="eastAsia" w:ascii="Times New Roman" w:hAnsi="Times New Roman" w:eastAsia="仿宋_GB2312" w:cs="仿宋_GB2312"/>
          <w:color w:val="000000"/>
          <w:kern w:val="0"/>
          <w:sz w:val="30"/>
          <w:szCs w:val="30"/>
          <w:highlight w:val="none"/>
        </w:rPr>
        <w:t>月</w:t>
      </w:r>
      <w:r>
        <w:rPr>
          <w:rFonts w:ascii="Times New Roman" w:hAnsi="Times New Roman" w:eastAsia="仿宋_GB2312" w:cs="Times New Roman"/>
          <w:color w:val="000000"/>
          <w:kern w:val="0"/>
          <w:sz w:val="30"/>
          <w:szCs w:val="30"/>
          <w:highlight w:val="none"/>
        </w:rPr>
        <w:t>31</w:t>
      </w:r>
      <w:r>
        <w:rPr>
          <w:rFonts w:hint="eastAsia" w:ascii="Times New Roman" w:hAnsi="Times New Roman" w:eastAsia="仿宋_GB2312" w:cs="仿宋_GB2312"/>
          <w:color w:val="000000"/>
          <w:kern w:val="0"/>
          <w:sz w:val="30"/>
          <w:szCs w:val="30"/>
          <w:highlight w:val="none"/>
        </w:rPr>
        <w:t>日，</w:t>
      </w:r>
      <w:r>
        <w:rPr>
          <w:rFonts w:hint="eastAsia" w:ascii="Times New Roman" w:hAnsi="Times New Roman" w:eastAsia="仿宋_GB2312" w:cs="仿宋_GB2312"/>
          <w:color w:val="000000"/>
          <w:kern w:val="0"/>
          <w:sz w:val="30"/>
          <w:szCs w:val="30"/>
          <w:highlight w:val="none"/>
          <w:lang w:eastAsia="zh-CN"/>
        </w:rPr>
        <w:t>天津市宁河区市场监督管理局(本级)</w:t>
      </w:r>
      <w:r>
        <w:rPr>
          <w:rFonts w:hint="eastAsia" w:ascii="Times New Roman" w:hAnsi="Times New Roman" w:eastAsia="仿宋_GB2312" w:cs="仿宋_GB2312"/>
          <w:color w:val="000000"/>
          <w:kern w:val="0"/>
          <w:sz w:val="30"/>
          <w:szCs w:val="30"/>
          <w:highlight w:val="none"/>
        </w:rPr>
        <w:t>共有车辆</w:t>
      </w:r>
      <w:r>
        <w:rPr>
          <w:rFonts w:hint="eastAsia" w:ascii="Times New Roman" w:hAnsi="Times New Roman" w:eastAsia="仿宋_GB2312" w:cs="Times New Roman"/>
          <w:kern w:val="0"/>
          <w:sz w:val="30"/>
          <w:szCs w:val="30"/>
          <w:highlight w:val="none"/>
          <w:lang w:eastAsia="zh-CN"/>
        </w:rPr>
        <w:t>22</w:t>
      </w:r>
      <w:r>
        <w:rPr>
          <w:rFonts w:hint="eastAsia" w:ascii="Times New Roman" w:hAnsi="Times New Roman" w:eastAsia="仿宋_GB2312" w:cs="仿宋_GB2312"/>
          <w:color w:val="000000"/>
          <w:kern w:val="0"/>
          <w:sz w:val="30"/>
          <w:szCs w:val="30"/>
          <w:highlight w:val="none"/>
        </w:rPr>
        <w:t>辆，其中：</w:t>
      </w:r>
      <w:r>
        <w:rPr>
          <w:rFonts w:ascii="Times New Roman" w:hAnsi="Times New Roman" w:eastAsia="仿宋_GB2312" w:cs="Times New Roman"/>
          <w:kern w:val="0"/>
          <w:sz w:val="30"/>
          <w:szCs w:val="30"/>
          <w:highlight w:val="none"/>
        </w:rPr>
        <w:t>副部（省）级及以上领导用车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主要</w:t>
      </w:r>
      <w:r>
        <w:rPr>
          <w:rFonts w:hint="eastAsia" w:ascii="Times New Roman" w:hAnsi="Times New Roman" w:eastAsia="仿宋_GB2312" w:cs="Times New Roman"/>
          <w:kern w:val="0"/>
          <w:sz w:val="30"/>
          <w:szCs w:val="30"/>
          <w:highlight w:val="none"/>
          <w:lang w:val="en-US" w:eastAsia="zh-CN"/>
        </w:rPr>
        <w:t>负责人</w:t>
      </w:r>
      <w:r>
        <w:rPr>
          <w:rFonts w:ascii="Times New Roman" w:hAnsi="Times New Roman" w:eastAsia="仿宋_GB2312" w:cs="Times New Roman"/>
          <w:kern w:val="0"/>
          <w:sz w:val="30"/>
          <w:szCs w:val="30"/>
          <w:highlight w:val="none"/>
        </w:rPr>
        <w:t>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机要通信用车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应急保障用车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执法执勤用车</w:t>
      </w:r>
      <w:r>
        <w:rPr>
          <w:rFonts w:hint="eastAsia" w:ascii="Times New Roman" w:hAnsi="Times New Roman" w:eastAsia="仿宋_GB2312" w:cs="Times New Roman"/>
          <w:kern w:val="0"/>
          <w:sz w:val="30"/>
          <w:szCs w:val="30"/>
          <w:highlight w:val="none"/>
          <w:lang w:eastAsia="zh-CN"/>
        </w:rPr>
        <w:t>19</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特种专业技术用车</w:t>
      </w:r>
      <w:r>
        <w:rPr>
          <w:rFonts w:hint="eastAsia" w:ascii="Times New Roman" w:hAnsi="Times New Roman" w:eastAsia="仿宋_GB2312" w:cs="Times New Roman"/>
          <w:kern w:val="0"/>
          <w:sz w:val="30"/>
          <w:szCs w:val="30"/>
          <w:highlight w:val="none"/>
          <w:lang w:eastAsia="zh-CN"/>
        </w:rPr>
        <w:t>1</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离退休干部</w:t>
      </w:r>
      <w:r>
        <w:rPr>
          <w:rFonts w:hint="eastAsia" w:ascii="Times New Roman" w:hAnsi="Times New Roman" w:eastAsia="仿宋_GB2312" w:cs="Times New Roman"/>
          <w:kern w:val="0"/>
          <w:sz w:val="30"/>
          <w:szCs w:val="30"/>
          <w:highlight w:val="none"/>
          <w:lang w:val="en-US" w:eastAsia="zh-CN"/>
        </w:rPr>
        <w:t>服务</w:t>
      </w:r>
      <w:r>
        <w:rPr>
          <w:rFonts w:ascii="Times New Roman" w:hAnsi="Times New Roman" w:eastAsia="仿宋_GB2312" w:cs="Times New Roman"/>
          <w:kern w:val="0"/>
          <w:sz w:val="30"/>
          <w:szCs w:val="30"/>
          <w:highlight w:val="none"/>
        </w:rPr>
        <w:t>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其他用车</w:t>
      </w:r>
      <w:r>
        <w:rPr>
          <w:rFonts w:hint="eastAsia" w:ascii="Times New Roman" w:hAnsi="Times New Roman" w:eastAsia="仿宋_GB2312" w:cs="Times New Roman"/>
          <w:kern w:val="0"/>
          <w:sz w:val="30"/>
          <w:szCs w:val="30"/>
          <w:highlight w:val="none"/>
          <w:lang w:eastAsia="zh-CN"/>
        </w:rPr>
        <w:t>2</w:t>
      </w:r>
      <w:r>
        <w:rPr>
          <w:rFonts w:ascii="Times New Roman" w:hAnsi="Times New Roman" w:eastAsia="仿宋_GB2312" w:cs="Times New Roman"/>
          <w:kern w:val="0"/>
          <w:sz w:val="30"/>
          <w:szCs w:val="30"/>
          <w:highlight w:val="none"/>
        </w:rPr>
        <w:t>辆</w:t>
      </w:r>
      <w:r>
        <w:rPr>
          <w:rFonts w:hint="eastAsia" w:ascii="Times New Roman" w:hAnsi="Times New Roman" w:eastAsia="仿宋_GB2312" w:cs="Times New Roman"/>
          <w:kern w:val="0"/>
          <w:sz w:val="30"/>
          <w:szCs w:val="30"/>
          <w:highlight w:val="none"/>
        </w:rPr>
        <w:t>，其他用车主要包括</w:t>
      </w:r>
      <w:r>
        <w:rPr>
          <w:rFonts w:hint="eastAsia" w:ascii="Times New Roman" w:hAnsi="Times New Roman" w:eastAsia="仿宋_GB2312" w:cs="仿宋_GB2312"/>
          <w:sz w:val="30"/>
          <w:szCs w:val="30"/>
          <w:highlight w:val="none"/>
          <w:lang w:eastAsia="zh-CN"/>
        </w:rPr>
        <w:t>其他用车为2辆老干部用车</w:t>
      </w:r>
      <w:r>
        <w:rPr>
          <w:rFonts w:hint="eastAsia" w:ascii="Times New Roman" w:hAnsi="Times New Roman" w:eastAsia="仿宋_GB2312" w:cs="仿宋_GB2312"/>
          <w:kern w:val="0"/>
          <w:sz w:val="30"/>
          <w:szCs w:val="30"/>
          <w:highlight w:val="none"/>
          <w:lang w:val="zh-CN"/>
        </w:rPr>
        <w:t>。</w:t>
      </w:r>
      <w:r>
        <w:rPr>
          <w:rFonts w:hint="eastAsia" w:ascii="Times New Roman" w:hAnsi="Times New Roman" w:eastAsia="仿宋_GB2312" w:cs="仿宋_GB2312"/>
          <w:kern w:val="0"/>
          <w:sz w:val="30"/>
          <w:szCs w:val="30"/>
          <w:highlight w:val="none"/>
        </w:rPr>
        <w:t>单价</w:t>
      </w:r>
      <w:r>
        <w:rPr>
          <w:rFonts w:ascii="Times New Roman" w:hAnsi="Times New Roman" w:eastAsia="仿宋_GB2312" w:cs="仿宋_GB2312"/>
          <w:kern w:val="0"/>
          <w:sz w:val="30"/>
          <w:szCs w:val="30"/>
          <w:highlight w:val="none"/>
        </w:rPr>
        <w:t>100</w:t>
      </w:r>
      <w:r>
        <w:rPr>
          <w:rFonts w:hint="eastAsia" w:ascii="Times New Roman" w:hAnsi="Times New Roman" w:eastAsia="仿宋_GB2312" w:cs="仿宋_GB2312"/>
          <w:kern w:val="0"/>
          <w:sz w:val="30"/>
          <w:szCs w:val="30"/>
          <w:highlight w:val="none"/>
        </w:rPr>
        <w:t>万元以上的设备</w:t>
      </w:r>
      <w:r>
        <w:rPr>
          <w:rFonts w:hint="eastAsia" w:ascii="Times New Roman" w:hAnsi="Times New Roman" w:eastAsia="仿宋_GB2312" w:cs="Times New Roman"/>
          <w:kern w:val="0"/>
          <w:sz w:val="30"/>
          <w:szCs w:val="30"/>
          <w:highlight w:val="none"/>
          <w:lang w:eastAsia="zh-CN"/>
        </w:rPr>
        <w:t>1</w:t>
      </w:r>
      <w:r>
        <w:rPr>
          <w:rFonts w:hint="eastAsia" w:ascii="Times New Roman" w:hAnsi="Times New Roman" w:eastAsia="仿宋_GB2312" w:cs="仿宋_GB2312"/>
          <w:kern w:val="0"/>
          <w:sz w:val="30"/>
          <w:szCs w:val="30"/>
          <w:highlight w:val="none"/>
        </w:rPr>
        <w:t>台（套）。</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十三、</w:t>
      </w:r>
      <w:r>
        <w:rPr>
          <w:rFonts w:hint="eastAsia" w:ascii="Times New Roman" w:hAnsi="Times New Roman" w:eastAsia="黑体" w:cs="黑体"/>
          <w:b/>
          <w:bCs/>
          <w:kern w:val="0"/>
          <w:sz w:val="30"/>
          <w:szCs w:val="30"/>
          <w:highlight w:val="none"/>
        </w:rPr>
        <w:t>预算绩效情况说明</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根据预算绩效管理要求，天津市宁河区市场监督管理局（本级）2023年度已对10个项目开展绩效自评，涉及金额1565980.6元，自评结果已随部门决算一并公开。</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十四、</w:t>
      </w:r>
      <w:r>
        <w:rPr>
          <w:rFonts w:hint="eastAsia" w:ascii="Times New Roman" w:hAnsi="Times New Roman" w:eastAsia="黑体" w:cs="黑体"/>
          <w:b/>
          <w:bCs/>
          <w:kern w:val="0"/>
          <w:sz w:val="30"/>
          <w:szCs w:val="30"/>
          <w:highlight w:val="none"/>
        </w:rPr>
        <w:t>教育、医疗卫生、社会保障和就业、住房保障、涉农补贴等民生支出情况说明</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天津市宁河区市场监督管理局（本级）不属于乡、镇、街级单位，不涉及公开2023年度教育、医疗卫生、社会保障和就业、住房保障、涉农补贴等民生支出情况。</w:t>
      </w:r>
    </w:p>
    <w:p>
      <w:pPr>
        <w:autoSpaceDE w:val="0"/>
        <w:autoSpaceDN w:val="0"/>
        <w:adjustRightInd w:val="0"/>
        <w:jc w:val="left"/>
        <w:rPr>
          <w:rFonts w:ascii="Times New Roman" w:hAnsi="Times New Roman" w:eastAsia="仿宋_GB2312" w:cs="仿宋_GB2312"/>
          <w:b/>
          <w:bCs/>
          <w:color w:val="000000"/>
          <w:kern w:val="0"/>
          <w:sz w:val="30"/>
          <w:szCs w:val="30"/>
          <w:highlight w:val="none"/>
        </w:rPr>
      </w:pPr>
      <w:r>
        <w:rPr>
          <w:rFonts w:ascii="Times New Roman" w:hAnsi="Times New Roman" w:eastAsia="仿宋_GB2312" w:cs="仿宋_GB2312"/>
          <w:b/>
          <w:bCs/>
          <w:color w:val="000000"/>
          <w:kern w:val="0"/>
          <w:sz w:val="30"/>
          <w:szCs w:val="30"/>
          <w:highlight w:val="none"/>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第四部分名词解释</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lang w:val="en-US" w:eastAsia="zh-CN"/>
        </w:rPr>
        <w:t>1</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w:t>
      </w:r>
      <w:r>
        <w:rPr>
          <w:rFonts w:hint="eastAsia" w:ascii="Times New Roman" w:hAnsi="Times New Roman" w:eastAsia="仿宋_GB2312" w:cs="仿宋_GB2312"/>
          <w:kern w:val="0"/>
          <w:sz w:val="30"/>
          <w:szCs w:val="30"/>
          <w:highlight w:val="none"/>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autoSpaceDE w:val="0"/>
        <w:autoSpaceDN w:val="0"/>
        <w:adjustRightInd w:val="0"/>
        <w:spacing w:line="600" w:lineRule="exact"/>
        <w:ind w:firstLine="600"/>
        <w:jc w:val="left"/>
        <w:rPr>
          <w:rFonts w:ascii="Times New Roman" w:hAnsi="Times New Roman"/>
          <w:highlight w:val="none"/>
        </w:rPr>
      </w:pPr>
      <w:r>
        <w:rPr>
          <w:rFonts w:ascii="Times New Roman" w:hAnsi="Times New Roman" w:eastAsia="仿宋_GB2312" w:cs="仿宋_GB2312"/>
          <w:kern w:val="0"/>
          <w:sz w:val="30"/>
          <w:szCs w:val="30"/>
          <w:highlight w:val="none"/>
        </w:rPr>
        <w:t>3.“</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zY2FiYTVjMTJjZmU3OWMyOGEyMTMxZmM0NzU5MzkifQ=="/>
  </w:docVars>
  <w:rsids>
    <w:rsidRoot w:val="006A094D"/>
    <w:rsid w:val="00013A12"/>
    <w:rsid w:val="0002687D"/>
    <w:rsid w:val="00047C6F"/>
    <w:rsid w:val="000528EE"/>
    <w:rsid w:val="000719FD"/>
    <w:rsid w:val="000B5C71"/>
    <w:rsid w:val="000D4B98"/>
    <w:rsid w:val="00127EFA"/>
    <w:rsid w:val="00142888"/>
    <w:rsid w:val="00152EEB"/>
    <w:rsid w:val="00153077"/>
    <w:rsid w:val="00167CB7"/>
    <w:rsid w:val="001A0E4F"/>
    <w:rsid w:val="001B5C3C"/>
    <w:rsid w:val="001C0399"/>
    <w:rsid w:val="001D587E"/>
    <w:rsid w:val="002124F6"/>
    <w:rsid w:val="00264B59"/>
    <w:rsid w:val="002A4997"/>
    <w:rsid w:val="002E6086"/>
    <w:rsid w:val="00302490"/>
    <w:rsid w:val="003227B2"/>
    <w:rsid w:val="003536BE"/>
    <w:rsid w:val="003B25FB"/>
    <w:rsid w:val="004A482F"/>
    <w:rsid w:val="004F39BF"/>
    <w:rsid w:val="005062D7"/>
    <w:rsid w:val="005175E6"/>
    <w:rsid w:val="00525157"/>
    <w:rsid w:val="005349A2"/>
    <w:rsid w:val="00575537"/>
    <w:rsid w:val="005D1367"/>
    <w:rsid w:val="005D3F56"/>
    <w:rsid w:val="00654D17"/>
    <w:rsid w:val="006623EC"/>
    <w:rsid w:val="006A094D"/>
    <w:rsid w:val="006D2409"/>
    <w:rsid w:val="006E65DB"/>
    <w:rsid w:val="00776FF3"/>
    <w:rsid w:val="0078156E"/>
    <w:rsid w:val="00786E74"/>
    <w:rsid w:val="007D1285"/>
    <w:rsid w:val="007E49E1"/>
    <w:rsid w:val="007F6DA7"/>
    <w:rsid w:val="008174D5"/>
    <w:rsid w:val="00885126"/>
    <w:rsid w:val="0089698B"/>
    <w:rsid w:val="008D48A9"/>
    <w:rsid w:val="00941A30"/>
    <w:rsid w:val="00977DCC"/>
    <w:rsid w:val="009820CF"/>
    <w:rsid w:val="00982A8B"/>
    <w:rsid w:val="009A7ED3"/>
    <w:rsid w:val="009D74D7"/>
    <w:rsid w:val="00A57AE7"/>
    <w:rsid w:val="00AF71AE"/>
    <w:rsid w:val="00B33C70"/>
    <w:rsid w:val="00B75228"/>
    <w:rsid w:val="00B811F1"/>
    <w:rsid w:val="00B81B9F"/>
    <w:rsid w:val="00BC763A"/>
    <w:rsid w:val="00BC7D6F"/>
    <w:rsid w:val="00BD3CAC"/>
    <w:rsid w:val="00BF697A"/>
    <w:rsid w:val="00C52E77"/>
    <w:rsid w:val="00C65A44"/>
    <w:rsid w:val="00C76AC3"/>
    <w:rsid w:val="00C83EB4"/>
    <w:rsid w:val="00D4505A"/>
    <w:rsid w:val="00D65B41"/>
    <w:rsid w:val="00DC3234"/>
    <w:rsid w:val="00DC3CD0"/>
    <w:rsid w:val="00DD60B5"/>
    <w:rsid w:val="00E7602B"/>
    <w:rsid w:val="00E964B2"/>
    <w:rsid w:val="00EA6549"/>
    <w:rsid w:val="00F007FE"/>
    <w:rsid w:val="017D4A3B"/>
    <w:rsid w:val="01A10E80"/>
    <w:rsid w:val="029D518A"/>
    <w:rsid w:val="03311B3F"/>
    <w:rsid w:val="03901927"/>
    <w:rsid w:val="05CA273A"/>
    <w:rsid w:val="05E55C53"/>
    <w:rsid w:val="05F652DD"/>
    <w:rsid w:val="0622306B"/>
    <w:rsid w:val="069A035E"/>
    <w:rsid w:val="06F7137E"/>
    <w:rsid w:val="07267E44"/>
    <w:rsid w:val="07425D24"/>
    <w:rsid w:val="07A23238"/>
    <w:rsid w:val="085D1644"/>
    <w:rsid w:val="09F6158F"/>
    <w:rsid w:val="0A7D5D1A"/>
    <w:rsid w:val="0A865285"/>
    <w:rsid w:val="0AF018E5"/>
    <w:rsid w:val="0B1428B6"/>
    <w:rsid w:val="0B2716A6"/>
    <w:rsid w:val="0B2E72C7"/>
    <w:rsid w:val="0C411F0C"/>
    <w:rsid w:val="0CDD71F7"/>
    <w:rsid w:val="0D664210"/>
    <w:rsid w:val="0DA7267B"/>
    <w:rsid w:val="0DFB4FC0"/>
    <w:rsid w:val="0E267459"/>
    <w:rsid w:val="0EBB5316"/>
    <w:rsid w:val="0F4936D8"/>
    <w:rsid w:val="0FC42B69"/>
    <w:rsid w:val="0FF22FB9"/>
    <w:rsid w:val="118916FB"/>
    <w:rsid w:val="1221675E"/>
    <w:rsid w:val="12C34799"/>
    <w:rsid w:val="12D93FBD"/>
    <w:rsid w:val="13463246"/>
    <w:rsid w:val="142D4C1F"/>
    <w:rsid w:val="15F1161D"/>
    <w:rsid w:val="161D1413"/>
    <w:rsid w:val="1666200B"/>
    <w:rsid w:val="16C5644A"/>
    <w:rsid w:val="16D76A65"/>
    <w:rsid w:val="17C84C4C"/>
    <w:rsid w:val="1949378C"/>
    <w:rsid w:val="199A3054"/>
    <w:rsid w:val="19EB1658"/>
    <w:rsid w:val="1A1104E0"/>
    <w:rsid w:val="1A404E9F"/>
    <w:rsid w:val="1AA54268"/>
    <w:rsid w:val="1AAB4BCA"/>
    <w:rsid w:val="1AD96934"/>
    <w:rsid w:val="1B173F14"/>
    <w:rsid w:val="1B4641B9"/>
    <w:rsid w:val="1B520DB0"/>
    <w:rsid w:val="1B5D5A1E"/>
    <w:rsid w:val="1B7A68EC"/>
    <w:rsid w:val="1CCA277E"/>
    <w:rsid w:val="1DFB572F"/>
    <w:rsid w:val="1EC5396A"/>
    <w:rsid w:val="1EFB0588"/>
    <w:rsid w:val="20DB5BFD"/>
    <w:rsid w:val="21365D81"/>
    <w:rsid w:val="21556D90"/>
    <w:rsid w:val="21C24E94"/>
    <w:rsid w:val="21D73FEC"/>
    <w:rsid w:val="23736675"/>
    <w:rsid w:val="24B227A0"/>
    <w:rsid w:val="25BA7C7E"/>
    <w:rsid w:val="2666570F"/>
    <w:rsid w:val="26DB4B05"/>
    <w:rsid w:val="271B299E"/>
    <w:rsid w:val="27DD7C53"/>
    <w:rsid w:val="284E3F62"/>
    <w:rsid w:val="28612632"/>
    <w:rsid w:val="2A924D25"/>
    <w:rsid w:val="2BC20F83"/>
    <w:rsid w:val="2C800474"/>
    <w:rsid w:val="2C8F0671"/>
    <w:rsid w:val="2D5A0475"/>
    <w:rsid w:val="2DA05507"/>
    <w:rsid w:val="2E487134"/>
    <w:rsid w:val="2E8C3709"/>
    <w:rsid w:val="2F146650"/>
    <w:rsid w:val="2FA13000"/>
    <w:rsid w:val="2FC74096"/>
    <w:rsid w:val="2FF951BC"/>
    <w:rsid w:val="307A24E3"/>
    <w:rsid w:val="307A6987"/>
    <w:rsid w:val="30BB5227"/>
    <w:rsid w:val="313F372D"/>
    <w:rsid w:val="32146967"/>
    <w:rsid w:val="32443D30"/>
    <w:rsid w:val="32672F3B"/>
    <w:rsid w:val="33032C66"/>
    <w:rsid w:val="33072028"/>
    <w:rsid w:val="332D3FC0"/>
    <w:rsid w:val="335A2AA0"/>
    <w:rsid w:val="33C543BD"/>
    <w:rsid w:val="34B54432"/>
    <w:rsid w:val="354D7E20"/>
    <w:rsid w:val="35747E49"/>
    <w:rsid w:val="35823AFA"/>
    <w:rsid w:val="358C1096"/>
    <w:rsid w:val="35B6328D"/>
    <w:rsid w:val="35F44AE6"/>
    <w:rsid w:val="36144696"/>
    <w:rsid w:val="36580FD3"/>
    <w:rsid w:val="381E22EE"/>
    <w:rsid w:val="38AF1198"/>
    <w:rsid w:val="3AF76503"/>
    <w:rsid w:val="3B0209DD"/>
    <w:rsid w:val="3B0C198B"/>
    <w:rsid w:val="3B483C6E"/>
    <w:rsid w:val="3B776F10"/>
    <w:rsid w:val="3B7C7A57"/>
    <w:rsid w:val="3B8E1539"/>
    <w:rsid w:val="3D600CB3"/>
    <w:rsid w:val="3E426F14"/>
    <w:rsid w:val="3EB42189"/>
    <w:rsid w:val="3EC62D97"/>
    <w:rsid w:val="3EEF0B4C"/>
    <w:rsid w:val="3EF16375"/>
    <w:rsid w:val="3F2006FA"/>
    <w:rsid w:val="40CF0629"/>
    <w:rsid w:val="4137238C"/>
    <w:rsid w:val="41CC0838"/>
    <w:rsid w:val="43612B5A"/>
    <w:rsid w:val="43805C0B"/>
    <w:rsid w:val="43B835F7"/>
    <w:rsid w:val="44552CED"/>
    <w:rsid w:val="44EB17AA"/>
    <w:rsid w:val="4555221E"/>
    <w:rsid w:val="45984C48"/>
    <w:rsid w:val="47727F60"/>
    <w:rsid w:val="485D29BF"/>
    <w:rsid w:val="49374433"/>
    <w:rsid w:val="49DA103E"/>
    <w:rsid w:val="4A2319E6"/>
    <w:rsid w:val="4A8E57C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F16968"/>
    <w:rsid w:val="55AC416B"/>
    <w:rsid w:val="564C0516"/>
    <w:rsid w:val="5713248B"/>
    <w:rsid w:val="57833AC4"/>
    <w:rsid w:val="578735B4"/>
    <w:rsid w:val="58C3061C"/>
    <w:rsid w:val="58E93DFA"/>
    <w:rsid w:val="599E4BE5"/>
    <w:rsid w:val="5A1C0F73"/>
    <w:rsid w:val="5A964C59"/>
    <w:rsid w:val="5BBE50CA"/>
    <w:rsid w:val="5C170425"/>
    <w:rsid w:val="5CD612EB"/>
    <w:rsid w:val="5D032E6E"/>
    <w:rsid w:val="5DC66F7C"/>
    <w:rsid w:val="5DFB2606"/>
    <w:rsid w:val="5E015742"/>
    <w:rsid w:val="5EB1144C"/>
    <w:rsid w:val="5EF37781"/>
    <w:rsid w:val="5F063106"/>
    <w:rsid w:val="5F6D7131"/>
    <w:rsid w:val="5F7856C5"/>
    <w:rsid w:val="5FF67529"/>
    <w:rsid w:val="600B28A8"/>
    <w:rsid w:val="615900E7"/>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8200AB4"/>
    <w:rsid w:val="68C169D0"/>
    <w:rsid w:val="690507DD"/>
    <w:rsid w:val="69F820EF"/>
    <w:rsid w:val="6B4F5D3F"/>
    <w:rsid w:val="6B963EB9"/>
    <w:rsid w:val="6BBB51FE"/>
    <w:rsid w:val="6BD32ACF"/>
    <w:rsid w:val="6BF54B38"/>
    <w:rsid w:val="6C054650"/>
    <w:rsid w:val="6C1D5E3D"/>
    <w:rsid w:val="6CF70A69"/>
    <w:rsid w:val="6CFE17CB"/>
    <w:rsid w:val="6D5E0469"/>
    <w:rsid w:val="6D854C1A"/>
    <w:rsid w:val="6E080CF4"/>
    <w:rsid w:val="6EB34837"/>
    <w:rsid w:val="70180DF5"/>
    <w:rsid w:val="704716DB"/>
    <w:rsid w:val="708C6A78"/>
    <w:rsid w:val="70E84C6C"/>
    <w:rsid w:val="70FE35D3"/>
    <w:rsid w:val="71600CA6"/>
    <w:rsid w:val="7260119C"/>
    <w:rsid w:val="72701CEB"/>
    <w:rsid w:val="72B3615B"/>
    <w:rsid w:val="73724CC1"/>
    <w:rsid w:val="7455465F"/>
    <w:rsid w:val="746E083A"/>
    <w:rsid w:val="75AB44BA"/>
    <w:rsid w:val="79B7155B"/>
    <w:rsid w:val="79DC07A5"/>
    <w:rsid w:val="7A2D36EF"/>
    <w:rsid w:val="7ACA53E2"/>
    <w:rsid w:val="7B143565"/>
    <w:rsid w:val="7B98103C"/>
    <w:rsid w:val="7C9537CE"/>
    <w:rsid w:val="7E2E7A36"/>
    <w:rsid w:val="7E703A39"/>
    <w:rsid w:val="7F3217A8"/>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9"/>
    <w:qFormat/>
    <w:uiPriority w:val="99"/>
    <w:pPr>
      <w:autoSpaceDE w:val="0"/>
      <w:autoSpaceDN w:val="0"/>
      <w:adjustRightInd w:val="0"/>
      <w:jc w:val="left"/>
      <w:outlineLvl w:val="0"/>
    </w:pPr>
    <w:rPr>
      <w:rFonts w:ascii="方正小标宋简体" w:eastAsia="方正小标宋简体"/>
      <w:kern w:val="0"/>
      <w:sz w:val="24"/>
      <w:szCs w:val="24"/>
    </w:rPr>
  </w:style>
  <w:style w:type="paragraph" w:styleId="3">
    <w:name w:val="heading 2"/>
    <w:basedOn w:val="1"/>
    <w:next w:val="1"/>
    <w:link w:val="10"/>
    <w:qFormat/>
    <w:uiPriority w:val="99"/>
    <w:pPr>
      <w:autoSpaceDE w:val="0"/>
      <w:autoSpaceDN w:val="0"/>
      <w:adjustRightInd w:val="0"/>
      <w:jc w:val="left"/>
      <w:outlineLvl w:val="1"/>
    </w:pPr>
    <w:rPr>
      <w:rFonts w:ascii="方正小标宋简体" w:eastAsia="方正小标宋简体"/>
      <w:kern w:val="0"/>
      <w:sz w:val="24"/>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tabs>
        <w:tab w:val="center" w:pos="4153"/>
        <w:tab w:val="right" w:pos="8306"/>
      </w:tabs>
      <w:snapToGrid w:val="0"/>
      <w:jc w:val="center"/>
    </w:pPr>
    <w:rPr>
      <w:sz w:val="18"/>
      <w:szCs w:val="18"/>
    </w:rPr>
  </w:style>
  <w:style w:type="character" w:customStyle="1" w:styleId="9">
    <w:name w:val="标题 1 字符"/>
    <w:basedOn w:val="8"/>
    <w:link w:val="2"/>
    <w:qFormat/>
    <w:uiPriority w:val="99"/>
    <w:rPr>
      <w:rFonts w:ascii="方正小标宋简体" w:eastAsia="方正小标宋简体"/>
      <w:kern w:val="0"/>
      <w:sz w:val="24"/>
      <w:szCs w:val="24"/>
    </w:rPr>
  </w:style>
  <w:style w:type="character" w:customStyle="1" w:styleId="10">
    <w:name w:val="标题 2 字符"/>
    <w:basedOn w:val="8"/>
    <w:link w:val="3"/>
    <w:qFormat/>
    <w:uiPriority w:val="99"/>
    <w:rPr>
      <w:rFonts w:ascii="方正小标宋简体" w:eastAsia="方正小标宋简体"/>
      <w:kern w:val="0"/>
      <w:sz w:val="24"/>
      <w:szCs w:val="24"/>
    </w:rPr>
  </w:style>
  <w:style w:type="character" w:customStyle="1" w:styleId="11">
    <w:name w:val="页眉 字符"/>
    <w:basedOn w:val="8"/>
    <w:link w:val="6"/>
    <w:qFormat/>
    <w:uiPriority w:val="99"/>
    <w:rPr>
      <w:sz w:val="18"/>
      <w:szCs w:val="18"/>
    </w:rPr>
  </w:style>
  <w:style w:type="character" w:customStyle="1" w:styleId="12">
    <w:name w:val="页脚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3220</Words>
  <Characters>5638</Characters>
  <Lines>82</Lines>
  <Paragraphs>23</Paragraphs>
  <TotalTime>17</TotalTime>
  <ScaleCrop>false</ScaleCrop>
  <LinksUpToDate>false</LinksUpToDate>
  <CharactersWithSpaces>5662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2023-08-11T08:11:00Z</dcterms:created>
  <dc:creator>office</dc:creator>
  <cp:lastModifiedBy>Lenovo</cp:lastModifiedBy>
  <dcterms:modified xsi:type="dcterms:W3CDTF">2024-08-29T07:21:07Z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A44E0A178634409BBBA50D5636087390_13</vt:lpwstr>
  </property>
</Properties>
</file>