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华文中宋" w:hAnsi="华文中宋" w:eastAsia="华文中宋"/>
          <w:b/>
          <w:bCs/>
        </w:rPr>
        <w:t>天津市</w:t>
      </w:r>
      <w:r>
        <w:rPr>
          <w:rFonts w:hint="eastAsia" w:ascii="华文中宋" w:hAnsi="华文中宋" w:eastAsia="华文中宋"/>
          <w:b/>
          <w:bCs/>
          <w:lang w:eastAsia="zh-CN"/>
        </w:rPr>
        <w:t>南开区市场监管局</w:t>
      </w:r>
      <w:r>
        <w:rPr>
          <w:rFonts w:hint="eastAsia" w:ascii="华文中宋" w:hAnsi="华文中宋" w:eastAsia="华文中宋"/>
          <w:b/>
          <w:bCs/>
        </w:rPr>
        <w:t>预决算公开工作操作规程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天津市南开区市场监管局（以下简称区市场监管局）是区政府工作部门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，为正处级，加挂天津市南开区知识产权局牌子。下属二级事业单位天津市南开区计量检定所1个。2019年5月起财政关系由市级财政转移至区级，2019年当年决算中涉及财政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预算收支部分仅体现5-12月数据。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为进一步规范部门预决算公开工作，根据《中华人民共和国预算法》和财政部、市财政对预决算信息公开的有关要求，制定本规程。</w:t>
      </w:r>
    </w:p>
    <w:p>
      <w:pPr>
        <w:spacing w:line="560" w:lineRule="exact"/>
        <w:ind w:firstLine="600" w:firstLineChars="200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一、公开职责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区市场监管局</w:t>
      </w:r>
      <w:r>
        <w:rPr>
          <w:rFonts w:hint="eastAsia" w:ascii="仿宋_GB2312" w:eastAsia="仿宋_GB2312"/>
          <w:sz w:val="30"/>
          <w:szCs w:val="30"/>
        </w:rPr>
        <w:t>是</w:t>
      </w:r>
      <w:r>
        <w:rPr>
          <w:rFonts w:hint="eastAsia" w:ascii="仿宋_GB2312" w:eastAsia="仿宋_GB2312"/>
          <w:sz w:val="30"/>
          <w:szCs w:val="30"/>
          <w:lang w:eastAsia="zh-CN"/>
        </w:rPr>
        <w:t>本</w:t>
      </w:r>
      <w:r>
        <w:rPr>
          <w:rFonts w:hint="eastAsia" w:ascii="仿宋_GB2312" w:eastAsia="仿宋_GB2312"/>
          <w:sz w:val="30"/>
          <w:szCs w:val="30"/>
        </w:rPr>
        <w:t>部门预决算公开的主体，负责本单位预决算公开工作，</w:t>
      </w:r>
      <w:r>
        <w:rPr>
          <w:rFonts w:hint="eastAsia" w:ascii="仿宋_GB2312" w:eastAsia="仿宋_GB2312"/>
          <w:sz w:val="30"/>
          <w:szCs w:val="30"/>
          <w:lang w:eastAsia="zh-CN"/>
        </w:rPr>
        <w:t>下属</w:t>
      </w:r>
      <w:r>
        <w:rPr>
          <w:rFonts w:hint="eastAsia" w:ascii="仿宋_GB2312" w:eastAsia="仿宋_GB2312"/>
          <w:sz w:val="30"/>
          <w:szCs w:val="30"/>
        </w:rPr>
        <w:t>单位应当树立依法公开观念，增强主动公开意识，切实履行主动公开责任，做好预决算公开后的说明解释工作。</w:t>
      </w:r>
    </w:p>
    <w:p>
      <w:pPr>
        <w:spacing w:line="560" w:lineRule="exact"/>
        <w:ind w:firstLine="600" w:firstLineChars="200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二、公开时间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按照《预算法》、</w:t>
      </w:r>
      <w:r>
        <w:rPr>
          <w:rFonts w:hint="eastAsia" w:ascii="仿宋_GB2312" w:eastAsia="仿宋_GB2312"/>
          <w:sz w:val="30"/>
          <w:szCs w:val="30"/>
        </w:rPr>
        <w:t>《天津市预算审查监督条例》</w:t>
      </w:r>
      <w:r>
        <w:rPr>
          <w:rFonts w:hint="eastAsia" w:eastAsia="仿宋_GB2312"/>
          <w:sz w:val="30"/>
          <w:szCs w:val="30"/>
        </w:rPr>
        <w:t>相关规定，经</w:t>
      </w:r>
      <w:r>
        <w:rPr>
          <w:rFonts w:hint="eastAsia" w:ascii="仿宋_GB2312" w:eastAsia="仿宋_GB2312"/>
          <w:sz w:val="30"/>
          <w:szCs w:val="30"/>
        </w:rPr>
        <w:t>财政部门批复的部门预算、决算及报表，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区市场监管局</w:t>
      </w:r>
      <w:r>
        <w:rPr>
          <w:rFonts w:hint="eastAsia" w:ascii="仿宋_GB2312" w:eastAsia="仿宋_GB2312"/>
          <w:sz w:val="30"/>
          <w:szCs w:val="30"/>
        </w:rPr>
        <w:t>应当在批复后二十日内向社会公开；</w:t>
      </w:r>
      <w:r>
        <w:rPr>
          <w:rFonts w:hint="eastAsia" w:ascii="仿宋_GB2312" w:eastAsia="仿宋_GB2312"/>
          <w:sz w:val="30"/>
          <w:szCs w:val="30"/>
          <w:lang w:eastAsia="zh-CN"/>
        </w:rPr>
        <w:t>下属单位应</w:t>
      </w:r>
      <w:r>
        <w:rPr>
          <w:rFonts w:hint="eastAsia" w:ascii="仿宋_GB2312" w:eastAsia="仿宋_GB2312"/>
          <w:sz w:val="30"/>
          <w:szCs w:val="30"/>
        </w:rPr>
        <w:t>经预算主管部门批复的单位预算、决算及报表，应当在批复之日起二十日内由各单位向社会公开。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区市场监管局及下属单位</w:t>
      </w:r>
      <w:r>
        <w:rPr>
          <w:rFonts w:hint="eastAsia" w:ascii="仿宋_GB2312" w:eastAsia="仿宋_GB2312"/>
          <w:sz w:val="30"/>
          <w:szCs w:val="30"/>
        </w:rPr>
        <w:t>必须在法律规定的时限内公开，原则上在同一天集中公开。</w:t>
      </w:r>
    </w:p>
    <w:p>
      <w:pPr>
        <w:spacing w:line="560" w:lineRule="exact"/>
        <w:ind w:firstLine="600" w:firstLineChars="200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三、公开内容</w:t>
      </w:r>
    </w:p>
    <w:p>
      <w:pPr>
        <w:spacing w:line="560" w:lineRule="exact"/>
        <w:ind w:firstLine="6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部门预决算公开的内容为财政部门批复的部门预决算及报表，包括收支总体情况和财政拨款收支情况。涉及国家秘密的信息除外。</w:t>
      </w:r>
    </w:p>
    <w:p>
      <w:pPr>
        <w:spacing w:line="560" w:lineRule="exact"/>
        <w:ind w:firstLine="567" w:firstLineChars="18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般公共预算支出情况表公开到功能分类项级科目。一般公共预算基本支出表公开到经济性质分类款级科目。一般公共预算“三公”经费支出表按“因公出国（境）费”、“公务用车购置及运行费”、“公务接待费”公开，其中，“公务用车购置及运行费”应细化到“公务用车购置费”、“公务用车运行费”两个项目。</w:t>
      </w:r>
    </w:p>
    <w:p>
      <w:pPr>
        <w:spacing w:line="560" w:lineRule="exact"/>
        <w:ind w:firstLine="567" w:firstLineChars="18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公开部门预决算时，应当一并公开本部门职责、机构设置情况、预决算收支增减变化、机关运行经费安排、政府采购、预算绩效以及国有资产占用等情况的说明，并对专业性较强的名词进行解释。</w:t>
      </w:r>
    </w:p>
    <w:p>
      <w:pPr>
        <w:spacing w:line="560" w:lineRule="exact"/>
        <w:ind w:firstLine="600" w:firstLineChars="200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四、公开形式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区市场监管局</w:t>
      </w:r>
      <w:r>
        <w:rPr>
          <w:rFonts w:hint="eastAsia" w:ascii="仿宋_GB2312" w:hAnsi="仿宋_GB2312" w:eastAsia="仿宋_GB2312" w:cs="仿宋_GB2312"/>
          <w:sz w:val="30"/>
          <w:szCs w:val="30"/>
        </w:rPr>
        <w:t>应当通过本单位门户网站向社会公开部门预决算</w:t>
      </w:r>
      <w:r>
        <w:rPr>
          <w:rFonts w:hint="eastAsia" w:ascii="仿宋_GB2312" w:eastAsia="仿宋_GB2312"/>
          <w:sz w:val="30"/>
          <w:szCs w:val="30"/>
        </w:rPr>
        <w:t>及“三公”经费预决算</w:t>
      </w:r>
      <w:r>
        <w:rPr>
          <w:rFonts w:hint="eastAsia" w:ascii="仿宋_GB2312" w:hAnsi="仿宋_GB2312" w:eastAsia="仿宋_GB2312" w:cs="仿宋_GB2312"/>
          <w:sz w:val="30"/>
          <w:szCs w:val="30"/>
        </w:rPr>
        <w:t>，并永久保留；各部门设立本部门预决算公开专栏，汇总集中公开所属单位预决算信息。</w:t>
      </w:r>
    </w:p>
    <w:p>
      <w:pPr>
        <w:spacing w:line="560" w:lineRule="exact"/>
        <w:ind w:firstLine="600" w:firstLineChars="200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五、涉密事项管理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区市场监管局</w:t>
      </w:r>
      <w:r>
        <w:rPr>
          <w:rFonts w:hint="eastAsia" w:ascii="仿宋_GB2312" w:eastAsia="仿宋_GB2312"/>
          <w:sz w:val="30"/>
          <w:szCs w:val="30"/>
        </w:rPr>
        <w:t>应当建立健全预决算公开保密审查机制，严格按照《中华人民共和国保守国家秘密法》、《中华人民共和国政府信息公开条例》等法律法规规定进行审查。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区市场监管局</w:t>
      </w:r>
      <w:r>
        <w:rPr>
          <w:rFonts w:hint="eastAsia" w:ascii="仿宋_GB2312" w:eastAsia="仿宋_GB2312"/>
          <w:sz w:val="30"/>
          <w:szCs w:val="30"/>
        </w:rPr>
        <w:t>在依法公开部门预决算时，对涉及国家秘密的内容不予公开。部分内容涉及国家秘密的，在确保安全的前提下，按照下列原则处理：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（一）同一功能分类款级科目下，大部分项级科目涉密的，仅公开到该款级科目；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（二）同一功能分类类级科目下，大部分款级科目涉密的，仅公开到该类级科目；</w:t>
      </w:r>
    </w:p>
    <w:p>
      <w:pPr>
        <w:spacing w:line="560" w:lineRule="exact"/>
        <w:ind w:firstLine="600" w:firstLineChars="200"/>
        <w:rPr>
          <w:rFonts w:hint="eastAsia"/>
        </w:rPr>
      </w:pPr>
      <w:r>
        <w:rPr>
          <w:rFonts w:hint="eastAsia" w:ascii="仿宋_GB2312" w:eastAsia="仿宋_GB2312"/>
          <w:sz w:val="30"/>
          <w:szCs w:val="30"/>
        </w:rPr>
        <w:t>（三）个别功能分类款级科目或项级科目涉密的，除不公开该涉密科目外，同一级次的“其他支出”科目也不公开。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F18DF"/>
    <w:rsid w:val="01D7147A"/>
    <w:rsid w:val="28B60DBF"/>
    <w:rsid w:val="5E3F18DF"/>
    <w:rsid w:val="683F5DB4"/>
    <w:rsid w:val="77A137E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Title"/>
    <w:basedOn w:val="1"/>
    <w:next w:val="1"/>
    <w:qFormat/>
    <w:uiPriority w:val="0"/>
    <w:pPr>
      <w:spacing w:before="240" w:after="480"/>
      <w:ind w:firstLine="0" w:firstLineChars="0"/>
      <w:jc w:val="center"/>
      <w:outlineLvl w:val="0"/>
    </w:pPr>
    <w:rPr>
      <w:rFonts w:eastAsia="黑体"/>
      <w:b/>
      <w:bCs/>
      <w:kern w:val="0"/>
      <w:sz w:val="36"/>
      <w:szCs w:val="32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2020-08-14T10:27:00Z</dcterms:created>
  <dc:creator>Administrator</dc:creator>
  <cp:lastModifiedBy>Administrator</cp:lastModifiedBy>
  <dcterms:modified xsi:type="dcterms:W3CDTF">2010-03-10T17:23:04Z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