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E3BA3">
      <w:pPr>
        <w:spacing w:line="600" w:lineRule="auto"/>
        <w:jc w:val="both"/>
        <w:rPr>
          <w:rFonts w:hint="eastAsia" w:asciiTheme="minorEastAsia" w:hAnsiTheme="minorEastAsia" w:eastAsiaTheme="minorEastAsia" w:cstheme="minorEastAsia"/>
          <w:b w:val="0"/>
          <w:bCs w:val="0"/>
          <w:color w:val="000000"/>
          <w:sz w:val="22"/>
          <w:szCs w:val="22"/>
        </w:rPr>
      </w:pPr>
    </w:p>
    <w:p w14:paraId="39081E5A">
      <w:pPr>
        <w:spacing w:line="600" w:lineRule="auto"/>
        <w:jc w:val="both"/>
        <w:rPr>
          <w:rFonts w:hint="eastAsia" w:asciiTheme="minorEastAsia" w:hAnsiTheme="minorEastAsia" w:eastAsiaTheme="minorEastAsia" w:cstheme="minorEastAsia"/>
          <w:b w:val="0"/>
          <w:bCs w:val="0"/>
          <w:color w:val="000000"/>
          <w:sz w:val="22"/>
          <w:szCs w:val="22"/>
        </w:rPr>
      </w:pPr>
    </w:p>
    <w:p w14:paraId="787DBD6B">
      <w:pPr>
        <w:spacing w:line="600" w:lineRule="auto"/>
        <w:jc w:val="both"/>
        <w:rPr>
          <w:rFonts w:hint="eastAsia" w:asciiTheme="minorEastAsia" w:hAnsiTheme="minorEastAsia" w:eastAsiaTheme="minorEastAsia" w:cstheme="minorEastAsia"/>
          <w:b w:val="0"/>
          <w:bCs w:val="0"/>
          <w:color w:val="000000"/>
          <w:sz w:val="22"/>
          <w:szCs w:val="22"/>
        </w:rPr>
      </w:pPr>
    </w:p>
    <w:p w14:paraId="60901EA9">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天津市南开区市场监督管理局</w:t>
      </w:r>
    </w:p>
    <w:p w14:paraId="041F63EA">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9F66D9">
      <w:pPr>
        <w:spacing w:line="600" w:lineRule="auto"/>
        <w:jc w:val="both"/>
        <w:rPr>
          <w:rFonts w:hint="eastAsia" w:asciiTheme="minorEastAsia" w:hAnsiTheme="minorEastAsia" w:eastAsiaTheme="minorEastAsia" w:cstheme="minorEastAsia"/>
          <w:b w:val="0"/>
          <w:bCs w:val="0"/>
          <w:color w:val="000000"/>
          <w:sz w:val="22"/>
          <w:szCs w:val="22"/>
        </w:rPr>
      </w:pPr>
    </w:p>
    <w:p w14:paraId="7DC5D761">
      <w:pPr>
        <w:spacing w:line="600" w:lineRule="auto"/>
        <w:jc w:val="both"/>
        <w:rPr>
          <w:rFonts w:hint="eastAsia" w:asciiTheme="minorEastAsia" w:hAnsiTheme="minorEastAsia" w:eastAsiaTheme="minorEastAsia" w:cstheme="minorEastAsia"/>
          <w:b w:val="0"/>
          <w:bCs w:val="0"/>
          <w:color w:val="000000"/>
          <w:sz w:val="22"/>
          <w:szCs w:val="22"/>
        </w:rPr>
      </w:pPr>
    </w:p>
    <w:p w14:paraId="4E2048EA">
      <w:pPr>
        <w:spacing w:line="600" w:lineRule="auto"/>
        <w:jc w:val="both"/>
        <w:rPr>
          <w:rFonts w:hint="eastAsia" w:asciiTheme="minorEastAsia" w:hAnsiTheme="minorEastAsia" w:eastAsiaTheme="minorEastAsia" w:cstheme="minorEastAsia"/>
          <w:b w:val="0"/>
          <w:bCs w:val="0"/>
          <w:color w:val="000000"/>
          <w:sz w:val="22"/>
          <w:szCs w:val="22"/>
        </w:rPr>
      </w:pPr>
    </w:p>
    <w:p w14:paraId="4B7E0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41CBD251">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73D18C7F">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655C715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3C8712D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3173D95B">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5FE4F2F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0252AC8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7BC7EC4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267ABBD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2563457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477E0D6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050F513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7035A6E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4DD8B80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5DB2101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2B6A679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3951F539">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29CE028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21C1009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1E097C8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7A0EF5D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202036F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2DE1E21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365F583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335E744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2AB2466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6487650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19ACBA5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621AE51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6300FFB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482DE4D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24FF329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4757A966">
      <w:pPr>
        <w:rPr>
          <w:rFonts w:hint="eastAsia" w:asciiTheme="minorEastAsia" w:hAnsiTheme="minorEastAsia" w:eastAsiaTheme="minorEastAsia" w:cstheme="minorEastAsia"/>
          <w:b w:val="0"/>
          <w:bCs w:val="0"/>
          <w:sz w:val="22"/>
          <w:szCs w:val="22"/>
          <w:highlight w:val="yellow"/>
        </w:rPr>
      </w:pPr>
    </w:p>
    <w:p w14:paraId="5FEC6E82">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4D369A3B">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headerReference r:id="rId3" w:type="default"/>
          <w:footerReference r:id="rId4"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6D18418C">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6F92BE3F">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68BDBA0E">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南开区市场监督管理局主要职责包括负责宣传、贯彻、执行有关市场监督管理、质量技术监督和食品药品安全监督管理工作的法律、法规及规章；依法组织区内各类市场主体的登记注册并监督管理，依法查处无照经营行为；依法规范和维护区内各类市场的经营秩序，监督管理市场交易行为和网络商品交易及有关服务的行为；依法实施合同的行政监督管理；指导辖区企业、个体工商户、商品交易市场的信用分类管理、收集、整理和报送监管职责内的市场主体登记注册基础信息；负责质量管理工作；负责产品质量安全监督工作；负责标准化管理工作；负责计量监督管理工作；负责认证认可监督管理工作；负责特种设备的安全检查工作；负责食品监督管理工作；负责药品零售、医疗器械经营学科、检查和处罚，以及化妆品经营和药品、医疗器械使用环节质量的检查和处罚；负责市场安全应急体系建设；依法加强市场监督管理信息化建设；负责保护知识产权；负责促进知识产权运用；负责本领域安全生产监督管理工作；配合有关部门推动招商引资工作；负责市场监管体系人才队伍建设；完成区委、区政府交办的其他事项。</w:t>
      </w:r>
    </w:p>
    <w:p w14:paraId="03009B5D">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A475BD3">
      <w:pPr>
        <w:numPr>
          <w:ilvl w:val="0"/>
          <w:numId w:val="0"/>
        </w:num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eastAsia="zh-CN"/>
        </w:rPr>
      </w:pPr>
      <w:r>
        <w:rPr>
          <w:rFonts w:ascii="Times New Roman" w:eastAsia="仿宋_GB2312"/>
          <w:b w:val="0"/>
          <w:sz w:val="30"/>
          <w:szCs w:val="30"/>
        </w:rPr>
        <w:t>天津市南开区市场监督管理局内设</w:t>
      </w:r>
      <w:r>
        <w:rPr>
          <w:rFonts w:hint="eastAsia" w:ascii="Times New Roman" w:eastAsia="仿宋_GB2312"/>
          <w:b w:val="0"/>
          <w:sz w:val="30"/>
          <w:szCs w:val="30"/>
          <w:lang w:val="en-US" w:eastAsia="zh-CN"/>
        </w:rPr>
        <w:t>23</w:t>
      </w:r>
      <w:r>
        <w:rPr>
          <w:rFonts w:ascii="Times New Roman" w:eastAsia="仿宋_GB2312"/>
          <w:b w:val="0"/>
          <w:sz w:val="30"/>
          <w:szCs w:val="30"/>
        </w:rPr>
        <w:t>个职能</w:t>
      </w:r>
      <w:r>
        <w:rPr>
          <w:rFonts w:hint="eastAsia" w:ascii="Times New Roman" w:eastAsia="仿宋_GB2312"/>
          <w:b w:val="0"/>
          <w:sz w:val="30"/>
          <w:szCs w:val="30"/>
          <w:lang w:eastAsia="zh-CN"/>
        </w:rPr>
        <w:t>科室</w:t>
      </w:r>
      <w:r>
        <w:rPr>
          <w:rFonts w:ascii="Times New Roman" w:eastAsia="仿宋_GB2312"/>
          <w:b w:val="0"/>
          <w:sz w:val="30"/>
          <w:szCs w:val="30"/>
        </w:rPr>
        <w:t>；下辖1个预算单位。纳入天津市南开区市场监督管理局2024年度部门决算编制范围的单位包括：</w:t>
      </w:r>
    </w:p>
    <w:p w14:paraId="7AFD47ED">
      <w:pPr>
        <w:numPr>
          <w:ilvl w:val="0"/>
          <w:numId w:val="2"/>
        </w:num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天津市南开区市场监督管理局（本级）</w:t>
      </w:r>
    </w:p>
    <w:p w14:paraId="0F531A7D">
      <w:pPr>
        <w:numPr>
          <w:ilvl w:val="0"/>
          <w:numId w:val="2"/>
        </w:num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天津市南开区计量检定所</w:t>
      </w:r>
    </w:p>
    <w:p w14:paraId="15F341F4">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5" w:type="default"/>
          <w:footerReference r:id="rId6" w:type="default"/>
          <w:pgSz w:w="11906" w:h="16838"/>
          <w:pgMar w:top="1531" w:right="1984" w:bottom="1531" w:left="209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44114C60">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700F960A">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1388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189F77A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部门（单位）：天津市南开区市场监督管理局 </w:t>
            </w:r>
          </w:p>
        </w:tc>
        <w:tc>
          <w:tcPr>
            <w:tcW w:w="1087" w:type="pct"/>
            <w:tcBorders>
              <w:top w:val="nil"/>
              <w:left w:val="nil"/>
              <w:bottom w:val="nil"/>
              <w:right w:val="nil"/>
            </w:tcBorders>
            <w:shd w:val="clear" w:color="auto" w:fill="auto"/>
            <w:noWrap/>
            <w:vAlign w:val="bottom"/>
          </w:tcPr>
          <w:p w14:paraId="0D4CA060">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4C9B3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91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1A52612A">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C28266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66B9A986">
            <w:pPr>
              <w:jc w:val="center"/>
              <w:rPr>
                <w:rFonts w:hint="eastAsia" w:asciiTheme="minorEastAsia" w:hAnsiTheme="minorEastAsia" w:eastAsiaTheme="minorEastAsia" w:cstheme="minorEastAsia"/>
                <w:b w:val="0"/>
                <w:bCs w:val="0"/>
                <w:i w:val="0"/>
                <w:iCs w:val="0"/>
                <w:color w:val="000000"/>
                <w:sz w:val="22"/>
                <w:szCs w:val="22"/>
                <w:u w:val="none"/>
              </w:rPr>
            </w:pPr>
          </w:p>
        </w:tc>
      </w:tr>
      <w:tr w14:paraId="7B55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CF09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0A1573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29B0A5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1EEF63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666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DD02B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7C7CB0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85,193,923.65</w:t>
            </w:r>
          </w:p>
        </w:tc>
        <w:tc>
          <w:tcPr>
            <w:tcW w:w="1285" w:type="pct"/>
            <w:tcBorders>
              <w:top w:val="nil"/>
              <w:left w:val="nil"/>
              <w:bottom w:val="single" w:color="000000" w:sz="4" w:space="0"/>
              <w:right w:val="single" w:color="000000" w:sz="4" w:space="0"/>
            </w:tcBorders>
            <w:shd w:val="clear" w:color="auto" w:fill="auto"/>
            <w:noWrap/>
            <w:vAlign w:val="center"/>
          </w:tcPr>
          <w:p w14:paraId="230CBC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18DD27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73,486,666.99</w:t>
            </w:r>
          </w:p>
        </w:tc>
      </w:tr>
      <w:tr w14:paraId="09D2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B77B5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005109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3A555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0EDFBB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EDE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9F4E6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818D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82248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73EB49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79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2F508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40BB14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6A175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3F1FE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A6C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19350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BBB2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034D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1FE38F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24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3547B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506A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697F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6A6352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7,827,496.14</w:t>
            </w:r>
          </w:p>
        </w:tc>
      </w:tr>
      <w:tr w14:paraId="2529F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B7854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21A244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DEFB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0608A5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3,879,760.52</w:t>
            </w:r>
          </w:p>
        </w:tc>
      </w:tr>
      <w:tr w14:paraId="43B2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75830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4F1DB7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4E4E2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1D0C3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658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AF99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76749C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0695B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234501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90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6BD5E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4B043C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6F95D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41A39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9F0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035893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EAAE42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9BB6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4E7F6C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37C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635CE5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67D3098">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D7E0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003D7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D3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E091DD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B8C39B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B82C0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655C2B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43A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373B4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25FF0C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636D7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52A7B3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E30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79115C0">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603D75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759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3529B0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5FB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4ED1AB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74094A8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1DE72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25981B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FA9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B614D0">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439D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C6E74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7A69F9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1137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74F99A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317598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6C019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350E7F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F5C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7C7B1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91BC6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9D3F9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2349C5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BCE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B21C89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F294AC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BFF0F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4BABAB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EB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F67ACA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64EB80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315D5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55A627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F8D2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FCC4B0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4E9313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41D3B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FE040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E28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CC0304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7A1C6EF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20873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2D3702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58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78FE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0640A9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85,193,923.65</w:t>
            </w:r>
          </w:p>
        </w:tc>
        <w:tc>
          <w:tcPr>
            <w:tcW w:w="1285" w:type="pct"/>
            <w:tcBorders>
              <w:top w:val="nil"/>
              <w:left w:val="nil"/>
              <w:bottom w:val="single" w:color="000000" w:sz="4" w:space="0"/>
              <w:right w:val="single" w:color="000000" w:sz="4" w:space="0"/>
            </w:tcBorders>
            <w:shd w:val="clear" w:color="auto" w:fill="auto"/>
            <w:noWrap/>
            <w:vAlign w:val="center"/>
          </w:tcPr>
          <w:p w14:paraId="623B9E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6DFF25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85,193,923.65</w:t>
            </w:r>
          </w:p>
        </w:tc>
      </w:tr>
      <w:tr w14:paraId="203BF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A1F49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049801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3DB64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5C9E6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FC1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05C16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1C7093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8DA94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48652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BF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5AE2A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4B6A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EAC8E05">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392671CE">
            <w:pPr>
              <w:jc w:val="left"/>
              <w:rPr>
                <w:rFonts w:hint="eastAsia" w:asciiTheme="minorEastAsia" w:hAnsiTheme="minorEastAsia" w:eastAsiaTheme="minorEastAsia" w:cstheme="minorEastAsia"/>
                <w:b w:val="0"/>
                <w:bCs w:val="0"/>
                <w:i w:val="0"/>
                <w:iCs w:val="0"/>
                <w:color w:val="000000"/>
                <w:sz w:val="22"/>
                <w:szCs w:val="22"/>
                <w:u w:val="none"/>
              </w:rPr>
            </w:pPr>
          </w:p>
        </w:tc>
      </w:tr>
      <w:tr w14:paraId="32703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01E41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18B6A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80AB3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5A30DD0E">
            <w:pPr>
              <w:jc w:val="left"/>
              <w:rPr>
                <w:rFonts w:hint="eastAsia" w:asciiTheme="minorEastAsia" w:hAnsiTheme="minorEastAsia" w:eastAsiaTheme="minorEastAsia" w:cstheme="minorEastAsia"/>
                <w:b w:val="0"/>
                <w:bCs w:val="0"/>
                <w:i w:val="0"/>
                <w:iCs w:val="0"/>
                <w:color w:val="000000"/>
                <w:sz w:val="22"/>
                <w:szCs w:val="22"/>
                <w:u w:val="none"/>
              </w:rPr>
            </w:pPr>
          </w:p>
        </w:tc>
      </w:tr>
      <w:tr w14:paraId="7DA48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3A31F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6A888D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85,193,923.65</w:t>
            </w:r>
          </w:p>
        </w:tc>
        <w:tc>
          <w:tcPr>
            <w:tcW w:w="1285" w:type="pct"/>
            <w:tcBorders>
              <w:top w:val="nil"/>
              <w:left w:val="nil"/>
              <w:bottom w:val="single" w:color="000000" w:sz="4" w:space="0"/>
              <w:right w:val="single" w:color="000000" w:sz="4" w:space="0"/>
            </w:tcBorders>
            <w:shd w:val="clear" w:color="auto" w:fill="auto"/>
            <w:noWrap/>
            <w:vAlign w:val="center"/>
          </w:tcPr>
          <w:p w14:paraId="00427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70CB9B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85,193,923.65</w:t>
            </w:r>
          </w:p>
        </w:tc>
      </w:tr>
      <w:tr w14:paraId="52DF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41AC4E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521B6120">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2CE7AF9E">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54E88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1969506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部门（单位）：天津市南开区市场监督管理局 </w:t>
            </w:r>
          </w:p>
        </w:tc>
        <w:tc>
          <w:tcPr>
            <w:tcW w:w="440" w:type="pct"/>
            <w:tcBorders>
              <w:top w:val="nil"/>
              <w:left w:val="nil"/>
              <w:bottom w:val="nil"/>
              <w:right w:val="nil"/>
            </w:tcBorders>
            <w:shd w:val="clear" w:color="auto" w:fill="auto"/>
            <w:noWrap/>
            <w:vAlign w:val="bottom"/>
          </w:tcPr>
          <w:p w14:paraId="7985A77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1CB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9C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9B457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23F6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2722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67D9DF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08E5EC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19B08F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4E6788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58EED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078F91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14:paraId="54A948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81A6B3C">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787E4D7">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396111">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2663AA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14:paraId="0DE001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8B185B6">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A0E5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E8D63DE">
            <w:pPr>
              <w:jc w:val="center"/>
              <w:rPr>
                <w:rFonts w:hint="eastAsia" w:asciiTheme="minorEastAsia" w:hAnsiTheme="minorEastAsia" w:eastAsiaTheme="minorEastAsia" w:cstheme="minorEastAsia"/>
                <w:b w:val="0"/>
                <w:bCs w:val="0"/>
                <w:i w:val="0"/>
                <w:iCs w:val="0"/>
                <w:color w:val="000000"/>
                <w:sz w:val="15"/>
                <w:szCs w:val="15"/>
                <w:u w:val="none"/>
              </w:rPr>
            </w:pPr>
          </w:p>
        </w:tc>
      </w:tr>
      <w:tr w14:paraId="76D9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443929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14:paraId="248259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85,193,923.65</w:t>
            </w:r>
          </w:p>
        </w:tc>
        <w:tc>
          <w:tcPr>
            <w:tcW w:w="406" w:type="pct"/>
            <w:tcBorders>
              <w:top w:val="nil"/>
              <w:left w:val="nil"/>
              <w:bottom w:val="nil"/>
              <w:right w:val="single" w:color="000000" w:sz="4" w:space="0"/>
            </w:tcBorders>
            <w:shd w:val="clear" w:color="auto" w:fill="auto"/>
            <w:vAlign w:val="center"/>
          </w:tcPr>
          <w:p w14:paraId="39232D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85,193,923.65</w:t>
            </w:r>
          </w:p>
        </w:tc>
        <w:tc>
          <w:tcPr>
            <w:tcW w:w="439" w:type="pct"/>
            <w:tcBorders>
              <w:top w:val="nil"/>
              <w:left w:val="nil"/>
              <w:bottom w:val="nil"/>
              <w:right w:val="single" w:color="000000" w:sz="4" w:space="0"/>
            </w:tcBorders>
            <w:shd w:val="clear" w:color="auto" w:fill="auto"/>
            <w:vAlign w:val="center"/>
          </w:tcPr>
          <w:p w14:paraId="3F3DA6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14:paraId="6EF97A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14:paraId="5FDC60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14:paraId="5D17AD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31D86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14:paraId="738ADD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9C9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CF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57D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01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73,486,666.99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AB9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73,486,666.99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C7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31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0F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78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28D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E2D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1C08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4F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A0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市场监督管理事务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FB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73,486,666.99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1B6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73,486,666.99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AF6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B4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EC5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D4C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33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EE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6173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95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2013801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2C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6E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62,980,681.07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F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62,980,681.07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F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B4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96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3E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942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479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266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8D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E1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一般行政管理事务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0D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1,515,986.16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40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1,515,986.16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88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8D7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57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E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627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54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8AFE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F0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2013803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2F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机关服务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58F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81,100.20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19A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81,100.20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F7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491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CE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FD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C96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DE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9BD0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F7C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2013815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CC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质量安全监管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7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111,767.33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DF8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111,767.33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F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B87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A7E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49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7B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BA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806D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A15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2013816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DE9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食品安全监管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9B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1,551,080.60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F7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1,551,080.60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63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45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990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05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BF7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7F9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C3F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B3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2013850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62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65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3,346,704.15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8C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3,346,704.15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25C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45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355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683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0F7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22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E736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6D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2013899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60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其他市场监督管理事务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4A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3,899,347.48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33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3,899,347.48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B8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9C1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371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0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85B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3C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8273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112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7C1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890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7,827,496.14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7A5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7,827,496.14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07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708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161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BB0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23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4B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7EC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20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D7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12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7,827,496.14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598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7,827,496.14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11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7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525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9A2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84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7E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2B2D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94B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A04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4F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5,218,359.79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FC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5,218,359.79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BC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58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035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1D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924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B05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6979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9D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678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2C4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2,609,136.35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20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2,609,136.35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3ED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FB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E4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CA9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9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73E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375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7C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E3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C2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3,879,760.52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9DD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3,879,760.52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A4C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10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38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A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633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A4E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4F3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5B3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13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8A4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3,879,760.52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C31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3,879,760.52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28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76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C5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2E9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B2D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E51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4520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BD9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BB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64D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3,091,487.17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B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3,091,487.17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6E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D17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42C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435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86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8E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37C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2E7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D4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18E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170,016.57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2C2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170,016.57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401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6BF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43A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348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4D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41A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4A57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47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9D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BF6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618,256.78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0A0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618,256.78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45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D9F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3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3DC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F53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538F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4C0191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79521E9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C4D555A">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4DA2F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5A36EAC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部门（单位）：天津市南开区市场监督管理局 </w:t>
            </w:r>
          </w:p>
        </w:tc>
        <w:tc>
          <w:tcPr>
            <w:tcW w:w="239" w:type="pct"/>
            <w:tcBorders>
              <w:top w:val="nil"/>
              <w:left w:val="nil"/>
              <w:bottom w:val="nil"/>
              <w:right w:val="nil"/>
            </w:tcBorders>
            <w:shd w:val="clear" w:color="auto" w:fill="auto"/>
            <w:noWrap/>
            <w:vAlign w:val="bottom"/>
          </w:tcPr>
          <w:p w14:paraId="3ECFFF65">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770A0054">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299C6AD4">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0E7FF84E">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5BBF1581">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54497273">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14:paraId="652AA311">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14:paraId="5287F0A1">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5D189F3F">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14:paraId="0A2270E6">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14:paraId="6020A3D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005D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49B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671B34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5E8CE5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76F6C0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25EF33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5AB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70194">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64A96AE">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49ED7759">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55A8F0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38E506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6CFF28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044F02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0A97D9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2ABCBF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82E7F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0D3E32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C5DF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07AE15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108AEB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63D7E1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27A619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E226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9C3BF">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296FD693">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0BDC87AF">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44B01A09">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75CD807A">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2D91A7A4">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1D621EF5">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669D8364">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2865C2C7">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5F006308">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6C884485">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2340E32B">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2D1FFD95">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1E6F4BC0">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6728B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14:paraId="3E7501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14:paraId="18F24B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14:paraId="194E55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FF03C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14:paraId="5D0617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A99FE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6E8E5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76270D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14:paraId="18410A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85,193,923.65</w:t>
            </w:r>
          </w:p>
        </w:tc>
        <w:tc>
          <w:tcPr>
            <w:tcW w:w="627" w:type="dxa"/>
            <w:tcBorders>
              <w:top w:val="nil"/>
              <w:left w:val="nil"/>
              <w:bottom w:val="single" w:color="000000" w:sz="4" w:space="0"/>
              <w:right w:val="single" w:color="000000" w:sz="4" w:space="0"/>
            </w:tcBorders>
            <w:shd w:val="clear" w:color="auto" w:fill="auto"/>
            <w:noWrap/>
            <w:vAlign w:val="center"/>
          </w:tcPr>
          <w:p w14:paraId="68CE18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85,193,923.65</w:t>
            </w:r>
          </w:p>
        </w:tc>
        <w:tc>
          <w:tcPr>
            <w:tcW w:w="627" w:type="dxa"/>
            <w:tcBorders>
              <w:top w:val="nil"/>
              <w:left w:val="nil"/>
              <w:bottom w:val="single" w:color="000000" w:sz="4" w:space="0"/>
              <w:right w:val="single" w:color="000000" w:sz="4" w:space="0"/>
            </w:tcBorders>
            <w:shd w:val="clear" w:color="auto" w:fill="auto"/>
            <w:noWrap/>
            <w:vAlign w:val="center"/>
          </w:tcPr>
          <w:p w14:paraId="27E0D2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85,193,923.65</w:t>
            </w:r>
          </w:p>
        </w:tc>
        <w:tc>
          <w:tcPr>
            <w:tcW w:w="600" w:type="dxa"/>
            <w:tcBorders>
              <w:top w:val="nil"/>
              <w:left w:val="nil"/>
              <w:bottom w:val="single" w:color="000000" w:sz="4" w:space="0"/>
              <w:right w:val="single" w:color="000000" w:sz="4" w:space="0"/>
            </w:tcBorders>
            <w:shd w:val="clear" w:color="auto" w:fill="auto"/>
            <w:noWrap/>
            <w:vAlign w:val="center"/>
          </w:tcPr>
          <w:p w14:paraId="72CD5E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40" w:type="dxa"/>
            <w:tcBorders>
              <w:top w:val="nil"/>
              <w:left w:val="nil"/>
              <w:bottom w:val="single" w:color="000000" w:sz="4" w:space="0"/>
              <w:right w:val="single" w:color="000000" w:sz="4" w:space="0"/>
            </w:tcBorders>
            <w:shd w:val="clear" w:color="auto" w:fill="auto"/>
            <w:noWrap/>
            <w:vAlign w:val="center"/>
          </w:tcPr>
          <w:p w14:paraId="0DEA08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14:paraId="080996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14:paraId="4A98F2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14:paraId="21FBC6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0EF9F4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0384D8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14:paraId="290892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218395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2" w:type="dxa"/>
            <w:tcBorders>
              <w:top w:val="nil"/>
              <w:left w:val="nil"/>
              <w:bottom w:val="single" w:color="000000" w:sz="4" w:space="0"/>
              <w:right w:val="single" w:color="000000" w:sz="4" w:space="0"/>
            </w:tcBorders>
            <w:shd w:val="clear" w:color="auto" w:fill="auto"/>
            <w:noWrap/>
            <w:vAlign w:val="center"/>
          </w:tcPr>
          <w:p w14:paraId="16B6DC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53" w:type="dxa"/>
            <w:tcBorders>
              <w:top w:val="nil"/>
              <w:left w:val="nil"/>
              <w:bottom w:val="single" w:color="000000" w:sz="4" w:space="0"/>
              <w:right w:val="single" w:color="000000" w:sz="4" w:space="0"/>
            </w:tcBorders>
            <w:shd w:val="clear" w:color="auto" w:fill="auto"/>
            <w:noWrap/>
            <w:vAlign w:val="center"/>
          </w:tcPr>
          <w:p w14:paraId="068999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39" w:type="dxa"/>
            <w:tcBorders>
              <w:top w:val="nil"/>
              <w:left w:val="nil"/>
              <w:bottom w:val="single" w:color="000000" w:sz="4" w:space="0"/>
              <w:right w:val="single" w:color="000000" w:sz="4" w:space="0"/>
            </w:tcBorders>
            <w:shd w:val="clear" w:color="auto" w:fill="auto"/>
            <w:noWrap/>
            <w:vAlign w:val="center"/>
          </w:tcPr>
          <w:p w14:paraId="0692D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2A57A6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14:paraId="774B1F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nil"/>
              <w:left w:val="nil"/>
              <w:bottom w:val="single" w:color="000000" w:sz="4" w:space="0"/>
              <w:right w:val="single" w:color="000000" w:sz="4" w:space="0"/>
            </w:tcBorders>
            <w:shd w:val="clear" w:color="auto" w:fill="auto"/>
            <w:noWrap/>
            <w:vAlign w:val="center"/>
          </w:tcPr>
          <w:p w14:paraId="59B2D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0DA27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2E69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90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355101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879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天津市南开区市场监督管理局（本级）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15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84,181,847.49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80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84,181,847.49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AD6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84,181,847.49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BF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F3B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2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6E6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E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912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5C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064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125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52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315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5F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1C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140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35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1A0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004C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93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355202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F7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天津市南开区计量检定所</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6C6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1,012,076.16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9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1,012,076.16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8A1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1,012,076.16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AD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513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FD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816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F6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4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092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31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8E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EC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0AC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0BA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41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4E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BF0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E18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496AF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0A16FA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08EBC4D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A133A17">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0F86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F099C9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部门（单位）：天津市南开区市场监督管理局 </w:t>
            </w:r>
          </w:p>
        </w:tc>
        <w:tc>
          <w:tcPr>
            <w:tcW w:w="567" w:type="pct"/>
            <w:tcBorders>
              <w:top w:val="nil"/>
              <w:left w:val="nil"/>
              <w:bottom w:val="nil"/>
              <w:right w:val="nil"/>
            </w:tcBorders>
            <w:shd w:val="clear" w:color="auto" w:fill="auto"/>
            <w:noWrap/>
            <w:vAlign w:val="bottom"/>
          </w:tcPr>
          <w:p w14:paraId="61F2221E">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9F2F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83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DE8A6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C2CD1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ECFB7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0563C0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873B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BFAA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30284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6CCF84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14:paraId="058664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9D3DCB2">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C9337F8">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B5F0184">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EEEE154">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88C38">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B12072C">
            <w:pPr>
              <w:jc w:val="center"/>
              <w:rPr>
                <w:rFonts w:hint="eastAsia" w:asciiTheme="minorEastAsia" w:hAnsiTheme="minorEastAsia" w:eastAsiaTheme="minorEastAsia" w:cstheme="minorEastAsia"/>
                <w:b w:val="0"/>
                <w:bCs w:val="0"/>
                <w:i w:val="0"/>
                <w:iCs w:val="0"/>
                <w:color w:val="000000"/>
                <w:sz w:val="22"/>
                <w:szCs w:val="22"/>
                <w:u w:val="none"/>
              </w:rPr>
            </w:pPr>
          </w:p>
        </w:tc>
      </w:tr>
      <w:tr w14:paraId="62F5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88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09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85,193,923.65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787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78,034,641.88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EE3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7,159,281.77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FDF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7F4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F07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E1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1E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0F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34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73,486,666.99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4D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66,327,385.22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6B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7,159,281.77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7C2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16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A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8C7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CC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E0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市场监督管理事务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B68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73,486,666.99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03E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66,327,385.22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C7B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7,159,281.77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C28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3A3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F8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31E8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39E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2013801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1E1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8C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62,980,681.07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59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62,980,681.07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D8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42F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805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AA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FB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76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8E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9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1,515,986.16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621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D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1,515,986.16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3D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9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EF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E3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27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2013803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9D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E8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81,100.20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3C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58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81,100.20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327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61B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47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E82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2EC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2013815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FAB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质量安全监管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DA2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111,767.33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CB7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F0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111,767.33</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C1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ED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0C5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187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F08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2013816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6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食品安全监管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495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1,551,080.60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69D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EC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1,551,080.60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A38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64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3FB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F0B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96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2013850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9C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D03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3,346,704.15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D55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3,346,704.15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E1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BA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9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B0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CC9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F0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2013899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B9D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其他市场监督管理事务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6E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3,899,347.48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50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88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3,899,347.48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CC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9FE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72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9E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E4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D7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4F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7,827,496.14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3BB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7,827,496.14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81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521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F5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4E7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9A7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DB5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C24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01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7,827,496.14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5AA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7,827,496.14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022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BBB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FEA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B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20C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64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C98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955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5,218,359.79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7B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5,218,359.79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D1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C7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62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DA4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8C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75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C9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8F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2,609,136.35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596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2,609,136.35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E32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A8C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74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7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A3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98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30D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1C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3,879,760.52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59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3,879,760.52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01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F12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F6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056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54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C5F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D29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6FD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3,879,760.52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71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3,879,760.52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6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C08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D96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CF2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69D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41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BC3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7D5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3,091,487.17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2F1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3,091,487.17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8D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FD1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D9B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75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708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44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B8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72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170,016.57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AC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170,016.57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5C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C4B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57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C87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B0B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0A5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21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886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618,256.78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17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618,256.78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11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993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8A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68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5D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7894C7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25B1DB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277E841">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6584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4294" w:type="pct"/>
            <w:gridSpan w:val="6"/>
            <w:tcBorders>
              <w:top w:val="nil"/>
              <w:left w:val="nil"/>
              <w:bottom w:val="nil"/>
              <w:right w:val="nil"/>
            </w:tcBorders>
            <w:shd w:val="clear" w:color="auto" w:fill="auto"/>
            <w:noWrap/>
            <w:vAlign w:val="bottom"/>
          </w:tcPr>
          <w:p w14:paraId="345F214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部门（单位）：天津市南开区市场监督管理局 </w:t>
            </w:r>
          </w:p>
        </w:tc>
        <w:tc>
          <w:tcPr>
            <w:tcW w:w="705" w:type="pct"/>
            <w:tcBorders>
              <w:top w:val="nil"/>
              <w:left w:val="nil"/>
              <w:bottom w:val="nil"/>
              <w:right w:val="nil"/>
            </w:tcBorders>
            <w:shd w:val="clear" w:color="auto" w:fill="auto"/>
            <w:noWrap/>
            <w:vAlign w:val="bottom"/>
          </w:tcPr>
          <w:p w14:paraId="0A908EB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509B5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A2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48490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69158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01802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5786A8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3CCA9C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5F9AD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22CD28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3EA80A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69245F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3F9F9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2F5BC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78671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85,193,923.65</w:t>
            </w:r>
          </w:p>
        </w:tc>
        <w:tc>
          <w:tcPr>
            <w:tcW w:w="839" w:type="pct"/>
            <w:tcBorders>
              <w:top w:val="nil"/>
              <w:left w:val="nil"/>
              <w:bottom w:val="single" w:color="000000" w:sz="4" w:space="0"/>
              <w:right w:val="single" w:color="000000" w:sz="4" w:space="0"/>
            </w:tcBorders>
            <w:shd w:val="clear" w:color="auto" w:fill="auto"/>
            <w:noWrap/>
            <w:vAlign w:val="center"/>
          </w:tcPr>
          <w:p w14:paraId="7A1E56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3EFA2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73,486,666.99</w:t>
            </w:r>
          </w:p>
        </w:tc>
        <w:tc>
          <w:tcPr>
            <w:tcW w:w="640" w:type="pct"/>
            <w:tcBorders>
              <w:top w:val="nil"/>
              <w:left w:val="nil"/>
              <w:bottom w:val="single" w:color="000000" w:sz="4" w:space="0"/>
              <w:right w:val="single" w:color="000000" w:sz="4" w:space="0"/>
            </w:tcBorders>
            <w:shd w:val="clear" w:color="auto" w:fill="auto"/>
            <w:noWrap/>
            <w:vAlign w:val="center"/>
          </w:tcPr>
          <w:p w14:paraId="31BF08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73,486,666.99</w:t>
            </w:r>
          </w:p>
        </w:tc>
        <w:tc>
          <w:tcPr>
            <w:tcW w:w="652" w:type="pct"/>
            <w:tcBorders>
              <w:top w:val="nil"/>
              <w:left w:val="nil"/>
              <w:bottom w:val="single" w:color="000000" w:sz="4" w:space="0"/>
              <w:right w:val="single" w:color="000000" w:sz="4" w:space="0"/>
            </w:tcBorders>
            <w:shd w:val="clear" w:color="auto" w:fill="auto"/>
            <w:noWrap/>
            <w:vAlign w:val="center"/>
          </w:tcPr>
          <w:p w14:paraId="2CE495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6C5BF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73EB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6B78B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57A19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12F7C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6EE0A5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10B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B304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8945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28A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78E87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A09CF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8A3C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5FEC30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156B7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1BCCD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0127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FB4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879993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546B79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23C29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71A964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DE0E5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4860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9A28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18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0CD0FC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35B3C6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8AB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3493CA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D4484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6D04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2E6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A5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6BF32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4D49D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5D7B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5348CF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7,827,496.14</w:t>
            </w:r>
          </w:p>
        </w:tc>
        <w:tc>
          <w:tcPr>
            <w:tcW w:w="640" w:type="pct"/>
            <w:tcBorders>
              <w:top w:val="nil"/>
              <w:left w:val="nil"/>
              <w:bottom w:val="single" w:color="000000" w:sz="4" w:space="0"/>
              <w:right w:val="single" w:color="000000" w:sz="4" w:space="0"/>
            </w:tcBorders>
            <w:shd w:val="clear" w:color="auto" w:fill="auto"/>
            <w:noWrap/>
            <w:vAlign w:val="center"/>
          </w:tcPr>
          <w:p w14:paraId="24C9A9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7,827,496.14</w:t>
            </w:r>
          </w:p>
        </w:tc>
        <w:tc>
          <w:tcPr>
            <w:tcW w:w="652" w:type="pct"/>
            <w:tcBorders>
              <w:top w:val="nil"/>
              <w:left w:val="nil"/>
              <w:bottom w:val="single" w:color="000000" w:sz="4" w:space="0"/>
              <w:right w:val="single" w:color="000000" w:sz="4" w:space="0"/>
            </w:tcBorders>
            <w:shd w:val="clear" w:color="auto" w:fill="auto"/>
            <w:noWrap/>
            <w:vAlign w:val="center"/>
          </w:tcPr>
          <w:p w14:paraId="1C4FA8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5F53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8324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2C3FDE">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3CA83D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E6A83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C844F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3,879,760.52</w:t>
            </w:r>
          </w:p>
        </w:tc>
        <w:tc>
          <w:tcPr>
            <w:tcW w:w="640" w:type="pct"/>
            <w:tcBorders>
              <w:top w:val="nil"/>
              <w:left w:val="nil"/>
              <w:bottom w:val="single" w:color="000000" w:sz="4" w:space="0"/>
              <w:right w:val="single" w:color="000000" w:sz="4" w:space="0"/>
            </w:tcBorders>
            <w:shd w:val="clear" w:color="auto" w:fill="auto"/>
            <w:noWrap/>
            <w:vAlign w:val="center"/>
          </w:tcPr>
          <w:p w14:paraId="65E45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3,879,760.52</w:t>
            </w:r>
          </w:p>
        </w:tc>
        <w:tc>
          <w:tcPr>
            <w:tcW w:w="652" w:type="pct"/>
            <w:tcBorders>
              <w:top w:val="nil"/>
              <w:left w:val="nil"/>
              <w:bottom w:val="single" w:color="000000" w:sz="4" w:space="0"/>
              <w:right w:val="single" w:color="000000" w:sz="4" w:space="0"/>
            </w:tcBorders>
            <w:shd w:val="clear" w:color="auto" w:fill="auto"/>
            <w:noWrap/>
            <w:vAlign w:val="center"/>
          </w:tcPr>
          <w:p w14:paraId="79FE4D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74CF7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1B9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AE7501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39476F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B65C4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0E5872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9D94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B6CAD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C2E99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54C1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F02965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75675D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C3BE8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2A9051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C6DB0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40198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8FA9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E4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034E97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D05153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B578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054DF6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7CD2E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7630D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D4169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3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998763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FEAD34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8331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799BBD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A9FB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D7CED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6DAF5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5D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F7B302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0D74A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D428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3E312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B970B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1EF22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B6484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46A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C0367B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4B9FDE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A57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61B562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4D31A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E520F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00432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39C2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DF6E39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90FA7A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2246D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619BE6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801D0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B6B6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A72BB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D5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3AEBDB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8DCBB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CC4BD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54E51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B958F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CB81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5453A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34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F546B4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B572CA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71858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343E29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D904E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CA6B9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B2202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D47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51F6F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22044F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3B790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56709D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0F7A8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8741C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3EC6B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818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D76D5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43CF41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E875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2C5EEB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62F5A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1295D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C761C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3A9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A9026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69F0FA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ACD49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EB8FF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14C3A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F295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37A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DD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31EEF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DED171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1051A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15D4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43166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183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9B4DD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73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0AED2A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AD13AC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295B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4EFADE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0528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708BB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9309F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6C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B0E50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1CB1A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6C0E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027A0E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9CBBF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966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D8D00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030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1E71F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C06692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A14AF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72A815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3D32E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DB7B2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2D8E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148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A651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4C63CF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85,193,923.65</w:t>
            </w:r>
          </w:p>
        </w:tc>
        <w:tc>
          <w:tcPr>
            <w:tcW w:w="839" w:type="pct"/>
            <w:tcBorders>
              <w:top w:val="nil"/>
              <w:left w:val="nil"/>
              <w:bottom w:val="single" w:color="000000" w:sz="4" w:space="0"/>
              <w:right w:val="single" w:color="000000" w:sz="4" w:space="0"/>
            </w:tcBorders>
            <w:shd w:val="clear" w:color="auto" w:fill="auto"/>
            <w:noWrap/>
            <w:vAlign w:val="center"/>
          </w:tcPr>
          <w:p w14:paraId="3E7AA5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2C01D1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85,193,923.65</w:t>
            </w:r>
          </w:p>
        </w:tc>
        <w:tc>
          <w:tcPr>
            <w:tcW w:w="640" w:type="pct"/>
            <w:tcBorders>
              <w:top w:val="nil"/>
              <w:left w:val="nil"/>
              <w:bottom w:val="single" w:color="000000" w:sz="4" w:space="0"/>
              <w:right w:val="single" w:color="000000" w:sz="4" w:space="0"/>
            </w:tcBorders>
            <w:shd w:val="clear" w:color="auto" w:fill="auto"/>
            <w:noWrap/>
            <w:vAlign w:val="center"/>
          </w:tcPr>
          <w:p w14:paraId="346C05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85,193,923.65</w:t>
            </w:r>
          </w:p>
        </w:tc>
        <w:tc>
          <w:tcPr>
            <w:tcW w:w="652" w:type="pct"/>
            <w:tcBorders>
              <w:top w:val="nil"/>
              <w:left w:val="nil"/>
              <w:bottom w:val="single" w:color="000000" w:sz="4" w:space="0"/>
              <w:right w:val="single" w:color="000000" w:sz="4" w:space="0"/>
            </w:tcBorders>
            <w:shd w:val="clear" w:color="auto" w:fill="auto"/>
            <w:noWrap/>
            <w:vAlign w:val="center"/>
          </w:tcPr>
          <w:p w14:paraId="51C666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B1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F3B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7AAA0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D2F20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0021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66BD52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E8620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3D373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4179E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2A23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0BC00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461B6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E7666BD">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5A91DC72">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62C8502">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393C97F">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8E2120C">
            <w:pPr>
              <w:jc w:val="left"/>
              <w:rPr>
                <w:rFonts w:hint="eastAsia" w:asciiTheme="minorEastAsia" w:hAnsiTheme="minorEastAsia" w:eastAsiaTheme="minorEastAsia" w:cstheme="minorEastAsia"/>
                <w:b w:val="0"/>
                <w:bCs w:val="0"/>
                <w:i w:val="0"/>
                <w:iCs w:val="0"/>
                <w:color w:val="000000"/>
                <w:sz w:val="22"/>
                <w:szCs w:val="22"/>
                <w:u w:val="none"/>
              </w:rPr>
            </w:pPr>
          </w:p>
        </w:tc>
      </w:tr>
      <w:tr w14:paraId="748BD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5D11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89E07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57676C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8F88A6F">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E2352EB">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F11CBE2">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2FA831">
            <w:pPr>
              <w:jc w:val="left"/>
              <w:rPr>
                <w:rFonts w:hint="eastAsia" w:asciiTheme="minorEastAsia" w:hAnsiTheme="minorEastAsia" w:eastAsiaTheme="minorEastAsia" w:cstheme="minorEastAsia"/>
                <w:b w:val="0"/>
                <w:bCs w:val="0"/>
                <w:i w:val="0"/>
                <w:iCs w:val="0"/>
                <w:color w:val="000000"/>
                <w:sz w:val="22"/>
                <w:szCs w:val="22"/>
                <w:u w:val="none"/>
              </w:rPr>
            </w:pPr>
          </w:p>
        </w:tc>
      </w:tr>
      <w:tr w14:paraId="429CB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D2251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F776D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7FA0DCC">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48F1DD7">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B65A4B7">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7C7E38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BD14579">
            <w:pPr>
              <w:jc w:val="left"/>
              <w:rPr>
                <w:rFonts w:hint="eastAsia" w:asciiTheme="minorEastAsia" w:hAnsiTheme="minorEastAsia" w:eastAsiaTheme="minorEastAsia" w:cstheme="minorEastAsia"/>
                <w:b w:val="0"/>
                <w:bCs w:val="0"/>
                <w:i w:val="0"/>
                <w:iCs w:val="0"/>
                <w:color w:val="000000"/>
                <w:sz w:val="22"/>
                <w:szCs w:val="22"/>
                <w:u w:val="none"/>
              </w:rPr>
            </w:pPr>
          </w:p>
        </w:tc>
      </w:tr>
      <w:tr w14:paraId="1525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3F36E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5A5465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85,193,923.65</w:t>
            </w:r>
          </w:p>
        </w:tc>
        <w:tc>
          <w:tcPr>
            <w:tcW w:w="839" w:type="pct"/>
            <w:tcBorders>
              <w:top w:val="nil"/>
              <w:left w:val="nil"/>
              <w:bottom w:val="single" w:color="000000" w:sz="4" w:space="0"/>
              <w:right w:val="single" w:color="000000" w:sz="4" w:space="0"/>
            </w:tcBorders>
            <w:shd w:val="clear" w:color="auto" w:fill="auto"/>
            <w:noWrap/>
            <w:vAlign w:val="center"/>
          </w:tcPr>
          <w:p w14:paraId="07D188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536930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85,193,923.65</w:t>
            </w:r>
          </w:p>
        </w:tc>
        <w:tc>
          <w:tcPr>
            <w:tcW w:w="640" w:type="pct"/>
            <w:tcBorders>
              <w:top w:val="nil"/>
              <w:left w:val="nil"/>
              <w:bottom w:val="single" w:color="000000" w:sz="4" w:space="0"/>
              <w:right w:val="single" w:color="000000" w:sz="4" w:space="0"/>
            </w:tcBorders>
            <w:shd w:val="clear" w:color="auto" w:fill="auto"/>
            <w:noWrap/>
            <w:vAlign w:val="center"/>
          </w:tcPr>
          <w:p w14:paraId="7E46FA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85,193,923.65</w:t>
            </w:r>
          </w:p>
        </w:tc>
        <w:tc>
          <w:tcPr>
            <w:tcW w:w="652" w:type="pct"/>
            <w:tcBorders>
              <w:top w:val="nil"/>
              <w:left w:val="nil"/>
              <w:bottom w:val="single" w:color="000000" w:sz="4" w:space="0"/>
              <w:right w:val="single" w:color="000000" w:sz="4" w:space="0"/>
            </w:tcBorders>
            <w:shd w:val="clear" w:color="auto" w:fill="auto"/>
            <w:noWrap/>
            <w:vAlign w:val="center"/>
          </w:tcPr>
          <w:p w14:paraId="588DE8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56670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9D2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40A148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0C1F932A">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3D71BED">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7B71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13A138B3">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天津市南开区市场监督管理局 </w:t>
            </w:r>
          </w:p>
        </w:tc>
        <w:tc>
          <w:tcPr>
            <w:tcW w:w="576" w:type="pct"/>
            <w:tcBorders>
              <w:top w:val="nil"/>
              <w:left w:val="nil"/>
              <w:bottom w:val="nil"/>
              <w:right w:val="nil"/>
            </w:tcBorders>
            <w:shd w:val="clear" w:color="auto" w:fill="auto"/>
            <w:noWrap/>
            <w:vAlign w:val="bottom"/>
          </w:tcPr>
          <w:p w14:paraId="2395AA7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094E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2C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63818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0C3BDF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D48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4FAB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2CCC90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14:paraId="201F4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D4A05F4">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5B0C06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14:paraId="3E39E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14:paraId="49F5B6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C6D812E">
            <w:pPr>
              <w:jc w:val="center"/>
              <w:rPr>
                <w:rFonts w:hint="eastAsia" w:asciiTheme="minorEastAsia" w:hAnsiTheme="minorEastAsia" w:eastAsiaTheme="minorEastAsia" w:cstheme="minorEastAsia"/>
                <w:i w:val="0"/>
                <w:iCs w:val="0"/>
                <w:color w:val="000000"/>
                <w:sz w:val="22"/>
                <w:szCs w:val="22"/>
                <w:u w:val="none"/>
              </w:rPr>
            </w:pPr>
          </w:p>
        </w:tc>
      </w:tr>
      <w:tr w14:paraId="3819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1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38F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85,193,923.65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55F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78,034,641.88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86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72,680,557.47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7F5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5,354,084.41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CD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7,159,281.77</w:t>
            </w:r>
          </w:p>
        </w:tc>
      </w:tr>
      <w:tr w14:paraId="3FD15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D00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FB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DE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73,486,666.99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E1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66,327,385.22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04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60,973,300.81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09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5,354,084.41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65A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7,159,281.77</w:t>
            </w:r>
          </w:p>
        </w:tc>
      </w:tr>
      <w:tr w14:paraId="117E8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CC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0E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市场监督管理事务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C86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73,486,666.99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37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66,327,385.22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947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60,973,300.81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50D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5,354,084.41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06C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7,159,281.77</w:t>
            </w:r>
          </w:p>
        </w:tc>
      </w:tr>
      <w:tr w14:paraId="621F4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FCD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2013801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3C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CF6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62,980,681.07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7F3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62,980,681.07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02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57,748,899.89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EE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5,231,781.18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CE2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147F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9A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2013802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B06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一般行政管理事务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27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1,515,986.16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BE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8B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9B8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F9D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1,515,986.16</w:t>
            </w:r>
          </w:p>
        </w:tc>
      </w:tr>
      <w:tr w14:paraId="05BF2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16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2013803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6C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机关服务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59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81,100.20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A5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1AA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1C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4B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81,100.20</w:t>
            </w:r>
          </w:p>
        </w:tc>
      </w:tr>
      <w:tr w14:paraId="515FA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B9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2013815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D97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质量安全监管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75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111,767.33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BF4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6BE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BEC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98F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111,767.33</w:t>
            </w:r>
          </w:p>
        </w:tc>
      </w:tr>
      <w:tr w14:paraId="1326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D3D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2013816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B8A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食品安全监管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4C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1,551,080.60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0B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66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8F1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77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1,551,080.60</w:t>
            </w:r>
          </w:p>
        </w:tc>
      </w:tr>
      <w:tr w14:paraId="6E180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A7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2013850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58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060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3,346,704.15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77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3,346,704.15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AF1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3,224,400.92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C39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122,303.23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144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0722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77A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2013899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F2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其他市场监督管理事务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D3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3,899,347.48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7D6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FA2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9E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847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3,899,347.48</w:t>
            </w:r>
          </w:p>
        </w:tc>
      </w:tr>
      <w:tr w14:paraId="304C0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7A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E89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3D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7,827,496.14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BC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7,827,496.14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FD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7,827,496.14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3C1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787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392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B1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17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6D3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7,827,496.14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442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7,827,496.14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78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7,827,496.14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936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0C4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330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B48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2A0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F9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5,218,359.79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8F5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5,218,359.79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CA7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5,218,359.79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DE2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762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1B6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B39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0E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7D6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2,609,136.35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28AA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2,609,136.35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B4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2,609,136.35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400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C09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1571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8AC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3F8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DDB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3,879,760.52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8B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3,879,760.52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FFA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3,879,760.52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55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B6A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5A80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B0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118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753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3,879,760.52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F3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3,879,760.52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79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3,879,760.52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D5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677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B7B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7D3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4B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796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3,091,487.17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4F9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3,091,487.17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E2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3,091,487.17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C25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D15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0A2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B2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8FD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015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170,016.57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2D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170,016.57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A4C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170,016.57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26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4DC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E84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DE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02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7C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618,256.78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D3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618,256.78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1B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618,256.78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97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3A7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B4E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091F5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1510CEED">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F5FF24">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024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4D7C120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部门（单位）：天津市南开区市场监督管理局 </w:t>
            </w:r>
          </w:p>
        </w:tc>
        <w:tc>
          <w:tcPr>
            <w:tcW w:w="617" w:type="pct"/>
            <w:tcBorders>
              <w:top w:val="nil"/>
              <w:left w:val="nil"/>
              <w:bottom w:val="nil"/>
              <w:right w:val="nil"/>
            </w:tcBorders>
            <w:shd w:val="clear" w:color="auto" w:fill="auto"/>
            <w:noWrap/>
            <w:vAlign w:val="bottom"/>
          </w:tcPr>
          <w:p w14:paraId="34672D0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0C9D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5A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757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4D512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FA7C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32F554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4103C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26B855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704149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3D1E59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533F55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18E739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58ECE0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5C3C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AA9D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BD83C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67BD2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71,561,272.07</w:t>
            </w:r>
          </w:p>
        </w:tc>
        <w:tc>
          <w:tcPr>
            <w:tcW w:w="313" w:type="pct"/>
            <w:tcBorders>
              <w:top w:val="nil"/>
              <w:left w:val="nil"/>
              <w:bottom w:val="single" w:color="000000" w:sz="4" w:space="0"/>
              <w:right w:val="single" w:color="000000" w:sz="4" w:space="0"/>
            </w:tcBorders>
            <w:shd w:val="clear" w:color="auto" w:fill="auto"/>
            <w:noWrap/>
            <w:vAlign w:val="center"/>
          </w:tcPr>
          <w:p w14:paraId="62BF42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25B1D4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35D8E1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5,312,353.41</w:t>
            </w:r>
          </w:p>
        </w:tc>
        <w:tc>
          <w:tcPr>
            <w:tcW w:w="390" w:type="pct"/>
            <w:tcBorders>
              <w:top w:val="nil"/>
              <w:left w:val="nil"/>
              <w:bottom w:val="single" w:color="000000" w:sz="4" w:space="0"/>
              <w:right w:val="single" w:color="000000" w:sz="4" w:space="0"/>
            </w:tcBorders>
            <w:shd w:val="clear" w:color="auto" w:fill="auto"/>
            <w:noWrap/>
            <w:vAlign w:val="center"/>
          </w:tcPr>
          <w:p w14:paraId="203B71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61CC5D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5CAB8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A91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D144E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54D3C1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6AECE9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11,946,924.80</w:t>
            </w:r>
          </w:p>
        </w:tc>
        <w:tc>
          <w:tcPr>
            <w:tcW w:w="313" w:type="pct"/>
            <w:tcBorders>
              <w:top w:val="nil"/>
              <w:left w:val="nil"/>
              <w:bottom w:val="single" w:color="000000" w:sz="4" w:space="0"/>
              <w:right w:val="single" w:color="000000" w:sz="4" w:space="0"/>
            </w:tcBorders>
            <w:shd w:val="clear" w:color="auto" w:fill="auto"/>
            <w:noWrap/>
            <w:vAlign w:val="center"/>
          </w:tcPr>
          <w:p w14:paraId="26B470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271EAE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160DD9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428,392.44</w:t>
            </w:r>
          </w:p>
        </w:tc>
        <w:tc>
          <w:tcPr>
            <w:tcW w:w="390" w:type="pct"/>
            <w:tcBorders>
              <w:top w:val="nil"/>
              <w:left w:val="nil"/>
              <w:bottom w:val="single" w:color="000000" w:sz="4" w:space="0"/>
              <w:right w:val="single" w:color="000000" w:sz="4" w:space="0"/>
            </w:tcBorders>
            <w:shd w:val="clear" w:color="auto" w:fill="auto"/>
            <w:noWrap/>
            <w:vAlign w:val="center"/>
          </w:tcPr>
          <w:p w14:paraId="5A4284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354421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27B1B0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1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53807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4C743A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DBAE3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14,761,805.24</w:t>
            </w:r>
          </w:p>
        </w:tc>
        <w:tc>
          <w:tcPr>
            <w:tcW w:w="313" w:type="pct"/>
            <w:tcBorders>
              <w:top w:val="nil"/>
              <w:left w:val="nil"/>
              <w:bottom w:val="single" w:color="000000" w:sz="4" w:space="0"/>
              <w:right w:val="single" w:color="000000" w:sz="4" w:space="0"/>
            </w:tcBorders>
            <w:shd w:val="clear" w:color="auto" w:fill="auto"/>
            <w:noWrap/>
            <w:vAlign w:val="center"/>
          </w:tcPr>
          <w:p w14:paraId="08C2B5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0B0F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70EA37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23,152.75</w:t>
            </w:r>
          </w:p>
        </w:tc>
        <w:tc>
          <w:tcPr>
            <w:tcW w:w="390" w:type="pct"/>
            <w:tcBorders>
              <w:top w:val="nil"/>
              <w:left w:val="nil"/>
              <w:bottom w:val="single" w:color="000000" w:sz="4" w:space="0"/>
              <w:right w:val="single" w:color="000000" w:sz="4" w:space="0"/>
            </w:tcBorders>
            <w:shd w:val="clear" w:color="auto" w:fill="auto"/>
            <w:noWrap/>
            <w:vAlign w:val="center"/>
          </w:tcPr>
          <w:p w14:paraId="424A1C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05D51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4B4ECD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41,731.00</w:t>
            </w:r>
          </w:p>
        </w:tc>
      </w:tr>
      <w:tr w14:paraId="0B10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C00AE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68C9E1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31DF87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13,783,478.42</w:t>
            </w:r>
          </w:p>
        </w:tc>
        <w:tc>
          <w:tcPr>
            <w:tcW w:w="313" w:type="pct"/>
            <w:tcBorders>
              <w:top w:val="nil"/>
              <w:left w:val="nil"/>
              <w:bottom w:val="single" w:color="000000" w:sz="4" w:space="0"/>
              <w:right w:val="single" w:color="000000" w:sz="4" w:space="0"/>
            </w:tcBorders>
            <w:shd w:val="clear" w:color="auto" w:fill="auto"/>
            <w:noWrap/>
            <w:vAlign w:val="center"/>
          </w:tcPr>
          <w:p w14:paraId="415BD5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490459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7F0E73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86DEE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7951EF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7D441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A27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601F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2976B8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3034F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5BE8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75094C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2244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1,285.00</w:t>
            </w:r>
          </w:p>
        </w:tc>
        <w:tc>
          <w:tcPr>
            <w:tcW w:w="390" w:type="pct"/>
            <w:tcBorders>
              <w:top w:val="nil"/>
              <w:left w:val="nil"/>
              <w:bottom w:val="single" w:color="000000" w:sz="4" w:space="0"/>
              <w:right w:val="single" w:color="000000" w:sz="4" w:space="0"/>
            </w:tcBorders>
            <w:shd w:val="clear" w:color="auto" w:fill="auto"/>
            <w:noWrap/>
            <w:vAlign w:val="center"/>
          </w:tcPr>
          <w:p w14:paraId="6D2866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3A9FB0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D6ADB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41,731.00</w:t>
            </w:r>
          </w:p>
        </w:tc>
      </w:tr>
      <w:tr w14:paraId="1227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E334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0B0169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5B7C60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897,714.00</w:t>
            </w:r>
          </w:p>
        </w:tc>
        <w:tc>
          <w:tcPr>
            <w:tcW w:w="313" w:type="pct"/>
            <w:tcBorders>
              <w:top w:val="nil"/>
              <w:left w:val="nil"/>
              <w:bottom w:val="single" w:color="000000" w:sz="4" w:space="0"/>
              <w:right w:val="single" w:color="000000" w:sz="4" w:space="0"/>
            </w:tcBorders>
            <w:shd w:val="clear" w:color="auto" w:fill="auto"/>
            <w:noWrap/>
            <w:vAlign w:val="center"/>
          </w:tcPr>
          <w:p w14:paraId="74D1C0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23F373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70B5B3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36,812.50</w:t>
            </w:r>
          </w:p>
        </w:tc>
        <w:tc>
          <w:tcPr>
            <w:tcW w:w="390" w:type="pct"/>
            <w:tcBorders>
              <w:top w:val="nil"/>
              <w:left w:val="nil"/>
              <w:bottom w:val="single" w:color="000000" w:sz="4" w:space="0"/>
              <w:right w:val="single" w:color="000000" w:sz="4" w:space="0"/>
            </w:tcBorders>
            <w:shd w:val="clear" w:color="auto" w:fill="auto"/>
            <w:noWrap/>
            <w:vAlign w:val="center"/>
          </w:tcPr>
          <w:p w14:paraId="18C731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55841A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24F14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32C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777A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207802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5A59EE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5,218,359.79</w:t>
            </w:r>
          </w:p>
        </w:tc>
        <w:tc>
          <w:tcPr>
            <w:tcW w:w="313" w:type="pct"/>
            <w:tcBorders>
              <w:top w:val="nil"/>
              <w:left w:val="nil"/>
              <w:bottom w:val="single" w:color="000000" w:sz="4" w:space="0"/>
              <w:right w:val="single" w:color="000000" w:sz="4" w:space="0"/>
            </w:tcBorders>
            <w:shd w:val="clear" w:color="auto" w:fill="auto"/>
            <w:noWrap/>
            <w:vAlign w:val="center"/>
          </w:tcPr>
          <w:p w14:paraId="4A7BAC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61B275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33C7CB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457,300.20</w:t>
            </w:r>
          </w:p>
        </w:tc>
        <w:tc>
          <w:tcPr>
            <w:tcW w:w="390" w:type="pct"/>
            <w:tcBorders>
              <w:top w:val="nil"/>
              <w:left w:val="nil"/>
              <w:bottom w:val="single" w:color="000000" w:sz="4" w:space="0"/>
              <w:right w:val="single" w:color="000000" w:sz="4" w:space="0"/>
            </w:tcBorders>
            <w:shd w:val="clear" w:color="auto" w:fill="auto"/>
            <w:noWrap/>
            <w:vAlign w:val="center"/>
          </w:tcPr>
          <w:p w14:paraId="2C164B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5BCFC5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36CCF7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122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FB630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6427E3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7EBA0E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2,609,136.35</w:t>
            </w:r>
          </w:p>
        </w:tc>
        <w:tc>
          <w:tcPr>
            <w:tcW w:w="313" w:type="pct"/>
            <w:tcBorders>
              <w:top w:val="nil"/>
              <w:left w:val="nil"/>
              <w:bottom w:val="single" w:color="000000" w:sz="4" w:space="0"/>
              <w:right w:val="single" w:color="000000" w:sz="4" w:space="0"/>
            </w:tcBorders>
            <w:shd w:val="clear" w:color="auto" w:fill="auto"/>
            <w:noWrap/>
            <w:vAlign w:val="center"/>
          </w:tcPr>
          <w:p w14:paraId="7014E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4314D9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511BA6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287,908.00</w:t>
            </w:r>
          </w:p>
        </w:tc>
        <w:tc>
          <w:tcPr>
            <w:tcW w:w="390" w:type="pct"/>
            <w:tcBorders>
              <w:top w:val="nil"/>
              <w:left w:val="nil"/>
              <w:bottom w:val="single" w:color="000000" w:sz="4" w:space="0"/>
              <w:right w:val="single" w:color="000000" w:sz="4" w:space="0"/>
            </w:tcBorders>
            <w:shd w:val="clear" w:color="auto" w:fill="auto"/>
            <w:noWrap/>
            <w:vAlign w:val="center"/>
          </w:tcPr>
          <w:p w14:paraId="74B76C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431FF7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289B5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8E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742F0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0EAF30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424223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3,258,086.62</w:t>
            </w:r>
          </w:p>
        </w:tc>
        <w:tc>
          <w:tcPr>
            <w:tcW w:w="313" w:type="pct"/>
            <w:tcBorders>
              <w:top w:val="nil"/>
              <w:left w:val="nil"/>
              <w:bottom w:val="single" w:color="000000" w:sz="4" w:space="0"/>
              <w:right w:val="single" w:color="000000" w:sz="4" w:space="0"/>
            </w:tcBorders>
            <w:shd w:val="clear" w:color="auto" w:fill="auto"/>
            <w:noWrap/>
            <w:vAlign w:val="center"/>
          </w:tcPr>
          <w:p w14:paraId="350C81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1130A8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41516A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431,657.20</w:t>
            </w:r>
          </w:p>
        </w:tc>
        <w:tc>
          <w:tcPr>
            <w:tcW w:w="390" w:type="pct"/>
            <w:tcBorders>
              <w:top w:val="nil"/>
              <w:left w:val="nil"/>
              <w:bottom w:val="single" w:color="000000" w:sz="4" w:space="0"/>
              <w:right w:val="single" w:color="000000" w:sz="4" w:space="0"/>
            </w:tcBorders>
            <w:shd w:val="clear" w:color="auto" w:fill="auto"/>
            <w:noWrap/>
            <w:vAlign w:val="center"/>
          </w:tcPr>
          <w:p w14:paraId="7E8DF9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18AE7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6B2F15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CCF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06CC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3FE6D5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47D5A9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618,256.78</w:t>
            </w:r>
          </w:p>
        </w:tc>
        <w:tc>
          <w:tcPr>
            <w:tcW w:w="313" w:type="pct"/>
            <w:tcBorders>
              <w:top w:val="nil"/>
              <w:left w:val="nil"/>
              <w:bottom w:val="single" w:color="000000" w:sz="4" w:space="0"/>
              <w:right w:val="single" w:color="000000" w:sz="4" w:space="0"/>
            </w:tcBorders>
            <w:shd w:val="clear" w:color="auto" w:fill="auto"/>
            <w:noWrap/>
            <w:vAlign w:val="center"/>
          </w:tcPr>
          <w:p w14:paraId="3C038B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0A57D6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25CB3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09F6D6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9CF89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67FC89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A6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F803A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2BF455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704A38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100,920.40</w:t>
            </w:r>
          </w:p>
        </w:tc>
        <w:tc>
          <w:tcPr>
            <w:tcW w:w="313" w:type="pct"/>
            <w:tcBorders>
              <w:top w:val="nil"/>
              <w:left w:val="nil"/>
              <w:bottom w:val="single" w:color="000000" w:sz="4" w:space="0"/>
              <w:right w:val="single" w:color="000000" w:sz="4" w:space="0"/>
            </w:tcBorders>
            <w:shd w:val="clear" w:color="auto" w:fill="auto"/>
            <w:noWrap/>
            <w:vAlign w:val="center"/>
          </w:tcPr>
          <w:p w14:paraId="7A0E13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040302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7A5B73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84,012.41</w:t>
            </w:r>
          </w:p>
        </w:tc>
        <w:tc>
          <w:tcPr>
            <w:tcW w:w="390" w:type="pct"/>
            <w:tcBorders>
              <w:top w:val="nil"/>
              <w:left w:val="nil"/>
              <w:bottom w:val="single" w:color="000000" w:sz="4" w:space="0"/>
              <w:right w:val="single" w:color="000000" w:sz="4" w:space="0"/>
            </w:tcBorders>
            <w:shd w:val="clear" w:color="auto" w:fill="auto"/>
            <w:noWrap/>
            <w:vAlign w:val="center"/>
          </w:tcPr>
          <w:p w14:paraId="158565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5B7FD9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463FBF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9ED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1014B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3AF1FA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07BD49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17,081,456.00</w:t>
            </w:r>
          </w:p>
        </w:tc>
        <w:tc>
          <w:tcPr>
            <w:tcW w:w="313" w:type="pct"/>
            <w:tcBorders>
              <w:top w:val="nil"/>
              <w:left w:val="nil"/>
              <w:bottom w:val="single" w:color="000000" w:sz="4" w:space="0"/>
              <w:right w:val="single" w:color="000000" w:sz="4" w:space="0"/>
            </w:tcBorders>
            <w:shd w:val="clear" w:color="auto" w:fill="auto"/>
            <w:noWrap/>
            <w:vAlign w:val="center"/>
          </w:tcPr>
          <w:p w14:paraId="3D6CF9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29D282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5435D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2FBEF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150629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1D7DB3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4DD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A7D37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0DD441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338B96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3FCB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23E729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26435B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24,089.39</w:t>
            </w:r>
          </w:p>
        </w:tc>
        <w:tc>
          <w:tcPr>
            <w:tcW w:w="390" w:type="pct"/>
            <w:tcBorders>
              <w:top w:val="nil"/>
              <w:left w:val="nil"/>
              <w:bottom w:val="single" w:color="000000" w:sz="4" w:space="0"/>
              <w:right w:val="single" w:color="000000" w:sz="4" w:space="0"/>
            </w:tcBorders>
            <w:shd w:val="clear" w:color="auto" w:fill="auto"/>
            <w:noWrap/>
            <w:vAlign w:val="center"/>
          </w:tcPr>
          <w:p w14:paraId="7C6FEB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1A4455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85F94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B9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C0ACB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AA628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BF37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1,285,133.67</w:t>
            </w:r>
          </w:p>
        </w:tc>
        <w:tc>
          <w:tcPr>
            <w:tcW w:w="313" w:type="pct"/>
            <w:tcBorders>
              <w:top w:val="nil"/>
              <w:left w:val="nil"/>
              <w:bottom w:val="single" w:color="000000" w:sz="4" w:space="0"/>
              <w:right w:val="single" w:color="000000" w:sz="4" w:space="0"/>
            </w:tcBorders>
            <w:shd w:val="clear" w:color="auto" w:fill="auto"/>
            <w:noWrap/>
            <w:vAlign w:val="center"/>
          </w:tcPr>
          <w:p w14:paraId="65E8E0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678BEF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6A9AC1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3A5B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69C26E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2FFBB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65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8BB26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77219D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21D0F6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1,119,285.40</w:t>
            </w:r>
          </w:p>
        </w:tc>
        <w:tc>
          <w:tcPr>
            <w:tcW w:w="313" w:type="pct"/>
            <w:tcBorders>
              <w:top w:val="nil"/>
              <w:left w:val="nil"/>
              <w:bottom w:val="single" w:color="000000" w:sz="4" w:space="0"/>
              <w:right w:val="single" w:color="000000" w:sz="4" w:space="0"/>
            </w:tcBorders>
            <w:shd w:val="clear" w:color="auto" w:fill="auto"/>
            <w:noWrap/>
            <w:vAlign w:val="center"/>
          </w:tcPr>
          <w:p w14:paraId="378A46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7BAFFB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471335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6027A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275982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75DCAA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2EF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A50CA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1ACBE2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4FD79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3FDA9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4438E0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111345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470.00</w:t>
            </w:r>
          </w:p>
        </w:tc>
        <w:tc>
          <w:tcPr>
            <w:tcW w:w="390" w:type="pct"/>
            <w:tcBorders>
              <w:top w:val="nil"/>
              <w:left w:val="nil"/>
              <w:bottom w:val="single" w:color="000000" w:sz="4" w:space="0"/>
              <w:right w:val="single" w:color="000000" w:sz="4" w:space="0"/>
            </w:tcBorders>
            <w:shd w:val="clear" w:color="auto" w:fill="auto"/>
            <w:noWrap/>
            <w:vAlign w:val="center"/>
          </w:tcPr>
          <w:p w14:paraId="65648E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F28AB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170A16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A00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836D8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1A2DDB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587449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1,011,742.40</w:t>
            </w:r>
          </w:p>
        </w:tc>
        <w:tc>
          <w:tcPr>
            <w:tcW w:w="313" w:type="pct"/>
            <w:tcBorders>
              <w:top w:val="nil"/>
              <w:left w:val="nil"/>
              <w:bottom w:val="single" w:color="000000" w:sz="4" w:space="0"/>
              <w:right w:val="single" w:color="000000" w:sz="4" w:space="0"/>
            </w:tcBorders>
            <w:shd w:val="clear" w:color="auto" w:fill="auto"/>
            <w:noWrap/>
            <w:vAlign w:val="center"/>
          </w:tcPr>
          <w:p w14:paraId="182F4E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399939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41FADE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0BC00E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613601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9C08D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50B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66998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138E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319DBE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C4CA9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76EFEF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5D6BD7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CDE82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122319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F0C89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CD49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9C135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19578B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7125D3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E6049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509AA9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9324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0A2C2E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4FC39F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68B26A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1A1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E849A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78C25C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2A698C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26,088.00</w:t>
            </w:r>
          </w:p>
        </w:tc>
        <w:tc>
          <w:tcPr>
            <w:tcW w:w="313" w:type="pct"/>
            <w:tcBorders>
              <w:top w:val="nil"/>
              <w:left w:val="nil"/>
              <w:bottom w:val="single" w:color="000000" w:sz="4" w:space="0"/>
              <w:right w:val="single" w:color="000000" w:sz="4" w:space="0"/>
            </w:tcBorders>
            <w:shd w:val="clear" w:color="auto" w:fill="auto"/>
            <w:noWrap/>
            <w:vAlign w:val="center"/>
          </w:tcPr>
          <w:p w14:paraId="059ABA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6C88A8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69F22E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6864D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735E1D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088DB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45F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F4194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1F0B26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4344A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8474D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5CB192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F12CA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AFE4A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65B335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44DDA3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D49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E5BA7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6E35F0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6F642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86742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196106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448BB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19,554.00</w:t>
            </w:r>
          </w:p>
        </w:tc>
        <w:tc>
          <w:tcPr>
            <w:tcW w:w="390" w:type="pct"/>
            <w:tcBorders>
              <w:top w:val="nil"/>
              <w:left w:val="nil"/>
              <w:bottom w:val="single" w:color="000000" w:sz="4" w:space="0"/>
              <w:right w:val="single" w:color="000000" w:sz="4" w:space="0"/>
            </w:tcBorders>
            <w:shd w:val="clear" w:color="auto" w:fill="auto"/>
            <w:noWrap/>
            <w:vAlign w:val="center"/>
          </w:tcPr>
          <w:p w14:paraId="2B1A39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754116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7A284A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C1F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D3C52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4CB820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068EA4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12E4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32B40F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04865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328,431.62</w:t>
            </w:r>
          </w:p>
        </w:tc>
        <w:tc>
          <w:tcPr>
            <w:tcW w:w="390" w:type="pct"/>
            <w:tcBorders>
              <w:top w:val="nil"/>
              <w:left w:val="nil"/>
              <w:bottom w:val="single" w:color="000000" w:sz="4" w:space="0"/>
              <w:right w:val="single" w:color="000000" w:sz="4" w:space="0"/>
            </w:tcBorders>
            <w:shd w:val="clear" w:color="auto" w:fill="auto"/>
            <w:noWrap/>
            <w:vAlign w:val="center"/>
          </w:tcPr>
          <w:p w14:paraId="0835F1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53C6B3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7C935F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CC8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8B1A1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6E5DB8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70DDF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955.00</w:t>
            </w:r>
          </w:p>
        </w:tc>
        <w:tc>
          <w:tcPr>
            <w:tcW w:w="313" w:type="pct"/>
            <w:tcBorders>
              <w:top w:val="nil"/>
              <w:left w:val="nil"/>
              <w:bottom w:val="single" w:color="000000" w:sz="4" w:space="0"/>
              <w:right w:val="single" w:color="000000" w:sz="4" w:space="0"/>
            </w:tcBorders>
            <w:shd w:val="clear" w:color="auto" w:fill="auto"/>
            <w:noWrap/>
            <w:vAlign w:val="center"/>
          </w:tcPr>
          <w:p w14:paraId="75580D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15498F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5F443F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755,336.70</w:t>
            </w:r>
          </w:p>
        </w:tc>
        <w:tc>
          <w:tcPr>
            <w:tcW w:w="390" w:type="pct"/>
            <w:tcBorders>
              <w:top w:val="nil"/>
              <w:left w:val="nil"/>
              <w:bottom w:val="single" w:color="000000" w:sz="4" w:space="0"/>
              <w:right w:val="single" w:color="000000" w:sz="4" w:space="0"/>
            </w:tcBorders>
            <w:shd w:val="clear" w:color="auto" w:fill="auto"/>
            <w:noWrap/>
            <w:vAlign w:val="center"/>
          </w:tcPr>
          <w:p w14:paraId="306555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4FD41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1A4C88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3A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A6863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1FF74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342156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2245E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232C90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428DCC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124,391.20</w:t>
            </w:r>
          </w:p>
        </w:tc>
        <w:tc>
          <w:tcPr>
            <w:tcW w:w="390" w:type="pct"/>
            <w:tcBorders>
              <w:top w:val="nil"/>
              <w:left w:val="nil"/>
              <w:bottom w:val="single" w:color="000000" w:sz="4" w:space="0"/>
              <w:right w:val="single" w:color="000000" w:sz="4" w:space="0"/>
            </w:tcBorders>
            <w:shd w:val="clear" w:color="auto" w:fill="auto"/>
            <w:noWrap/>
            <w:vAlign w:val="center"/>
          </w:tcPr>
          <w:p w14:paraId="342AA1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2D4869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7447A8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A4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ED27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7D15B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083284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DD89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45A05F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7382AF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2,050,060.00</w:t>
            </w:r>
          </w:p>
        </w:tc>
        <w:tc>
          <w:tcPr>
            <w:tcW w:w="390" w:type="pct"/>
            <w:tcBorders>
              <w:top w:val="nil"/>
              <w:left w:val="nil"/>
              <w:bottom w:val="single" w:color="000000" w:sz="4" w:space="0"/>
              <w:right w:val="single" w:color="000000" w:sz="4" w:space="0"/>
            </w:tcBorders>
            <w:shd w:val="clear" w:color="auto" w:fill="auto"/>
            <w:noWrap/>
            <w:vAlign w:val="center"/>
          </w:tcPr>
          <w:p w14:paraId="65F138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7D392B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00EDC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FBD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CB34C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2EE3FD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001C81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80,500.00</w:t>
            </w:r>
          </w:p>
        </w:tc>
        <w:tc>
          <w:tcPr>
            <w:tcW w:w="313" w:type="pct"/>
            <w:tcBorders>
              <w:top w:val="nil"/>
              <w:left w:val="nil"/>
              <w:bottom w:val="single" w:color="000000" w:sz="4" w:space="0"/>
              <w:right w:val="single" w:color="000000" w:sz="4" w:space="0"/>
            </w:tcBorders>
            <w:shd w:val="clear" w:color="auto" w:fill="auto"/>
            <w:noWrap/>
            <w:vAlign w:val="center"/>
          </w:tcPr>
          <w:p w14:paraId="609CD6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201713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05034C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1AE43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EA164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6345F6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1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6F7B503">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74E4A8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4C4B9CB">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45078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6AA8C6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3EFA02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259,500.00</w:t>
            </w:r>
          </w:p>
        </w:tc>
        <w:tc>
          <w:tcPr>
            <w:tcW w:w="390" w:type="pct"/>
            <w:tcBorders>
              <w:top w:val="nil"/>
              <w:left w:val="nil"/>
              <w:bottom w:val="single" w:color="000000" w:sz="4" w:space="0"/>
              <w:right w:val="single" w:color="000000" w:sz="4" w:space="0"/>
            </w:tcBorders>
            <w:shd w:val="clear" w:color="auto" w:fill="auto"/>
            <w:noWrap/>
            <w:vAlign w:val="center"/>
          </w:tcPr>
          <w:p w14:paraId="213655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3E4F68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D37ED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41D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61B3908">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733438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5B9A86B">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0723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628EE5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3EB75F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BA041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063BB0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912D5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8CF9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195834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3927F8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6BCD1D0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49973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7A6BCF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3BCF69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54B5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4DFBD7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712851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A1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96488A0">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F4A9F5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05BCD2">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25506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76908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30C5D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920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531F61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4BC24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7CC8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19C21D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66ACB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8B9CD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28A07E">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647E5C79">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6D90435F">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A64FE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2B9756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2918E2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F12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6C6B8D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66A399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72,680,557.47</w:t>
            </w:r>
          </w:p>
        </w:tc>
        <w:tc>
          <w:tcPr>
            <w:tcW w:w="2710" w:type="pct"/>
            <w:gridSpan w:val="5"/>
            <w:tcBorders>
              <w:top w:val="nil"/>
              <w:left w:val="nil"/>
              <w:bottom w:val="single" w:color="000000" w:sz="4" w:space="0"/>
              <w:right w:val="single" w:color="000000" w:sz="4" w:space="0"/>
            </w:tcBorders>
            <w:shd w:val="clear" w:color="auto" w:fill="auto"/>
            <w:noWrap/>
            <w:vAlign w:val="center"/>
          </w:tcPr>
          <w:p w14:paraId="55A650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787D73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5,354,084.41</w:t>
            </w:r>
          </w:p>
        </w:tc>
      </w:tr>
      <w:tr w14:paraId="564EC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4038A6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3D158B4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79364A1">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DF79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4D4B3D1A">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天津市南开区市场监督管理局 </w:t>
            </w:r>
          </w:p>
        </w:tc>
        <w:tc>
          <w:tcPr>
            <w:tcW w:w="542" w:type="pct"/>
            <w:tcBorders>
              <w:top w:val="nil"/>
              <w:left w:val="nil"/>
              <w:bottom w:val="nil"/>
              <w:right w:val="nil"/>
            </w:tcBorders>
            <w:shd w:val="clear" w:color="auto" w:fill="auto"/>
            <w:noWrap/>
            <w:vAlign w:val="bottom"/>
          </w:tcPr>
          <w:p w14:paraId="32E06D9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E506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E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7686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572CF3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0C745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D377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73F5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3A5546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14:paraId="18A92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9839066">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AD0DF7">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76732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14:paraId="43D982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14:paraId="0D1AC4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B51D643">
            <w:pPr>
              <w:jc w:val="center"/>
              <w:rPr>
                <w:rFonts w:hint="eastAsia" w:asciiTheme="minorEastAsia" w:hAnsiTheme="minorEastAsia" w:eastAsiaTheme="minorEastAsia" w:cstheme="minorEastAsia"/>
                <w:i w:val="0"/>
                <w:iCs w:val="0"/>
                <w:color w:val="000000"/>
                <w:sz w:val="22"/>
                <w:szCs w:val="22"/>
                <w:u w:val="none"/>
              </w:rPr>
            </w:pPr>
          </w:p>
        </w:tc>
      </w:tr>
      <w:tr w14:paraId="46457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35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3C8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DF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CD7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BD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F51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F5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7BC8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120A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703A071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天津市南开区市场监督管理局2024年政府性基金预算财政拨款收入支出决算表为空表。</w:t>
      </w:r>
    </w:p>
    <w:p w14:paraId="34729AFA">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ACA3147">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5F29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68DFF02">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天津市南开区市场监督管理局 </w:t>
            </w:r>
          </w:p>
        </w:tc>
        <w:tc>
          <w:tcPr>
            <w:tcW w:w="559" w:type="pct"/>
            <w:tcBorders>
              <w:top w:val="nil"/>
              <w:left w:val="nil"/>
              <w:bottom w:val="nil"/>
              <w:right w:val="nil"/>
            </w:tcBorders>
            <w:shd w:val="clear" w:color="auto" w:fill="auto"/>
            <w:noWrap/>
            <w:vAlign w:val="bottom"/>
          </w:tcPr>
          <w:p w14:paraId="64214A2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5506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56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60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52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A0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8E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D1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9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9A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6810">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84E5">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8F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19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D0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6085">
            <w:pPr>
              <w:jc w:val="center"/>
              <w:rPr>
                <w:rFonts w:hint="eastAsia" w:asciiTheme="minorEastAsia" w:hAnsiTheme="minorEastAsia" w:eastAsiaTheme="minorEastAsia" w:cstheme="minorEastAsia"/>
                <w:i w:val="0"/>
                <w:iCs w:val="0"/>
                <w:color w:val="000000"/>
                <w:sz w:val="22"/>
                <w:szCs w:val="22"/>
                <w:u w:val="none"/>
              </w:rPr>
            </w:pPr>
          </w:p>
        </w:tc>
      </w:tr>
      <w:tr w14:paraId="399B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F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A99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22A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2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863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09F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4D8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D0E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01377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7D0C1A5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天津市南开区市场监督管理局2024年国有资本经营预算财政拨款收入支出决算表为空表。</w:t>
      </w:r>
    </w:p>
    <w:p w14:paraId="54B9DE1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7C303EE">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02B8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11E9B89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部门（单位）：天津市南开区市场监督管理局 </w:t>
            </w:r>
          </w:p>
        </w:tc>
        <w:tc>
          <w:tcPr>
            <w:tcW w:w="2146" w:type="dxa"/>
            <w:tcBorders>
              <w:top w:val="nil"/>
              <w:left w:val="nil"/>
              <w:bottom w:val="nil"/>
              <w:right w:val="nil"/>
            </w:tcBorders>
            <w:shd w:val="clear" w:color="auto" w:fill="auto"/>
            <w:noWrap/>
            <w:vAlign w:val="bottom"/>
          </w:tcPr>
          <w:p w14:paraId="6F1EF3F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5C351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10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5AEDE0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720836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656664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02CF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F4D8">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2577185">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40A8AE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41047A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1C3AFE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FC47EDA">
            <w:pPr>
              <w:jc w:val="center"/>
              <w:rPr>
                <w:rFonts w:hint="eastAsia" w:asciiTheme="minorEastAsia" w:hAnsiTheme="minorEastAsia" w:eastAsiaTheme="minorEastAsia" w:cstheme="minorEastAsia"/>
                <w:b w:val="0"/>
                <w:bCs w:val="0"/>
                <w:i w:val="0"/>
                <w:iCs w:val="0"/>
                <w:color w:val="000000"/>
                <w:sz w:val="22"/>
                <w:szCs w:val="22"/>
                <w:u w:val="none"/>
              </w:rPr>
            </w:pPr>
          </w:p>
        </w:tc>
      </w:tr>
      <w:tr w14:paraId="4D760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D2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124,391.20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5D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6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124,391.20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DF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D2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124,391.20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A2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7D7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1E74BD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147BF3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79BBF87">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6FB54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05FE1211">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部门（单位）：天津市南开区市场监督管理局 </w:t>
            </w:r>
          </w:p>
        </w:tc>
        <w:tc>
          <w:tcPr>
            <w:tcW w:w="583" w:type="pct"/>
            <w:tcBorders>
              <w:top w:val="nil"/>
              <w:left w:val="nil"/>
              <w:bottom w:val="nil"/>
              <w:right w:val="nil"/>
            </w:tcBorders>
            <w:shd w:val="clear" w:color="auto" w:fill="auto"/>
            <w:noWrap/>
            <w:vAlign w:val="bottom"/>
          </w:tcPr>
          <w:p w14:paraId="1FB16391">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05288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C2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29716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22336C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5CCBE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170A">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B36E6D9">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180672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14:paraId="12DC37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14:paraId="0E632F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14:paraId="0ACA3A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14:paraId="70C615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14:paraId="2A7DB0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17948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78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ED3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7,159,281.77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66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7,159,281.77</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A0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16C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16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413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1D8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13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06B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3B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7,159,281.77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B5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7,159,281.77</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5BA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7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8F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9E4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6B2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99F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5B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市场监督管理事务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F5D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7,159,281.77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1F7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7,159,281.77</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4C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45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BA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A54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80C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FB1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3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4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1,515,986.16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1EC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1,515,986.16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1A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611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E9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4CB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7A6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A84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2013803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4C6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机关服务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3E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81,100.20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B7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81,100.20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5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6C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8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4D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132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7A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2013815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A97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质量安全监管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14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111,767.33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06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111,767.33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17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46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31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DA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AE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8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2013816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528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食品安全监管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A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1,551,080.60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0A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1,551,080.60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107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0E1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C4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788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193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9E0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2013899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9F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其他市场监督管理事务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4BA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3,899,347.48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D4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3,899,347.48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68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A3E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B7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F5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23C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8D916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0B62B62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7A7AB93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pgSz w:w="16838" w:h="11906" w:orient="landscape"/>
          <w:pgMar w:top="2098" w:right="1531" w:bottom="1984"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E7A7D20">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4524F4D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399D990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天津市南开区市场监督管理局2024年度收入、支出决算总计85,193,923.65元。与2023年度相比，收、支总计各减少2,552,222.13元，下降2.909%，主要原因是</w:t>
      </w:r>
      <w:r>
        <w:rPr>
          <w:rFonts w:hint="eastAsia" w:ascii="Times New Roman" w:eastAsia="仿宋_GB2312"/>
          <w:b w:val="0"/>
          <w:sz w:val="30"/>
          <w:szCs w:val="30"/>
        </w:rPr>
        <w:t>实有人员减少、</w:t>
      </w:r>
      <w:r>
        <w:rPr>
          <w:rFonts w:hint="eastAsia" w:ascii="Times New Roman" w:eastAsia="仿宋_GB2312"/>
          <w:b w:val="0"/>
          <w:sz w:val="30"/>
          <w:szCs w:val="30"/>
          <w:lang w:val="en-US" w:eastAsia="zh-CN"/>
        </w:rPr>
        <w:t>人员和公用支出减少</w:t>
      </w:r>
      <w:r>
        <w:rPr>
          <w:rFonts w:ascii="Times New Roman" w:eastAsia="仿宋_GB2312"/>
          <w:b w:val="0"/>
          <w:sz w:val="30"/>
          <w:szCs w:val="30"/>
        </w:rPr>
        <w:t>。</w:t>
      </w:r>
    </w:p>
    <w:p w14:paraId="58D449C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收入包括：一般公共预算财政拨款收入85,193,923.65元。</w:t>
      </w:r>
    </w:p>
    <w:p w14:paraId="28948FF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支出包括：一般公共服务支出73,486,666.99元、社会保障和就业支出7,827,496.14元、卫生健康支出3,879,760.52元。</w:t>
      </w:r>
    </w:p>
    <w:p w14:paraId="15B6582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1AD3161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天津市南开区市场监督管理局2024年度本年收入合计85,193,923.65元，与2023年度相比减少2,548,266.71元，主要原因是</w:t>
      </w:r>
      <w:r>
        <w:rPr>
          <w:rFonts w:hint="eastAsia" w:ascii="Times New Roman" w:eastAsia="仿宋_GB2312"/>
          <w:b w:val="0"/>
          <w:sz w:val="30"/>
          <w:szCs w:val="30"/>
        </w:rPr>
        <w:t>实有人员减少、</w:t>
      </w:r>
      <w:r>
        <w:rPr>
          <w:rFonts w:hint="eastAsia" w:ascii="Times New Roman" w:eastAsia="仿宋_GB2312"/>
          <w:b w:val="0"/>
          <w:sz w:val="30"/>
          <w:szCs w:val="30"/>
          <w:lang w:val="en-US" w:eastAsia="zh-CN"/>
        </w:rPr>
        <w:t>人员和公用支出减少</w:t>
      </w:r>
      <w:r>
        <w:rPr>
          <w:rFonts w:ascii="Times New Roman" w:eastAsia="仿宋_GB2312"/>
          <w:b w:val="0"/>
          <w:sz w:val="30"/>
          <w:szCs w:val="30"/>
        </w:rPr>
        <w:t>。其中：</w:t>
      </w:r>
    </w:p>
    <w:p w14:paraId="4559E90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一般公共预算财政拨款收入85,193,923.65元，占100.000%。</w:t>
      </w:r>
    </w:p>
    <w:p w14:paraId="7343E98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19D3A67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天津市南开区市场监督管理局2024年度本年支出合计85,193,923.65元，与2023年度相比减少2,548,466.71元，主要原因是</w:t>
      </w:r>
      <w:r>
        <w:rPr>
          <w:rFonts w:hint="eastAsia" w:ascii="Times New Roman" w:eastAsia="仿宋_GB2312"/>
          <w:b w:val="0"/>
          <w:sz w:val="30"/>
          <w:szCs w:val="30"/>
        </w:rPr>
        <w:t>实有人员减少、</w:t>
      </w:r>
      <w:r>
        <w:rPr>
          <w:rFonts w:hint="eastAsia" w:ascii="Times New Roman" w:eastAsia="仿宋_GB2312"/>
          <w:b w:val="0"/>
          <w:sz w:val="30"/>
          <w:szCs w:val="30"/>
          <w:lang w:val="en-US" w:eastAsia="zh-CN"/>
        </w:rPr>
        <w:t>人员和公用支出减少</w:t>
      </w:r>
      <w:r>
        <w:rPr>
          <w:rFonts w:ascii="Times New Roman" w:eastAsia="仿宋_GB2312"/>
          <w:b w:val="0"/>
          <w:sz w:val="30"/>
          <w:szCs w:val="30"/>
        </w:rPr>
        <w:t>。其中：</w:t>
      </w:r>
    </w:p>
    <w:p w14:paraId="73474B4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基本支出78,034,641.88元，占91.596%；项目支出7,159,281.77元，占8.404%。</w:t>
      </w:r>
    </w:p>
    <w:p w14:paraId="76A7913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0840694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天津市南开区市场监督管理局2024年度财政拨款收入、支出决算总计85,193,923.65元。与2023年度相比，财政拨款收、支总计各减少2,526,577.96元，下降2.880%，主要原因是</w:t>
      </w:r>
      <w:r>
        <w:rPr>
          <w:rFonts w:hint="eastAsia" w:ascii="Times New Roman" w:eastAsia="仿宋_GB2312"/>
          <w:b w:val="0"/>
          <w:sz w:val="30"/>
          <w:szCs w:val="30"/>
        </w:rPr>
        <w:t>实有人员减少、</w:t>
      </w:r>
      <w:r>
        <w:rPr>
          <w:rFonts w:hint="eastAsia" w:ascii="Times New Roman" w:eastAsia="仿宋_GB2312"/>
          <w:b w:val="0"/>
          <w:sz w:val="30"/>
          <w:szCs w:val="30"/>
          <w:lang w:val="en-US" w:eastAsia="zh-CN"/>
        </w:rPr>
        <w:t>人员和公用支出减少</w:t>
      </w:r>
      <w:r>
        <w:rPr>
          <w:rFonts w:ascii="Times New Roman" w:eastAsia="仿宋_GB2312"/>
          <w:b w:val="0"/>
          <w:sz w:val="30"/>
          <w:szCs w:val="30"/>
        </w:rPr>
        <w:t>。</w:t>
      </w:r>
    </w:p>
    <w:p w14:paraId="2759D36B">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收入包括：一般公共预算财政拨款85,193,923.65元。</w:t>
      </w:r>
    </w:p>
    <w:p w14:paraId="2C18924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支出包括：一般公共服务支出73,486,666.99元、社会保障和就业支出7,827,496.14元、卫生健康支出3,879,760.52元。</w:t>
      </w:r>
    </w:p>
    <w:p w14:paraId="502C25A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4C98501B">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36D02C1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天津市南开区市场监督管理局2024年度部门决算一般公共预算财政拨款支出合计85,193,923.65元，占本年支出合计的100.000%。与2023年度相比，一般公共预算财政拨款支出减少2,526,577.96元，下降2.880%，主要原因是</w:t>
      </w:r>
      <w:r>
        <w:rPr>
          <w:rFonts w:hint="eastAsia" w:ascii="Times New Roman" w:eastAsia="仿宋_GB2312"/>
          <w:b w:val="0"/>
          <w:sz w:val="30"/>
          <w:szCs w:val="30"/>
        </w:rPr>
        <w:t>实有人员减少、</w:t>
      </w:r>
      <w:r>
        <w:rPr>
          <w:rFonts w:hint="eastAsia" w:ascii="Times New Roman" w:eastAsia="仿宋_GB2312"/>
          <w:b w:val="0"/>
          <w:sz w:val="30"/>
          <w:szCs w:val="30"/>
          <w:lang w:val="en-US" w:eastAsia="zh-CN"/>
        </w:rPr>
        <w:t>人员和公用支出减少</w:t>
      </w:r>
      <w:r>
        <w:rPr>
          <w:rFonts w:ascii="Times New Roman" w:eastAsia="仿宋_GB2312"/>
          <w:b w:val="0"/>
          <w:sz w:val="30"/>
          <w:szCs w:val="30"/>
        </w:rPr>
        <w:t>。</w:t>
      </w:r>
    </w:p>
    <w:p w14:paraId="4ABBCBCB">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1BC6DE9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85,193,923.65元，主要用于以下方面：一般公共服务支出（类）73,486,666.99元，占86.258%；社会保障和就业支出（类）7,827,496.14元，占9.188%；卫生健康支出（类）3,879,760.52元，占4.554%。</w:t>
      </w:r>
    </w:p>
    <w:p w14:paraId="69BF5BEA">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46C4D90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2024年度一般公共预算财政拨款支出年初预算为81,181,687.10元，支出决算为85,193,923.65元，完成年初预算的104.942%。其中： </w:t>
      </w:r>
    </w:p>
    <w:p w14:paraId="5679E5E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1.​一般公共服务支出(类)知识产权事务(款)知识产权宏观管理(项)年初预算为2,000,000.00元，支出决算为0.00元，完成年初预算的0.000%，决算数小于年初预算数的主要原因是：</w:t>
      </w:r>
      <w:r>
        <w:rPr>
          <w:rFonts w:hint="eastAsia" w:ascii="Times New Roman" w:eastAsia="仿宋_GB2312"/>
          <w:b w:val="0"/>
          <w:sz w:val="30"/>
          <w:szCs w:val="30"/>
          <w:lang w:eastAsia="zh-CN"/>
        </w:rPr>
        <w:t>本年度知识产权保护经费（含知识产权执法保护专项经费）未列支，已核减预算指标</w:t>
      </w:r>
      <w:r>
        <w:rPr>
          <w:rFonts w:ascii="Times New Roman" w:eastAsia="仿宋_GB2312"/>
          <w:b w:val="0"/>
          <w:sz w:val="30"/>
          <w:szCs w:val="30"/>
        </w:rPr>
        <w:t>。</w:t>
      </w:r>
    </w:p>
    <w:p w14:paraId="31294DA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2.​一般公共服务支出(类)市场监督管理事务(款)行政运行(项)年初预算为60,150,106.35元，支出决算为62,980,681.07元，完成年初预算的104.706%，决算数大于年初预算数的主要原因是：</w:t>
      </w:r>
      <w:r>
        <w:rPr>
          <w:rFonts w:hint="eastAsia" w:ascii="Times New Roman" w:eastAsia="仿宋_GB2312"/>
          <w:b w:val="0"/>
          <w:sz w:val="30"/>
          <w:szCs w:val="30"/>
          <w:lang w:eastAsia="zh-CN"/>
        </w:rPr>
        <w:t>本年度追加经费支付干休假补贴等</w:t>
      </w:r>
      <w:r>
        <w:rPr>
          <w:rFonts w:ascii="Times New Roman" w:eastAsia="仿宋_GB2312"/>
          <w:b w:val="0"/>
          <w:sz w:val="30"/>
          <w:szCs w:val="30"/>
        </w:rPr>
        <w:t>。</w:t>
      </w:r>
    </w:p>
    <w:p w14:paraId="3C727EB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3.​一般公共服务支出(类)市场监督管理事务(款)一般行政管理事务(项)年初预算为0.00元，支出决算为1,515,986.16元，决算数大于年初预算数的主要原因是：</w:t>
      </w:r>
      <w:r>
        <w:rPr>
          <w:rFonts w:hint="eastAsia" w:ascii="Times New Roman" w:eastAsia="仿宋_GB2312"/>
          <w:b w:val="0"/>
          <w:sz w:val="30"/>
          <w:szCs w:val="30"/>
          <w:lang w:eastAsia="zh-CN"/>
        </w:rPr>
        <w:t>本年度年中调整功能科目，由行政运行调整至</w:t>
      </w:r>
      <w:r>
        <w:rPr>
          <w:rFonts w:ascii="Times New Roman" w:eastAsia="仿宋_GB2312"/>
          <w:b w:val="0"/>
          <w:sz w:val="30"/>
          <w:szCs w:val="30"/>
        </w:rPr>
        <w:t>一般行政管理事务。</w:t>
      </w:r>
    </w:p>
    <w:p w14:paraId="3ACCAC6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4.​一般公共服务支出(类)市场监督管理事务(款)机关服务(项)年初预算为0.00元，支出决算为81,100.20元，决算数大于年初预算数的主要原因是：</w:t>
      </w:r>
      <w:r>
        <w:rPr>
          <w:rFonts w:hint="eastAsia" w:ascii="Times New Roman" w:eastAsia="仿宋_GB2312"/>
          <w:b w:val="0"/>
          <w:sz w:val="30"/>
          <w:szCs w:val="30"/>
          <w:lang w:eastAsia="zh-CN"/>
        </w:rPr>
        <w:t>本年度年中调整功能科目，由事业运行调整至</w:t>
      </w:r>
      <w:r>
        <w:rPr>
          <w:rFonts w:ascii="Times New Roman" w:eastAsia="仿宋_GB2312"/>
          <w:b w:val="0"/>
          <w:sz w:val="30"/>
          <w:szCs w:val="30"/>
        </w:rPr>
        <w:t>机关服务。</w:t>
      </w:r>
    </w:p>
    <w:p w14:paraId="637AF4D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5.​一般公共服务支出(类)市场监督管理事务(款)质量安全监管(项)年初预算为0.00元，支出决算为111,767.33元，决算数大于年初预算数的主要原因是：</w:t>
      </w:r>
      <w:r>
        <w:rPr>
          <w:rFonts w:hint="eastAsia" w:ascii="Times New Roman" w:eastAsia="仿宋_GB2312"/>
          <w:b w:val="0"/>
          <w:sz w:val="30"/>
          <w:szCs w:val="30"/>
          <w:lang w:eastAsia="zh-CN"/>
        </w:rPr>
        <w:t>本年度追加市场监管业务工作经费</w:t>
      </w:r>
      <w:r>
        <w:rPr>
          <w:rFonts w:ascii="Times New Roman" w:eastAsia="仿宋_GB2312"/>
          <w:b w:val="0"/>
          <w:sz w:val="30"/>
          <w:szCs w:val="30"/>
        </w:rPr>
        <w:t>。</w:t>
      </w:r>
    </w:p>
    <w:p w14:paraId="03E9C1D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6.​一般公共服务支出(类)市场监督管理事务(款)食品安全监管(项)年初预算为0.00元，支出决算为1,551,080.60元，决算数大于年初预算数的主要原因是：</w:t>
      </w:r>
      <w:r>
        <w:rPr>
          <w:rFonts w:hint="eastAsia" w:ascii="Times New Roman" w:eastAsia="仿宋_GB2312"/>
          <w:b w:val="0"/>
          <w:sz w:val="30"/>
          <w:szCs w:val="30"/>
          <w:lang w:eastAsia="zh-CN"/>
        </w:rPr>
        <w:t>本年度追加食品安全检测费</w:t>
      </w:r>
      <w:r>
        <w:rPr>
          <w:rFonts w:ascii="Times New Roman" w:eastAsia="仿宋_GB2312"/>
          <w:b w:val="0"/>
          <w:sz w:val="30"/>
          <w:szCs w:val="30"/>
        </w:rPr>
        <w:t>。</w:t>
      </w:r>
    </w:p>
    <w:p w14:paraId="312BE789">
      <w:pPr>
        <w:widowControl/>
        <w:spacing w:before="0" w:beforeLines="0" w:beforeAutospacing="0" w:after="0" w:afterLines="0" w:afterAutospacing="0" w:line="360" w:lineRule="auto"/>
        <w:ind w:firstLine="600" w:firstLineChars="200"/>
        <w:jc w:val="left"/>
        <w:rPr>
          <w:rFonts w:ascii="Times New Roman" w:eastAsia="仿宋_GB2312"/>
          <w:sz w:val="30"/>
          <w:szCs w:val="30"/>
          <w:highlight w:val="none"/>
        </w:rPr>
      </w:pPr>
      <w:r>
        <w:rPr>
          <w:rFonts w:ascii="Times New Roman" w:eastAsia="仿宋_GB2312"/>
          <w:b w:val="0"/>
          <w:sz w:val="30"/>
          <w:szCs w:val="30"/>
        </w:rPr>
        <w:t>7.​一般公共服务支出(类)市场监督管理事务(款)事业运行(项)年初预算为3,769,876.23元，支出决算为3,346,704.15元，完成年初预算</w:t>
      </w:r>
      <w:r>
        <w:rPr>
          <w:rFonts w:ascii="Times New Roman" w:eastAsia="仿宋_GB2312"/>
          <w:b w:val="0"/>
          <w:sz w:val="30"/>
          <w:szCs w:val="30"/>
          <w:highlight w:val="none"/>
        </w:rPr>
        <w:t>的88.775%，决算数小于年初预算数的主要原因是：</w:t>
      </w:r>
      <w:r>
        <w:rPr>
          <w:rFonts w:hint="eastAsia" w:ascii="Times New Roman" w:hAnsi="Times New Roman" w:eastAsia="仿宋_GB2312" w:cs="仿宋_GB2312"/>
          <w:sz w:val="30"/>
          <w:szCs w:val="30"/>
          <w:highlight w:val="none"/>
          <w:lang w:eastAsia="zh-CN"/>
        </w:rPr>
        <w:t>年中</w:t>
      </w:r>
      <w:r>
        <w:rPr>
          <w:rFonts w:hint="eastAsia" w:ascii="Times New Roman" w:hAnsi="Times New Roman" w:eastAsia="仿宋_GB2312" w:cs="仿宋_GB2312"/>
          <w:sz w:val="30"/>
          <w:szCs w:val="30"/>
          <w:highlight w:val="none"/>
          <w:lang w:val="en-US" w:eastAsia="zh-CN"/>
        </w:rPr>
        <w:t>部分资金</w:t>
      </w:r>
      <w:r>
        <w:rPr>
          <w:rFonts w:hint="eastAsia" w:ascii="Times New Roman" w:hAnsi="Times New Roman" w:eastAsia="仿宋_GB2312" w:cs="仿宋_GB2312"/>
          <w:sz w:val="30"/>
          <w:szCs w:val="30"/>
          <w:highlight w:val="none"/>
          <w:lang w:eastAsia="zh-CN"/>
        </w:rPr>
        <w:t>调整</w:t>
      </w:r>
      <w:r>
        <w:rPr>
          <w:rFonts w:hint="eastAsia" w:ascii="Times New Roman" w:hAnsi="Times New Roman" w:eastAsia="仿宋_GB2312" w:cs="仿宋_GB2312"/>
          <w:sz w:val="30"/>
          <w:szCs w:val="30"/>
          <w:highlight w:val="none"/>
          <w:lang w:val="en-US" w:eastAsia="zh-CN"/>
        </w:rPr>
        <w:t>至</w:t>
      </w:r>
      <w:r>
        <w:rPr>
          <w:rFonts w:ascii="Times New Roman" w:eastAsia="仿宋_GB2312"/>
          <w:b w:val="0"/>
          <w:sz w:val="30"/>
          <w:szCs w:val="30"/>
          <w:highlight w:val="none"/>
        </w:rPr>
        <w:t>机关服务</w:t>
      </w:r>
      <w:r>
        <w:rPr>
          <w:rFonts w:hint="eastAsia" w:ascii="Times New Roman" w:hAnsi="Times New Roman" w:eastAsia="仿宋_GB2312" w:cs="仿宋_GB2312"/>
          <w:sz w:val="30"/>
          <w:szCs w:val="30"/>
          <w:highlight w:val="none"/>
          <w:lang w:eastAsia="zh-CN"/>
        </w:rPr>
        <w:t>科目</w:t>
      </w:r>
      <w:r>
        <w:rPr>
          <w:rFonts w:hint="eastAsia" w:ascii="Times New Roman" w:eastAsia="仿宋_GB2312"/>
          <w:b w:val="0"/>
          <w:sz w:val="30"/>
          <w:szCs w:val="30"/>
          <w:highlight w:val="none"/>
          <w:lang w:eastAsia="zh-CN"/>
        </w:rPr>
        <w:t>，</w:t>
      </w:r>
      <w:r>
        <w:rPr>
          <w:rFonts w:hint="eastAsia" w:ascii="Times New Roman" w:hAnsi="Times New Roman" w:eastAsia="仿宋_GB2312" w:cs="仿宋_GB2312"/>
          <w:sz w:val="30"/>
          <w:szCs w:val="30"/>
          <w:highlight w:val="none"/>
          <w:lang w:eastAsia="zh-CN"/>
        </w:rPr>
        <w:t>且落实“过紧日子”思想，</w:t>
      </w:r>
      <w:r>
        <w:rPr>
          <w:rFonts w:hint="eastAsia" w:ascii="Times New Roman" w:hAnsi="Times New Roman" w:eastAsia="仿宋_GB2312" w:cs="仿宋_GB2312"/>
          <w:sz w:val="30"/>
          <w:szCs w:val="30"/>
          <w:highlight w:val="none"/>
          <w:lang w:val="en-US" w:eastAsia="zh-CN"/>
        </w:rPr>
        <w:t>压减公用经费支出</w:t>
      </w:r>
      <w:r>
        <w:rPr>
          <w:rFonts w:ascii="Times New Roman" w:eastAsia="仿宋_GB2312"/>
          <w:b w:val="0"/>
          <w:sz w:val="30"/>
          <w:szCs w:val="30"/>
          <w:highlight w:val="none"/>
        </w:rPr>
        <w:t>。</w:t>
      </w:r>
    </w:p>
    <w:p w14:paraId="0EDF061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8.​一般公共服务支出(类)市场监督管理事务(款)其他市场监督管理事务(项)年初预算为2,784,000.00元，支出决算为3,899,347.48元，完成年初预算的140.063%，决算数大于年初预算数的主要原因是：</w:t>
      </w:r>
      <w:r>
        <w:rPr>
          <w:rFonts w:hint="eastAsia" w:ascii="Times New Roman" w:eastAsia="仿宋_GB2312"/>
          <w:b w:val="0"/>
          <w:sz w:val="30"/>
          <w:szCs w:val="30"/>
          <w:lang w:eastAsia="zh-CN"/>
        </w:rPr>
        <w:t>本年度追加市场监管业务工作经费及抚恤金等项目经费</w:t>
      </w:r>
      <w:r>
        <w:rPr>
          <w:rFonts w:ascii="Times New Roman" w:eastAsia="仿宋_GB2312"/>
          <w:b w:val="0"/>
          <w:sz w:val="30"/>
          <w:szCs w:val="30"/>
        </w:rPr>
        <w:t>。</w:t>
      </w:r>
    </w:p>
    <w:p w14:paraId="346F35C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9.​社会保障和就业支出(类)行政事业单位养老支出(款)机关事业单位基本养老保险缴费支出(项)年初预算为5,562,672.16元，支出决算为5,218,359.79元，完成年初预算的93.810%，决算数小于年初预算数的主要原因是：</w:t>
      </w:r>
      <w:r>
        <w:rPr>
          <w:rFonts w:hint="eastAsia" w:ascii="Times New Roman" w:hAnsi="Times New Roman" w:eastAsia="仿宋_GB2312" w:cs="仿宋_GB2312"/>
          <w:sz w:val="30"/>
          <w:szCs w:val="30"/>
          <w:highlight w:val="none"/>
          <w:lang w:eastAsia="zh-CN"/>
        </w:rPr>
        <w:t>本年度有干部退休。</w:t>
      </w:r>
    </w:p>
    <w:p w14:paraId="257BDA6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10.​社会保障和就业支出(类)行政事业单位养老支出(款)机关事业单位职业年金缴费支出(项)年初预算为2,781,336.08元，支出决算为2,609,136.35元，完成年初预算的93.809%，决算数小于年初预算数的主要原因是：</w:t>
      </w:r>
      <w:r>
        <w:rPr>
          <w:rFonts w:hint="eastAsia" w:ascii="Times New Roman" w:hAnsi="Times New Roman" w:eastAsia="仿宋_GB2312" w:cs="仿宋_GB2312"/>
          <w:sz w:val="30"/>
          <w:szCs w:val="30"/>
          <w:highlight w:val="none"/>
          <w:lang w:eastAsia="zh-CN"/>
        </w:rPr>
        <w:t>本年度有干部退休。</w:t>
      </w:r>
    </w:p>
    <w:p w14:paraId="5FA3A90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11.​卫生健康支出(类)行政事业单位医疗(款)行政单位医疗(项)年初预算为3,285,130.90元，支出决算为3,091,487.17元，完成年初预算的94.105%，决算数小于年初预算数的主要原因是：</w:t>
      </w:r>
      <w:r>
        <w:rPr>
          <w:rFonts w:hint="eastAsia" w:ascii="Times New Roman" w:hAnsi="Times New Roman" w:eastAsia="仿宋_GB2312" w:cs="仿宋_GB2312"/>
          <w:sz w:val="30"/>
          <w:szCs w:val="30"/>
          <w:highlight w:val="none"/>
          <w:lang w:eastAsia="zh-CN"/>
        </w:rPr>
        <w:t>本年度有干部退休</w:t>
      </w:r>
      <w:r>
        <w:rPr>
          <w:rFonts w:ascii="Times New Roman" w:eastAsia="仿宋_GB2312"/>
          <w:b w:val="0"/>
          <w:sz w:val="30"/>
          <w:szCs w:val="30"/>
        </w:rPr>
        <w:t>。</w:t>
      </w:r>
    </w:p>
    <w:p w14:paraId="1CF6178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12.​卫生健康支出(类)行政事业单位医疗(款)事业单位医疗(项)年初预算为191,539.20元，支出决算为170,016.57元，完成年初预算的88.763%，决算数小于年初预算数的主要原因是：</w:t>
      </w:r>
      <w:r>
        <w:rPr>
          <w:rFonts w:hint="eastAsia" w:ascii="Times New Roman" w:hAnsi="Times New Roman" w:eastAsia="仿宋_GB2312" w:cs="仿宋_GB2312"/>
          <w:sz w:val="30"/>
          <w:szCs w:val="30"/>
          <w:highlight w:val="none"/>
          <w:lang w:eastAsia="zh-CN"/>
        </w:rPr>
        <w:t>本年度有干部退休</w:t>
      </w:r>
      <w:r>
        <w:rPr>
          <w:rFonts w:ascii="Times New Roman" w:eastAsia="仿宋_GB2312"/>
          <w:b w:val="0"/>
          <w:sz w:val="30"/>
          <w:szCs w:val="30"/>
        </w:rPr>
        <w:t>。</w:t>
      </w:r>
    </w:p>
    <w:p w14:paraId="0C84E77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13.​卫生健康支出(类)行政事业单位医疗(款)公务员医疗补助(项)年初预算为657,026.18元，支出决算为618,256.78元，完成年初预算的94.099%，决算数小于年初预算数的主要原因是：</w:t>
      </w:r>
      <w:r>
        <w:rPr>
          <w:rFonts w:hint="eastAsia" w:ascii="Times New Roman" w:hAnsi="Times New Roman" w:eastAsia="仿宋_GB2312" w:cs="仿宋_GB2312"/>
          <w:sz w:val="30"/>
          <w:szCs w:val="30"/>
          <w:highlight w:val="none"/>
          <w:lang w:eastAsia="zh-CN"/>
        </w:rPr>
        <w:t>本年度有干部退休。</w:t>
      </w:r>
    </w:p>
    <w:p w14:paraId="6F1A2B2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7A4A1F6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天津市南开区市场监督管理局2024年度部门决算一般公共预算财政拨款基本支出合计78,034,641.88元，与2023年度相比减少6,712,623.40元，主要原因是</w:t>
      </w:r>
      <w:r>
        <w:rPr>
          <w:rFonts w:hint="eastAsia" w:ascii="Times New Roman" w:eastAsia="仿宋_GB2312"/>
          <w:b w:val="0"/>
          <w:sz w:val="30"/>
          <w:szCs w:val="30"/>
        </w:rPr>
        <w:t>实有人员减少、</w:t>
      </w:r>
      <w:r>
        <w:rPr>
          <w:rFonts w:hint="eastAsia" w:ascii="Times New Roman" w:eastAsia="仿宋_GB2312"/>
          <w:b w:val="0"/>
          <w:sz w:val="30"/>
          <w:szCs w:val="30"/>
          <w:lang w:val="en-US" w:eastAsia="zh-CN"/>
        </w:rPr>
        <w:t>基本支出减少</w:t>
      </w:r>
      <w:r>
        <w:rPr>
          <w:rFonts w:ascii="Times New Roman" w:eastAsia="仿宋_GB2312"/>
          <w:b w:val="0"/>
          <w:sz w:val="30"/>
          <w:szCs w:val="30"/>
        </w:rPr>
        <w:t>。其中：</w:t>
      </w:r>
    </w:p>
    <w:p w14:paraId="0F446F6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72,680,557.47元，主要包括基本工资、津贴补贴、奖金、绩效工资、机关事业单位基本养老保险缴费、职业年金缴费、职工基本医疗保险缴费、公务员医疗补助缴费、其他社会保障缴费、住房公积金、其他工资福利支出、退休费、生活补助、奖励金和其他对个人和家庭的补助。</w:t>
      </w:r>
    </w:p>
    <w:p w14:paraId="34F4889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5,354,084.41元，主要包括办公费、印刷费、手续费、水费、电费、邮电费、取暖费、差旅费、维修(护)费、培训费、委托业务费、工会经费、福利费、公务用车运行维护费、其他交通费用、其他商品和服务支出和办公设备购置。</w:t>
      </w:r>
    </w:p>
    <w:p w14:paraId="69C1F6D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6AFE33C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天津市南开区市场监督管理局2024年度无政府性基金预算财政拨款收入、支出和结转结余。</w:t>
      </w:r>
    </w:p>
    <w:p w14:paraId="7D9DFF5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5959227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天津市南开区市场监督管理局2024年度无国有资本经营预算财政拨款收入、支出和结转结余。</w:t>
      </w:r>
    </w:p>
    <w:p w14:paraId="16C97EA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1B83092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56F71D7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2024年财政拨款“三公”经费预算124,391.20元，支出决算124,391.20元，与2024年预算相比持平，完成预算的100.000%；支出决算较上年增加27,254.03元，增长28.057%。决算数与预算数持平的主要原因是</w:t>
      </w:r>
      <w:r>
        <w:rPr>
          <w:rFonts w:hint="eastAsia" w:ascii="Times New Roman" w:eastAsia="仿宋_GB2312"/>
          <w:b w:val="0"/>
          <w:sz w:val="30"/>
          <w:szCs w:val="30"/>
          <w:lang w:val="en-US" w:eastAsia="zh-CN"/>
        </w:rPr>
        <w:t>严格</w:t>
      </w:r>
      <w:r>
        <w:rPr>
          <w:rFonts w:hint="eastAsia" w:ascii="Times New Roman" w:eastAsia="仿宋_GB2312"/>
          <w:b w:val="0"/>
          <w:sz w:val="30"/>
          <w:szCs w:val="30"/>
          <w:lang w:eastAsia="zh-CN"/>
        </w:rPr>
        <w:t>按照预算执行</w:t>
      </w:r>
      <w:r>
        <w:rPr>
          <w:rFonts w:ascii="Times New Roman" w:eastAsia="仿宋_GB2312"/>
          <w:b w:val="0"/>
          <w:sz w:val="30"/>
          <w:szCs w:val="30"/>
        </w:rPr>
        <w:t>；决算数较上年增加的主要原因是</w:t>
      </w:r>
      <w:r>
        <w:rPr>
          <w:rFonts w:hint="eastAsia" w:ascii="Times New Roman" w:eastAsia="仿宋_GB2312"/>
          <w:b w:val="0"/>
          <w:sz w:val="30"/>
          <w:szCs w:val="30"/>
        </w:rPr>
        <w:t>列支以前年度公务用车维修费</w:t>
      </w:r>
      <w:r>
        <w:rPr>
          <w:rFonts w:ascii="Times New Roman" w:eastAsia="仿宋_GB2312"/>
          <w:b w:val="0"/>
          <w:sz w:val="30"/>
          <w:szCs w:val="30"/>
        </w:rPr>
        <w:t>。</w:t>
      </w:r>
    </w:p>
    <w:p w14:paraId="3F47A87B">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310528C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w:t>
      </w:r>
      <w:r>
        <w:rPr>
          <w:rFonts w:hint="eastAsia" w:ascii="Times New Roman" w:eastAsia="仿宋_GB2312"/>
          <w:b w:val="0"/>
          <w:sz w:val="30"/>
          <w:szCs w:val="30"/>
        </w:rPr>
        <w:t>本年未用财政拨款列支因公出国（境）费</w:t>
      </w:r>
      <w:r>
        <w:rPr>
          <w:rFonts w:ascii="Times New Roman" w:eastAsia="仿宋_GB2312"/>
          <w:b w:val="0"/>
          <w:sz w:val="30"/>
          <w:szCs w:val="30"/>
        </w:rPr>
        <w:t>；决算数较上年持平的主要原因是</w:t>
      </w:r>
      <w:r>
        <w:rPr>
          <w:rFonts w:hint="eastAsia" w:ascii="Times New Roman" w:eastAsia="仿宋_GB2312"/>
          <w:b w:val="0"/>
          <w:sz w:val="30"/>
          <w:szCs w:val="30"/>
        </w:rPr>
        <w:t>本年未用财政拨款列支因公出国（境）费</w:t>
      </w:r>
      <w:r>
        <w:rPr>
          <w:rFonts w:ascii="Times New Roman" w:eastAsia="仿宋_GB2312"/>
          <w:b w:val="0"/>
          <w:sz w:val="30"/>
          <w:szCs w:val="30"/>
        </w:rPr>
        <w:t>。</w:t>
      </w:r>
    </w:p>
    <w:p w14:paraId="49A7EA8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4BFE6FF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2.公务用车购置及运行维护费预算124,391.20元，支出决算124,391.20元，与预算相比持平，完成预算的100.000%；支出决算较上年增加27,254.03元，增长28.057%。决算数与预算数持平的主要原因是</w:t>
      </w:r>
      <w:r>
        <w:rPr>
          <w:rFonts w:hint="eastAsia" w:ascii="Times New Roman" w:eastAsia="仿宋_GB2312"/>
          <w:b w:val="0"/>
          <w:sz w:val="30"/>
          <w:szCs w:val="30"/>
          <w:lang w:val="en-US" w:eastAsia="zh-CN"/>
        </w:rPr>
        <w:t>严格</w:t>
      </w:r>
      <w:r>
        <w:rPr>
          <w:rFonts w:hint="eastAsia" w:ascii="Times New Roman" w:eastAsia="仿宋_GB2312"/>
          <w:b w:val="0"/>
          <w:sz w:val="30"/>
          <w:szCs w:val="30"/>
          <w:lang w:eastAsia="zh-CN"/>
        </w:rPr>
        <w:t>按照预算执行</w:t>
      </w:r>
      <w:r>
        <w:rPr>
          <w:rFonts w:ascii="Times New Roman" w:eastAsia="仿宋_GB2312"/>
          <w:b w:val="0"/>
          <w:sz w:val="30"/>
          <w:szCs w:val="30"/>
        </w:rPr>
        <w:t>；决算数较上年增加的主要原因是</w:t>
      </w:r>
      <w:r>
        <w:rPr>
          <w:rFonts w:hint="eastAsia" w:ascii="Times New Roman" w:eastAsia="仿宋_GB2312"/>
          <w:b w:val="0"/>
          <w:sz w:val="30"/>
          <w:szCs w:val="30"/>
        </w:rPr>
        <w:t>列支以前年度公务用车维修费</w:t>
      </w:r>
      <w:r>
        <w:rPr>
          <w:rFonts w:ascii="Times New Roman" w:eastAsia="仿宋_GB2312"/>
          <w:b w:val="0"/>
          <w:sz w:val="30"/>
          <w:szCs w:val="30"/>
        </w:rPr>
        <w:t>。其中：</w:t>
      </w:r>
    </w:p>
    <w:p w14:paraId="1B3FA67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公务用车运行维护费预算124,391.20元，支出决算124,391.20元，与预算相比持平，完成预算的100.000%；支出决算较上年增加27,254.03元，增长28.057%。决算数与预算数持平的主要原因是</w:t>
      </w:r>
      <w:r>
        <w:rPr>
          <w:rFonts w:hint="eastAsia" w:ascii="Times New Roman" w:eastAsia="仿宋_GB2312"/>
          <w:b w:val="0"/>
          <w:sz w:val="30"/>
          <w:szCs w:val="30"/>
          <w:lang w:val="en-US" w:eastAsia="zh-CN"/>
        </w:rPr>
        <w:t>严格</w:t>
      </w:r>
      <w:r>
        <w:rPr>
          <w:rFonts w:hint="eastAsia" w:ascii="Times New Roman" w:eastAsia="仿宋_GB2312"/>
          <w:b w:val="0"/>
          <w:sz w:val="30"/>
          <w:szCs w:val="30"/>
          <w:lang w:eastAsia="zh-CN"/>
        </w:rPr>
        <w:t>按照预算执行</w:t>
      </w:r>
      <w:r>
        <w:rPr>
          <w:rFonts w:ascii="Times New Roman" w:eastAsia="仿宋_GB2312"/>
          <w:b w:val="0"/>
          <w:sz w:val="30"/>
          <w:szCs w:val="30"/>
        </w:rPr>
        <w:t>；决算数较上年增加的主要原因是</w:t>
      </w:r>
      <w:r>
        <w:rPr>
          <w:rFonts w:hint="eastAsia" w:ascii="Times New Roman" w:eastAsia="仿宋_GB2312"/>
          <w:b w:val="0"/>
          <w:sz w:val="30"/>
          <w:szCs w:val="30"/>
        </w:rPr>
        <w:t>列支以前年度公务用车维修费</w:t>
      </w:r>
      <w:r>
        <w:rPr>
          <w:rFonts w:ascii="Times New Roman" w:eastAsia="仿宋_GB2312"/>
          <w:b w:val="0"/>
          <w:sz w:val="30"/>
          <w:szCs w:val="30"/>
        </w:rPr>
        <w:t>。</w:t>
      </w:r>
    </w:p>
    <w:p w14:paraId="157A0FC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截至2024年12月31日，使用财政拨款开支运行维护费的公务用车保有量为36辆。</w:t>
      </w:r>
    </w:p>
    <w:p w14:paraId="448B504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w:t>
      </w:r>
      <w:r>
        <w:rPr>
          <w:rFonts w:hint="eastAsia" w:ascii="Times New Roman" w:hAnsi="Times New Roman" w:eastAsia="仿宋_GB2312" w:cs="仿宋_GB2312"/>
          <w:kern w:val="0"/>
          <w:sz w:val="30"/>
          <w:szCs w:val="30"/>
          <w:highlight w:val="none"/>
          <w:lang w:val="en-US" w:eastAsia="zh-CN" w:bidi="ar-SA"/>
        </w:rPr>
        <w:t>本年未用财政拨款列支公务用车购置费</w:t>
      </w:r>
      <w:r>
        <w:rPr>
          <w:rFonts w:ascii="Times New Roman" w:eastAsia="仿宋_GB2312"/>
          <w:b w:val="0"/>
          <w:sz w:val="30"/>
          <w:szCs w:val="30"/>
        </w:rPr>
        <w:t>；决算数较上年持平的主要原因是</w:t>
      </w:r>
      <w:r>
        <w:rPr>
          <w:rFonts w:hint="eastAsia" w:ascii="Times New Roman" w:hAnsi="Times New Roman" w:eastAsia="仿宋_GB2312" w:cs="仿宋_GB2312"/>
          <w:kern w:val="0"/>
          <w:sz w:val="30"/>
          <w:szCs w:val="30"/>
          <w:highlight w:val="none"/>
          <w:lang w:val="en-US" w:eastAsia="zh-CN" w:bidi="ar-SA"/>
        </w:rPr>
        <w:t>本年未用财政拨款列支公务用车购置费</w:t>
      </w:r>
      <w:r>
        <w:rPr>
          <w:rFonts w:ascii="Times New Roman" w:eastAsia="仿宋_GB2312"/>
          <w:b w:val="0"/>
          <w:sz w:val="30"/>
          <w:szCs w:val="30"/>
        </w:rPr>
        <w:t>。</w:t>
      </w:r>
    </w:p>
    <w:p w14:paraId="1A4FF9C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5E5F74E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w:t>
      </w:r>
      <w:r>
        <w:rPr>
          <w:rFonts w:hint="eastAsia" w:ascii="Times New Roman" w:hAnsi="Times New Roman" w:eastAsia="仿宋_GB2312" w:cs="仿宋_GB2312"/>
          <w:kern w:val="0"/>
          <w:sz w:val="30"/>
          <w:szCs w:val="30"/>
          <w:highlight w:val="none"/>
          <w:lang w:val="en-US" w:eastAsia="zh-CN" w:bidi="ar-SA"/>
        </w:rPr>
        <w:t>本年未用财政拨款列支公务接待费</w:t>
      </w:r>
      <w:r>
        <w:rPr>
          <w:rFonts w:ascii="Times New Roman" w:eastAsia="仿宋_GB2312"/>
          <w:b w:val="0"/>
          <w:sz w:val="30"/>
          <w:szCs w:val="30"/>
        </w:rPr>
        <w:t>；决算数较上年持平的主要原因是</w:t>
      </w:r>
      <w:r>
        <w:rPr>
          <w:rFonts w:hint="eastAsia" w:ascii="Times New Roman" w:hAnsi="Times New Roman" w:eastAsia="仿宋_GB2312" w:cs="仿宋_GB2312"/>
          <w:kern w:val="0"/>
          <w:sz w:val="30"/>
          <w:szCs w:val="30"/>
          <w:highlight w:val="none"/>
          <w:lang w:val="en-US" w:eastAsia="zh-CN" w:bidi="ar-SA"/>
        </w:rPr>
        <w:t>本年未用财政拨款列支公务接待费</w:t>
      </w:r>
      <w:r>
        <w:rPr>
          <w:rFonts w:ascii="Times New Roman" w:eastAsia="仿宋_GB2312"/>
          <w:b w:val="0"/>
          <w:sz w:val="30"/>
          <w:szCs w:val="30"/>
        </w:rPr>
        <w:t>。</w:t>
      </w:r>
    </w:p>
    <w:p w14:paraId="7AD1F81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1B6B0F2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0AA4C26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南开区市场监督管理局2024年度机关运行经费年初预算5,964,047.57元，决算数5,303,563.31元，与年初预算相比减少660,484.26元，完成年初预算的88.926%；比2023年减少1,697,647.81元，下降24.248%。主要原因是：</w:t>
      </w:r>
      <w:r>
        <w:rPr>
          <w:rFonts w:hint="eastAsia" w:ascii="Times New Roman" w:eastAsia="仿宋_GB2312"/>
          <w:b w:val="0"/>
          <w:sz w:val="30"/>
          <w:szCs w:val="30"/>
          <w:lang w:eastAsia="zh-CN"/>
        </w:rPr>
        <w:t>本年度物业费及伙食费在项目经费列支</w:t>
      </w:r>
      <w:r>
        <w:rPr>
          <w:rFonts w:ascii="Times New Roman" w:eastAsia="仿宋_GB2312"/>
          <w:b w:val="0"/>
          <w:sz w:val="30"/>
          <w:szCs w:val="30"/>
        </w:rPr>
        <w:t>。</w:t>
      </w:r>
    </w:p>
    <w:p w14:paraId="24966FC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3DE5124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天津市南开区市场监督管理局2024年政府采购支出总额5,914,664.80元，其中：政府采购货物支出36,164.80元、政府采购服务支出5,878,500.00元。</w:t>
      </w:r>
    </w:p>
    <w:p w14:paraId="79B2D75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5,914,664.80元，占政府采购支出总额的100.000%，其中：授予小微企业合同金额4,136,164.80元，占政府采购支出总额的69.931%；货物采购授予中小企业合同金额占货物支出金额的100.000%，服务采购授予中小企业合同金额占服务支出金额的100.000%。</w:t>
      </w:r>
    </w:p>
    <w:p w14:paraId="77A5860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727D4E0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截至2024年12月31日，天津市南开区市场监督管理局共有车辆36辆，其中：执法执勤用车31辆、特种专业技术用车1辆、其</w:t>
      </w:r>
      <w:bookmarkStart w:id="0" w:name="_GoBack"/>
      <w:r>
        <w:rPr>
          <w:rFonts w:ascii="Times New Roman" w:eastAsia="仿宋_GB2312"/>
          <w:b w:val="0"/>
          <w:sz w:val="30"/>
          <w:szCs w:val="30"/>
        </w:rPr>
        <w:t>他用车4辆，其他用车主要包括</w:t>
      </w:r>
      <w:r>
        <w:rPr>
          <w:rFonts w:hint="eastAsia" w:ascii="Times New Roman" w:eastAsia="仿宋_GB2312"/>
          <w:b w:val="0"/>
          <w:sz w:val="30"/>
          <w:szCs w:val="30"/>
          <w:lang w:eastAsia="zh-CN"/>
        </w:rPr>
        <w:t>一般公务用车</w:t>
      </w:r>
      <w:bookmarkEnd w:id="0"/>
      <w:r>
        <w:rPr>
          <w:rFonts w:ascii="Times New Roman" w:eastAsia="仿宋_GB2312"/>
          <w:b w:val="0"/>
          <w:sz w:val="30"/>
          <w:szCs w:val="30"/>
        </w:rPr>
        <w:t>。单价100万元以上的设备0台（套）。</w:t>
      </w:r>
    </w:p>
    <w:p w14:paraId="063BE2B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65A72BA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根据预算绩效管理要求，天津市南开区市场监督管理局已对</w:t>
      </w:r>
      <w:r>
        <w:rPr>
          <w:rFonts w:hint="eastAsia" w:ascii="Times New Roman" w:eastAsia="仿宋_GB2312"/>
          <w:b w:val="0"/>
          <w:sz w:val="30"/>
          <w:szCs w:val="30"/>
          <w:highlight w:val="none"/>
          <w:lang w:val="en-US" w:eastAsia="zh-CN"/>
        </w:rPr>
        <w:t>18</w:t>
      </w:r>
      <w:r>
        <w:rPr>
          <w:rFonts w:ascii="Times New Roman" w:eastAsia="仿宋_GB2312"/>
          <w:b w:val="0"/>
          <w:sz w:val="30"/>
          <w:szCs w:val="30"/>
          <w:highlight w:val="none"/>
        </w:rPr>
        <w:t>个2024年度项目开展绩效自评，涉及金额</w:t>
      </w:r>
      <w:r>
        <w:rPr>
          <w:rFonts w:hint="eastAsia" w:ascii="Times New Roman" w:eastAsia="仿宋_GB2312"/>
          <w:b w:val="0"/>
          <w:sz w:val="30"/>
          <w:szCs w:val="30"/>
          <w:highlight w:val="none"/>
          <w:lang w:val="en-US" w:eastAsia="zh-CN"/>
        </w:rPr>
        <w:t>1,4850,429.96</w:t>
      </w:r>
      <w:r>
        <w:rPr>
          <w:rFonts w:ascii="Times New Roman" w:eastAsia="仿宋_GB2312"/>
          <w:b w:val="0"/>
          <w:sz w:val="30"/>
          <w:szCs w:val="30"/>
          <w:highlight w:val="none"/>
        </w:rPr>
        <w:t>元，</w:t>
      </w:r>
      <w:r>
        <w:rPr>
          <w:rFonts w:ascii="Times New Roman" w:eastAsia="仿宋_GB2312"/>
          <w:b w:val="0"/>
          <w:sz w:val="30"/>
          <w:szCs w:val="30"/>
        </w:rPr>
        <w:t>自评结果已随部门决算一并公开。本部门2024年度未开展部门评价。</w:t>
      </w:r>
    </w:p>
    <w:p w14:paraId="53F7E75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115B0F13">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r>
        <w:rPr>
          <w:rFonts w:ascii="Times New Roman" w:eastAsia="仿宋_GB2312"/>
          <w:b w:val="0"/>
          <w:sz w:val="30"/>
          <w:szCs w:val="30"/>
        </w:rPr>
        <w:t>天津市南开区市场监督管理局不属于乡、镇、街级单位，不涉及公开2024年度教育、医疗卫生、社会保障和就业、住房保障、涉农补贴等民生支出情况。</w:t>
      </w:r>
    </w:p>
    <w:p w14:paraId="2F4EB3EA">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14:paraId="3D623632">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14:paraId="6E34254C">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14:paraId="18822A61">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14:paraId="49CF51E4">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14:paraId="7E42EDD9">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14:paraId="7DA31BB2">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14:paraId="39E755BB">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14:paraId="737C5B1B">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14:paraId="36F55CDE">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14:paraId="1A50EC94">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p>
    <w:p w14:paraId="0826EA15">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13ACE5A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45B3BAF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8DEA30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788D9B2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  </w:t>
      </w:r>
    </w:p>
    <w:p w14:paraId="1612E4ED">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pgNumType w:fmt="decimal"/>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71CCB02-6BF3-4911-92C3-AE0EBB55EE3D}"/>
  </w:font>
  <w:font w:name="黑体">
    <w:panose1 w:val="02010609060101010101"/>
    <w:charset w:val="86"/>
    <w:family w:val="auto"/>
    <w:pitch w:val="default"/>
    <w:sig w:usb0="800002BF" w:usb1="38CF7CFA" w:usb2="00000016" w:usb3="00000000" w:csb0="00040001" w:csb1="00000000"/>
    <w:embedRegular r:id="rId2" w:fontKey="{32202899-36E0-4144-9DAB-0424A4FF7D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4FBC3DB6-880A-49E6-B029-F4FB84E617DE}"/>
  </w:font>
  <w:font w:name="Calibri Light">
    <w:panose1 w:val="020F0302020204030204"/>
    <w:charset w:val="00"/>
    <w:family w:val="auto"/>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8188177A-553E-437D-885A-D4A4ED88F5CF}"/>
  </w:font>
  <w:font w:name="仿宋_GB2312">
    <w:altName w:val="仿宋"/>
    <w:panose1 w:val="00000000000000000000"/>
    <w:charset w:val="00"/>
    <w:family w:val="auto"/>
    <w:pitch w:val="default"/>
    <w:sig w:usb0="00000000" w:usb1="00000000" w:usb2="00000000" w:usb3="00000000" w:csb0="00000000" w:csb1="00000000"/>
    <w:embedRegular r:id="rId5" w:fontKey="{A14063E3-89F7-44FD-9C76-E8449F4CFD09}"/>
  </w:font>
  <w:font w:name="宋体-简">
    <w:altName w:val="宋体"/>
    <w:panose1 w:val="02010800040101010101"/>
    <w:charset w:val="86"/>
    <w:family w:val="auto"/>
    <w:pitch w:val="default"/>
    <w:sig w:usb0="00000000" w:usb1="00000000" w:usb2="00000000" w:usb3="00000000" w:csb0="00040000" w:csb1="00000000"/>
    <w:embedRegular r:id="rId6" w:fontKey="{E62189FD-B81E-4C74-A156-D08395597773}"/>
  </w:font>
  <w:font w:name="楷体">
    <w:panose1 w:val="02010609060101010101"/>
    <w:charset w:val="86"/>
    <w:family w:val="auto"/>
    <w:pitch w:val="default"/>
    <w:sig w:usb0="800002BF" w:usb1="38CF7CFA" w:usb2="00000016" w:usb3="00000000" w:csb0="00040001" w:csb1="00000000"/>
    <w:embedRegular r:id="rId7" w:fontKey="{CE51F015-5263-48AA-A9FF-ADBD9338C7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34BA0">
    <w:pPr>
      <w:pStyle w:val="8"/>
      <w:jc w:val="center"/>
    </w:pPr>
  </w:p>
  <w:p w14:paraId="4A33BE9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9E2E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07E1B">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C07E1B">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B22A1">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6B9D">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C61FEC"/>
    <w:multiLevelType w:val="singleLevel"/>
    <w:tmpl w:val="16C61FEC"/>
    <w:lvl w:ilvl="0" w:tentative="0">
      <w:start w:val="1"/>
      <w:numFmt w:val="decimal"/>
      <w:lvlText w:val="%1."/>
      <w:lvlJc w:val="left"/>
      <w:pPr>
        <w:tabs>
          <w:tab w:val="left" w:pos="312"/>
        </w:tabs>
      </w:p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zgsImhkaWQiOiJmNWYzMzM1MmExNzg4ZGE5MTI2NGU3Zjc5YjZjZjA3MiIsInVzZXJDb3VudCI6O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7A26D3"/>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DA5703"/>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7533FD"/>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AD725E"/>
    <w:rsid w:val="26D50E55"/>
    <w:rsid w:val="271A539C"/>
    <w:rsid w:val="273823FA"/>
    <w:rsid w:val="274972D4"/>
    <w:rsid w:val="27AA3D97"/>
    <w:rsid w:val="280A3758"/>
    <w:rsid w:val="28292E99"/>
    <w:rsid w:val="289057C5"/>
    <w:rsid w:val="28A67C7A"/>
    <w:rsid w:val="28B24405"/>
    <w:rsid w:val="28EA3248"/>
    <w:rsid w:val="28F879DA"/>
    <w:rsid w:val="294B7731"/>
    <w:rsid w:val="29514455"/>
    <w:rsid w:val="29D21FF2"/>
    <w:rsid w:val="2A3E2317"/>
    <w:rsid w:val="2A611B0F"/>
    <w:rsid w:val="2ABE72A7"/>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B46525"/>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EC1EFD"/>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702DBF"/>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6232437"/>
    <w:rsid w:val="56541A75"/>
    <w:rsid w:val="568832FC"/>
    <w:rsid w:val="568901BB"/>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56750F"/>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EF5B3B"/>
    <w:rsid w:val="E2DE949D"/>
    <w:rsid w:val="E4C8A119"/>
    <w:rsid w:val="E9EF6F43"/>
    <w:rsid w:val="EDFFE889"/>
    <w:rsid w:val="EEE74D43"/>
    <w:rsid w:val="EF7BA4A3"/>
    <w:rsid w:val="F4B59182"/>
    <w:rsid w:val="F997E54E"/>
    <w:rsid w:val="FB4C53D1"/>
    <w:rsid w:val="FBEF8F85"/>
    <w:rsid w:val="FCE5F63C"/>
    <w:rsid w:val="FD6FC958"/>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36</Pages>
  <Words>1100</Words>
  <Characters>1116</Characters>
  <Lines>86</Lines>
  <Paragraphs>24</Paragraphs>
  <TotalTime>11</TotalTime>
  <ScaleCrop>false</ScaleCrop>
  <LinksUpToDate>false</LinksUpToDate>
  <CharactersWithSpaces>1136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2023-08-06T23:55:00Z</dcterms:created>
  <dc:creator>王明新TIAD</dc:creator>
  <cp:lastModifiedBy>葉絡隨風</cp:lastModifiedBy>
  <cp:lastPrinted>2023-08-06T17:00:00Z</cp:lastPrinted>
  <dcterms:modified xsi:type="dcterms:W3CDTF">2025-09-17T02:30:37Z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eyJoZGlkIjoiYzc2ODlkMjk0YTBiNDMwOGNkMDBlYzM3MDdlODM3MDIiLCJ1c2VySWQiOiI1MzI3MjkwMjgifQ==</vt:lpwstr>
  </property>
</Properties>
</file>