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天津市南开区市场监督管理局（本级）</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南开区市场监督管理局主要职责包括负责宣传、贯彻、执行有关市场监督管理、质量技术监督和食品药品安全监督管理工作的法律、法规及规章；依法组织区内各类市场主体的登记注册并监督管理，依法查处无照经营行为；依法规范和维护区内各类市场的经营秩序，监督管理市场交易行为和网络商品交易及有关服务的行为；依法实施合同的行政监督管理；指导辖区企业、个体工商户、商品交易市场的信用分类管理、收集、整理和报送监管职责内的市场主体登记注册基础信息；负责质量管理工作；负责产品质量安全监督工作；负责标准化管理工作；负责计量监督管理工作；负责认证认可监督管理工作；负责特种设备的安全检查工作；负责食品监督管理工作；负责药品零售、医疗器械经营学科、检查和处罚，以及化妆品经营和药品、医疗器械使用环节质量的检查和处罚；负责市场安全应急体系建设；依法加强市场监督管理信息化建设；负责保护知识产权；负责促进知识产权运用；负责本领域安全生产监督管理工作；配合有关部门推动招商引资工作；负责市场监管体系人才队伍建设；完成区委、区政府交办的其他事项。</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eastAsia="仿宋_GB2312"/>
          <w:b w:val="0"/>
          <w:sz w:val="30"/>
          <w:szCs w:val="30"/>
        </w:rPr>
        <w:t>天津市南开区市场监督管理局（本级）内设</w:t>
      </w:r>
      <w:r>
        <w:rPr>
          <w:rFonts w:hint="eastAsia" w:ascii="Times New Roman" w:eastAsia="仿宋_GB2312"/>
          <w:b w:val="0"/>
          <w:sz w:val="30"/>
          <w:szCs w:val="30"/>
          <w:lang w:val="en-US" w:eastAsia="zh-CN"/>
        </w:rPr>
        <w:t>23</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。纳入天津市南开区市场监督管理局（本级）2024年度部门决算编制范围的单位包括：天津市南开区市场监督管理局（本级）</w:t>
      </w:r>
      <w:r>
        <w:rPr>
          <w:rFonts w:hint="eastAsia" w:ascii="Times New Roman" w:eastAsia="仿宋_GB2312"/>
          <w:sz w:val="30"/>
          <w:szCs w:val="30"/>
          <w:lang w:val="en-US" w:eastAsia="zh-CN"/>
        </w:rPr>
        <w:t>。</w:t>
      </w:r>
      <w:bookmarkStart w:id="0" w:name="_GoBack"/>
      <w:bookmarkEnd w:id="0"/>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108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72,618,652.84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48"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451"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49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446"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46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862" w:type="pct"/>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43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45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6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10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49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6"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6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4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399" w:type="pct"/>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49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84,181,847.49</w:t>
            </w:r>
          </w:p>
        </w:tc>
        <w:tc>
          <w:tcPr>
            <w:tcW w:w="446"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84,181,847.49</w:t>
            </w:r>
          </w:p>
        </w:tc>
        <w:tc>
          <w:tcPr>
            <w:tcW w:w="46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一般公共服务支出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72,618,652.84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72,618,652.84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市场监督管理事务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72,618,652.84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72,618,652.84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行政运行</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62,980,681.07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62,980,681.07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2013802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一般行政管理事务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1,515,986.16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1,515,986.16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2013803</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机关服务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59,455.20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59,455.20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2013815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质量安全监管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111,767.33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111,767.33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2013816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食品安全监管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1,551,080.60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1,551,080.60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2013850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事业运行</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2,500,335.00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2,500,335.00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其他市场监督管理事务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3,899,347.48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3,899,347.48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7,725,805.50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7,725,805.50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7,725,805.50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7,725,805.50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5,150,566.03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5,150,566.03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2,575,239.47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2,575,239.47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3,837,389.15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3,837,389.15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3,837,389.15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3,837,389.15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3,091,487.17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3,091,487.17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127,645.20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127,645.20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2101103</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公务员医疗补助</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618,256.78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618,256.78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153"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部门（单位）：天津市南开区市场监督管理局（本级） </w:t>
            </w: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2"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16" w:type="pct"/>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0"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27"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456" w:type="pct"/>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37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19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327" w:type="pct"/>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1912" w:type="pct"/>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1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5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24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219"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223"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1004" w:type="pct"/>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684"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4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23"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0"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6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1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355101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天津市南开区市场监督管理局（本级）</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84,181,847.49</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56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8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77,044,210.72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72,618,652.84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65,481,016.07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72,618,652.84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65,481,016.07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62,980,681.07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62,980,681.07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1,515,986.16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1,515,986.16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机关服务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59,455.20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59,455.20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质量安全监管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1,551,080.60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1,551,080.60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2013850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2,500,335.00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2,500,335.00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其他市场监督管理事务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3,899,347.48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3,899,347.48</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5,150,566.03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5,150,566.03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2,575,239.47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2,575,239.47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3,091,487.17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3,091,487.17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127,645.20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127,645.20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618,256.78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618,256.78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705"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72,618,652.84</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72,618,652.84</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7,725,805.50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3,837,389.15</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84,181,847.49</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02"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天津市南开区市场监督管理局（本级） </w:t>
            </w:r>
          </w:p>
        </w:tc>
        <w:tc>
          <w:tcPr>
            <w:tcW w:w="59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25"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9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1"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462"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93"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6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59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84,181,847.49</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77,044,210.72</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71,740,647.41</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5,303,563.31</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7,137,636.77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一般公共服务支出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72,618,652.84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65,481,016.07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60,177,452.76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5,303,563.31</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7,137,636.77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市场监督管理事务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72,618,652.84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65,481,016.07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60,177,452.76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5,303,563.31</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7,137,636.77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行政运行</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62,980,681.07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62,980,681.07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57,748,899.89</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5,231,781.18</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2013802</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一般行政管理事务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1,515,986.16</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1,515,986.16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2013803</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机关服务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59,455.20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59,455.20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2013815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质量安全监管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111,767.33</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111,767.33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2013816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食品安全监管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1,551,080.60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1,551,080.60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2013850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事业运行</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2,500,335.00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2,500,335.00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2,428,552.87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71,782.13</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其他市场监督管理事务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3,899,347.48</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3,899,347.48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7,725,805.50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5,150,566.03</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5,150,566.03</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5,150,566.03</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2,575,239.47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2,575,239.47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2,575,239.47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3,837,389.15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3,091,487.17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3,091,487.17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3,091,487.17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2101102</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127,645.20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127,645.20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127,645.20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2101103</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公务员医疗补助</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618,256.78</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618,256.78</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618,256.78</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6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70,647,601.41</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5,261,832.31</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11,726,613.80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427,392.44</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14,672,793.04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23,152.75</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41,731.00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13,780,478.42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785.00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41,731.00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693,444.00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36,812.50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5,150,566.03</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451,030.48</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2,575,239.47</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280,000.00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3,219,132.37</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431,657.20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618,256.78</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94,017.76</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84,012.41</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16,854,284.00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24,089.39</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1,262,775.74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1,093,046.00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985,503.00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26,088.00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19,554.00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320,827.84</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955.00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734,567.10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124,391.20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2,050,060.00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80,500.00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253,500.00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71,740,647.41</w:t>
            </w:r>
          </w:p>
        </w:tc>
        <w:tc>
          <w:tcPr>
            <w:tcW w:w="2710" w:type="pct"/>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5,303,563.31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天津市南开区市场监督管理局（本级） </w:t>
            </w:r>
          </w:p>
        </w:tc>
        <w:tc>
          <w:tcPr>
            <w:tcW w:w="5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3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4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56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376"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3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3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天津市南开区市场监督管理局（本级）2024年政府性基金预算财政拨款收入支出决算表为空表。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7"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天津市南开区市场监督管理局（本级） </w:t>
            </w:r>
          </w:p>
        </w:tc>
        <w:tc>
          <w:tcPr>
            <w:tcW w:w="51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天津市南开区市场监督管理局（本级）2024年国有资本经营预算财政拨款收入支出决算表为空表。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124,391.20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124,391.20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124,391.20</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部门（单位）：天津市南开区市场监督管理局（本级） </w:t>
            </w:r>
          </w:p>
        </w:tc>
        <w:tc>
          <w:tcPr>
            <w:tcW w:w="568"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3579"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22" w:type="pct"/>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77"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604"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59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6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7,137,636.77</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一般行政管理事务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1,515,986.16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1,515,986.16</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伙食费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1,000,778.00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1,000,778.00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物业管理费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515,208.16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515,208.16</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机关服务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59,455.20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59,455.20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物业管理费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3,205.20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3,205.20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伙食费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56,250.00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56,250.00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2013815</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质量安全监管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2013815</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市场监管业务工作经费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111,767.33</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食品安全监管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1,551,080.60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1,551,080.60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食品安全检测费天津市乳品食品监测中心有限公司欠款</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1,360,780.60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1,360,780.60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2013816</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2022年中证检测科技天津有限公司检测费欠款</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190,300.00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190,300.00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其他市场监督管理事务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3,899,347.48</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3,899,347.48</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经费补助</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1,948,800.00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1,948,800.00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市场监管业务工作经费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265,226.48</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265,226.48</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南开区市场监管局执法支队搬迁及计量所改造项目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239,985.00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239,985.00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经费补助</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2024年抚恤金第二批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153,562.00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153,562.00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2024年抚恤金第一批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293,212.00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293,212.00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2024年抚恤金第三批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163,362.00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163,362.00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天津市南开区市场监督管理局（本级）2024年度收入、支出决算总计84,181,847.49元。与2023年度相比，收、支总计各减少2,053,198.93元，下降2.381%，主要原因是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收入包括：一般公共预算财政拨款收入84,181,847.49元。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支出包括：一般公共服务支出72,618,652.84元、社会保障和就业支出7,725,805.50元、卫生健康支出3,837,389.15元。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天津市南开区市场监督管理局（本级）2024年度本年收入合计84,181,847.49元，与2023年度相比减少2,049,243.51元，主要原因是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一般公共预算财政拨款收入84,181,847.49元，占100.000%。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天津市南开区市场监督管理局（本级）2024年度本年支出合计84,181,847.49元，与2023年度相比减少2,049,443.51元，主要原因是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基本支出77,044,210.72元，占91.521%；项目支出7,137,636.77元，占8.479%。</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天津市南开区市场监督管理局（本级）2024年度财政拨款收入、支出决算总计84,181,847.49元。与2023年度相比，财政拨款收、支总计各减少2,027,554.76元，下降2.352%，主要原因是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收入包括：一般公共预算财政拨款84,181,847.49元。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支出包括：一般公共服务支出72,618,652.84元、社会保障和就业支出7,725,805.50元、卫生健康支出3,837,389.15元。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部门决算一般公共预算财政拨款支出合计84,181,847.49元，占本年支出合计的100.000%。与2023年度相比，一般公共预算财政拨款支出减少2,027,554.76元，下降2.352%，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84,181,847.49元，主要用于以下方面：一般公共服务支出（类）72,618,652.84元，占86.264%；社会保障和就业支出（类）7,725,805.50元，占9.178%；卫生健康支出（类）3,837,389.15元，占4.558%。</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2024年度一般公共预算财政拨款支出年初预算为79,755,586.52元，支出决算为84,181,847.49元，完成年初预算的105.550%。其中：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1.​一般公共服务支出(类)知识产权事务(款)知识产权宏观管理(项)年初预算为2,000,000.00元，支出决算为0.00元，完成年初预算的0.000%，决算数小于年初预算数的主要原因是：</w:t>
      </w:r>
      <w:r>
        <w:rPr>
          <w:rFonts w:hint="eastAsia" w:ascii="Times New Roman" w:eastAsia="仿宋_GB2312"/>
          <w:b w:val="0"/>
          <w:sz w:val="30"/>
          <w:szCs w:val="30"/>
          <w:lang w:eastAsia="zh-CN"/>
        </w:rPr>
        <w:t>本年度知识产权保护经费（含知识产权执法保护专项经费）未列支，已核减预算指标</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2.​一般公共服务支出(类)市场监督管理事务(款)行政运行(项)年初预算为60,150,106.35元，支出决算为62,980,681.07元，完成年初预算的104.706%，决算数大于年初预算数的主要原因是：</w:t>
      </w:r>
      <w:r>
        <w:rPr>
          <w:rFonts w:hint="eastAsia" w:ascii="Times New Roman" w:eastAsia="仿宋_GB2312"/>
          <w:b w:val="0"/>
          <w:sz w:val="30"/>
          <w:szCs w:val="30"/>
          <w:lang w:eastAsia="zh-CN"/>
        </w:rPr>
        <w:t>本年度追加经费支付干休假补贴等</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3.​一般公共服务支出(类)市场监督管理事务(款)一般行政管理事务(项)年初预算为0.00元，支出决算为1,515,986.16元，决算数大于年初预算数的主要原因是：</w:t>
      </w:r>
      <w:r>
        <w:rPr>
          <w:rFonts w:hint="eastAsia" w:ascii="Times New Roman" w:eastAsia="仿宋_GB2312"/>
          <w:b w:val="0"/>
          <w:sz w:val="30"/>
          <w:szCs w:val="30"/>
          <w:lang w:eastAsia="zh-CN"/>
        </w:rPr>
        <w:t>本年度年中调整功能科目，由行政运行调整至</w:t>
      </w:r>
      <w:r>
        <w:rPr>
          <w:rFonts w:ascii="Times New Roman" w:eastAsia="仿宋_GB2312"/>
          <w:b w:val="0"/>
          <w:sz w:val="30"/>
          <w:szCs w:val="30"/>
        </w:rPr>
        <w:t>一般行政管理事务。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4.​一般公共服务支出(类)市场监督管理事务(款)机关服务(项)年初预算为0.00元，支出决算为59,455.20元，决算数大于年初预算数的主要原因是：</w:t>
      </w:r>
      <w:r>
        <w:rPr>
          <w:rFonts w:hint="eastAsia" w:ascii="Times New Roman" w:eastAsia="仿宋_GB2312"/>
          <w:b w:val="0"/>
          <w:sz w:val="30"/>
          <w:szCs w:val="30"/>
          <w:lang w:eastAsia="zh-CN"/>
        </w:rPr>
        <w:t>本年度年中调整功能科目，由事业运行调整至</w:t>
      </w:r>
      <w:r>
        <w:rPr>
          <w:rFonts w:ascii="Times New Roman" w:eastAsia="仿宋_GB2312"/>
          <w:b w:val="0"/>
          <w:sz w:val="30"/>
          <w:szCs w:val="30"/>
        </w:rPr>
        <w:t>机关服务。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5.​一般公共服务支出(类)市场监督管理事务(款)质量安全监管(项)年初预算为0.00元，支出决算为111,767.33元，决算数大于年初预算数的主要原因是：</w:t>
      </w:r>
      <w:r>
        <w:rPr>
          <w:rFonts w:hint="eastAsia" w:ascii="Times New Roman" w:eastAsia="仿宋_GB2312"/>
          <w:b w:val="0"/>
          <w:sz w:val="30"/>
          <w:szCs w:val="30"/>
          <w:lang w:eastAsia="zh-CN"/>
        </w:rPr>
        <w:t>本年度追加市场监管业务工作经费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6.​一般公共服务支出(类)市场监督管理事务(款)食品安全监管(项)年初预算为0.00元，支出决算为1,551,080.60元，决算数大于年初预算数的主要原因是：</w:t>
      </w:r>
      <w:r>
        <w:rPr>
          <w:rFonts w:hint="eastAsia" w:ascii="Times New Roman" w:eastAsia="仿宋_GB2312"/>
          <w:b w:val="0"/>
          <w:sz w:val="30"/>
          <w:szCs w:val="30"/>
          <w:lang w:eastAsia="zh-CN"/>
        </w:rPr>
        <w:t>本年度追加食品安全检测费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7.​一般公共服务支出(类)市场监督管理事务(款)事业运行(项)年初预算为2,559,215.97元，支出决算为2,500,335.00元，完成年初预算的97.699%，决算数小于年初预算数的主要原因是：</w:t>
      </w:r>
      <w:r>
        <w:rPr>
          <w:rFonts w:hint="eastAsia" w:ascii="Times New Roman" w:hAnsi="Times New Roman" w:eastAsia="仿宋_GB2312" w:cs="仿宋_GB2312"/>
          <w:sz w:val="30"/>
          <w:szCs w:val="30"/>
          <w:highlight w:val="none"/>
          <w:lang w:eastAsia="zh-CN"/>
        </w:rPr>
        <w:t>年中</w:t>
      </w:r>
      <w:r>
        <w:rPr>
          <w:rFonts w:hint="eastAsia" w:ascii="Times New Roman" w:hAnsi="Times New Roman" w:eastAsia="仿宋_GB2312" w:cs="仿宋_GB2312"/>
          <w:sz w:val="30"/>
          <w:szCs w:val="30"/>
          <w:highlight w:val="none"/>
          <w:lang w:val="en-US" w:eastAsia="zh-CN"/>
        </w:rPr>
        <w:t>部分资金</w:t>
      </w:r>
      <w:r>
        <w:rPr>
          <w:rFonts w:hint="eastAsia" w:ascii="Times New Roman" w:hAnsi="Times New Roman" w:eastAsia="仿宋_GB2312" w:cs="仿宋_GB2312"/>
          <w:sz w:val="30"/>
          <w:szCs w:val="30"/>
          <w:highlight w:val="none"/>
          <w:lang w:eastAsia="zh-CN"/>
        </w:rPr>
        <w:t>调整</w:t>
      </w:r>
      <w:r>
        <w:rPr>
          <w:rFonts w:hint="eastAsia" w:ascii="Times New Roman" w:hAnsi="Times New Roman" w:eastAsia="仿宋_GB2312" w:cs="仿宋_GB2312"/>
          <w:sz w:val="30"/>
          <w:szCs w:val="30"/>
          <w:highlight w:val="none"/>
          <w:lang w:val="en-US" w:eastAsia="zh-CN"/>
        </w:rPr>
        <w:t>至</w:t>
      </w:r>
      <w:r>
        <w:rPr>
          <w:rFonts w:ascii="Times New Roman" w:eastAsia="仿宋_GB2312"/>
          <w:b w:val="0"/>
          <w:sz w:val="30"/>
          <w:szCs w:val="30"/>
          <w:highlight w:val="none"/>
        </w:rPr>
        <w:t>机关服务</w:t>
      </w:r>
      <w:r>
        <w:rPr>
          <w:rFonts w:hint="eastAsia" w:ascii="Times New Roman" w:hAnsi="Times New Roman" w:eastAsia="仿宋_GB2312" w:cs="仿宋_GB2312"/>
          <w:sz w:val="30"/>
          <w:szCs w:val="30"/>
          <w:highlight w:val="none"/>
          <w:lang w:eastAsia="zh-CN"/>
        </w:rPr>
        <w:t>科目</w:t>
      </w:r>
      <w:r>
        <w:rPr>
          <w:rFonts w:hint="eastAsia" w:ascii="Times New Roman" w:eastAsia="仿宋_GB2312"/>
          <w:b w:val="0"/>
          <w:sz w:val="30"/>
          <w:szCs w:val="30"/>
          <w:highlight w:val="none"/>
          <w:lang w:eastAsia="zh-CN"/>
        </w:rPr>
        <w:t>，</w:t>
      </w:r>
      <w:r>
        <w:rPr>
          <w:rFonts w:hint="eastAsia" w:ascii="Times New Roman" w:hAnsi="Times New Roman" w:eastAsia="仿宋_GB2312" w:cs="仿宋_GB2312"/>
          <w:sz w:val="30"/>
          <w:szCs w:val="30"/>
          <w:highlight w:val="none"/>
          <w:lang w:eastAsia="zh-CN"/>
        </w:rPr>
        <w:t>且落实“过紧日子”思想，</w:t>
      </w:r>
      <w:r>
        <w:rPr>
          <w:rFonts w:hint="eastAsia" w:ascii="Times New Roman" w:hAnsi="Times New Roman" w:eastAsia="仿宋_GB2312" w:cs="仿宋_GB2312"/>
          <w:sz w:val="30"/>
          <w:szCs w:val="30"/>
          <w:highlight w:val="none"/>
          <w:lang w:val="en-US" w:eastAsia="zh-CN"/>
        </w:rPr>
        <w:t>压减公用经费支出</w:t>
      </w:r>
      <w:r>
        <w:rPr>
          <w:rFonts w:ascii="Times New Roman" w:eastAsia="仿宋_GB2312"/>
          <w:b w:val="0"/>
          <w:sz w:val="30"/>
          <w:szCs w:val="30"/>
          <w:highlight w:val="none"/>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8.​一般公共服务支出(类)市场监督管理事务(款)其他市场监督管理事务(项)年初预算为2,784,000.00元，支出决算为3,899,347.48元，完成年初预算的140.063%，决算数大于年初预算数的主要原因是：</w:t>
      </w:r>
      <w:r>
        <w:rPr>
          <w:rFonts w:hint="eastAsia" w:ascii="Times New Roman" w:eastAsia="仿宋_GB2312"/>
          <w:b w:val="0"/>
          <w:sz w:val="30"/>
          <w:szCs w:val="30"/>
          <w:lang w:eastAsia="zh-CN"/>
        </w:rPr>
        <w:t>本年度追加市场监管业务工作经费及抚恤金等项目经费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9.​社会保障和就业支出(类)行政事业单位养老支出(款)机关事业单位基本养老保险缴费支出(项)年初预算为5,461,288.48元，支出决算为5,150,566.03元，完成年初预算的94.310%，决算数小于年初预算数的主要原因是：</w:t>
      </w:r>
      <w:r>
        <w:rPr>
          <w:rFonts w:hint="eastAsia" w:ascii="Times New Roman" w:hAnsi="Times New Roman" w:eastAsia="仿宋_GB2312" w:cs="仿宋_GB2312"/>
          <w:sz w:val="30"/>
          <w:szCs w:val="30"/>
          <w:highlight w:val="none"/>
          <w:lang w:eastAsia="zh-CN"/>
        </w:rPr>
        <w:t>本年度有干部退休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10.​社会保障和就业支出(类)行政事业单位养老支出(款)机关事业单位职业年金缴费支出(项)年初预算为2,730,644.24元，支出决算为2,575,239.47元，完成年初预算的94.309%，决算数小于年初预算数的主要原因是：</w:t>
      </w:r>
      <w:r>
        <w:rPr>
          <w:rFonts w:hint="eastAsia" w:ascii="Times New Roman" w:hAnsi="Times New Roman" w:eastAsia="仿宋_GB2312" w:cs="仿宋_GB2312"/>
          <w:sz w:val="30"/>
          <w:szCs w:val="30"/>
          <w:highlight w:val="none"/>
          <w:lang w:eastAsia="zh-CN"/>
        </w:rPr>
        <w:t>本年度有干部退休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11.​卫生健康支出(类)行政事业单位医疗(款)行政单位医疗(项)年初预算为3,285,130.90元，支出决算为3,091,487.17元，完成年初预算的94.105%，决算数小于年初预算数的主要原因是：</w:t>
      </w:r>
      <w:r>
        <w:rPr>
          <w:rFonts w:hint="eastAsia" w:ascii="Times New Roman" w:hAnsi="Times New Roman" w:eastAsia="仿宋_GB2312" w:cs="仿宋_GB2312"/>
          <w:sz w:val="30"/>
          <w:szCs w:val="30"/>
          <w:highlight w:val="none"/>
          <w:lang w:eastAsia="zh-CN"/>
        </w:rPr>
        <w:t>本年度有干部退休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12.​卫生健康支出(类)行政事业单位医疗(款)事业单位医疗(项)年初预算为128,174.40元，支出决算为127,645.20元，完成年初预算的99.587%，决算数小于年初预算数的主要原因是：</w:t>
      </w:r>
      <w:r>
        <w:rPr>
          <w:rFonts w:hint="eastAsia" w:ascii="Times New Roman" w:hAnsi="Times New Roman" w:eastAsia="仿宋_GB2312" w:cs="仿宋_GB2312"/>
          <w:sz w:val="30"/>
          <w:szCs w:val="30"/>
          <w:highlight w:val="none"/>
          <w:lang w:eastAsia="zh-CN"/>
        </w:rPr>
        <w:t>按照实际发生列支</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13.​卫生健康支出(类)行政事业单位医疗(款)公务员医疗补助(项)年初预算为657,026.18元，支出决算为618,256.78元，完成年初预算的94.099%，决算数小于年初预算数的主要原因是：</w:t>
      </w:r>
      <w:r>
        <w:rPr>
          <w:rFonts w:hint="eastAsia" w:ascii="Times New Roman" w:hAnsi="Times New Roman" w:eastAsia="仿宋_GB2312" w:cs="仿宋_GB2312"/>
          <w:sz w:val="30"/>
          <w:szCs w:val="30"/>
          <w:highlight w:val="none"/>
          <w:lang w:eastAsia="zh-CN"/>
        </w:rPr>
        <w:t>本年度有干部退休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天津市南开区市场监督管理局（本级）2024年度部门决算一般公共预算财政拨款基本支出合计77,044,210.72元，与2023年度相比减少6,211,955.20元，主要原因是</w:t>
      </w:r>
      <w:r>
        <w:rPr>
          <w:rFonts w:hint="eastAsia" w:ascii="Times New Roman" w:eastAsia="仿宋_GB2312"/>
          <w:b w:val="0"/>
          <w:sz w:val="30"/>
          <w:szCs w:val="30"/>
        </w:rPr>
        <w:t>实有人员减少、落实“过紧日子”思想</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71,740,647.41元，主要包括基本工资、津贴补贴、奖金、绩效工资、机关事业单位基本养老保险缴费、职业年金缴费、职工基本医疗保险缴费、公务员医疗补助缴费、其他社会保障缴费、住房公积金、其他工资福利支出、退休费、生活补助、奖励金和其他对个人和家庭的补助。</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5,303,563.31元，主要包括办公费、印刷费、手续费、水费、电费、邮电费、取暖费、差旅费、维修(护)费、委托业务费、工会经费、福利费、公务用车运行维护费、其他交通费用、其他商品和服务支出和办公设备购置。</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2024年财政拨款“三公”经费预算124,391.20元，支出决算124,391.20元，与2024年预算相比持平，完成预算的100.000%；支出决算较上年增加27,254.03元，增长28.057%。决算数与预算数持平的主要原因是</w:t>
      </w:r>
      <w:r>
        <w:rPr>
          <w:rFonts w:hint="eastAsia" w:ascii="Times New Roman" w:eastAsia="仿宋_GB2312"/>
          <w:b w:val="0"/>
          <w:sz w:val="30"/>
          <w:szCs w:val="30"/>
          <w:lang w:eastAsia="zh-CN"/>
        </w:rPr>
        <w:t>严格按照预算执行</w:t>
      </w:r>
      <w:r>
        <w:rPr>
          <w:rFonts w:ascii="Times New Roman" w:eastAsia="仿宋_GB2312"/>
          <w:b w:val="0"/>
          <w:sz w:val="30"/>
          <w:szCs w:val="30"/>
        </w:rPr>
        <w:t>；决算数较上年增加的主要原因是</w:t>
      </w:r>
      <w:r>
        <w:rPr>
          <w:rFonts w:hint="eastAsia" w:ascii="Times New Roman" w:eastAsia="仿宋_GB2312"/>
          <w:b w:val="0"/>
          <w:sz w:val="30"/>
          <w:szCs w:val="30"/>
        </w:rPr>
        <w:t>列支以前年度公务用车维修费</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eastAsia="仿宋_GB2312"/>
          <w:b w:val="0"/>
          <w:sz w:val="30"/>
          <w:szCs w:val="30"/>
        </w:rPr>
        <w:t>本年未用财政拨款列支因公出国（境）费</w:t>
      </w:r>
      <w:r>
        <w:rPr>
          <w:rFonts w:ascii="Times New Roman" w:eastAsia="仿宋_GB2312"/>
          <w:b w:val="0"/>
          <w:sz w:val="30"/>
          <w:szCs w:val="30"/>
        </w:rPr>
        <w:t>；决算数较上年持平的主要原因是</w:t>
      </w:r>
      <w:r>
        <w:rPr>
          <w:rFonts w:hint="eastAsia" w:ascii="Times New Roman" w:eastAsia="仿宋_GB2312"/>
          <w:b w:val="0"/>
          <w:sz w:val="30"/>
          <w:szCs w:val="30"/>
        </w:rPr>
        <w:t>本年未用财政拨款列支因公出国（境）费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2.公务用车购置及运行维护费预算124,391.20元，支出决算124,391.20元，与预算相比持平，完成预算的100.000%；支出决算较上年增加27,254.03元，增长28.057%。决算数与预算数持平的主要原因是</w:t>
      </w:r>
      <w:r>
        <w:rPr>
          <w:rFonts w:hint="eastAsia" w:ascii="Times New Roman" w:eastAsia="仿宋_GB2312"/>
          <w:b w:val="0"/>
          <w:sz w:val="30"/>
          <w:szCs w:val="30"/>
          <w:lang w:eastAsia="zh-CN"/>
        </w:rPr>
        <w:t>严格按照预算执行</w:t>
      </w:r>
      <w:r>
        <w:rPr>
          <w:rFonts w:ascii="Times New Roman" w:eastAsia="仿宋_GB2312"/>
          <w:b w:val="0"/>
          <w:sz w:val="30"/>
          <w:szCs w:val="30"/>
        </w:rPr>
        <w:t>；决算数较上年增加的主要原因是</w:t>
      </w:r>
      <w:r>
        <w:rPr>
          <w:rFonts w:hint="eastAsia" w:ascii="Times New Roman" w:eastAsia="仿宋_GB2312"/>
          <w:b w:val="0"/>
          <w:sz w:val="30"/>
          <w:szCs w:val="30"/>
        </w:rPr>
        <w:t>列支以前年度公务用车维修费</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公务用车运行维护费预算124,391.20元，支出决算124,391.20元，与预算相比持平，完成预算的100.000%；支出决算较上年增加27,254.03元，增长28.057%。决算数与预算数持平的主要原因是</w:t>
      </w:r>
      <w:r>
        <w:rPr>
          <w:rFonts w:hint="eastAsia" w:ascii="Times New Roman" w:eastAsia="仿宋_GB2312"/>
          <w:b w:val="0"/>
          <w:sz w:val="30"/>
          <w:szCs w:val="30"/>
          <w:lang w:eastAsia="zh-CN"/>
        </w:rPr>
        <w:t>严格按照预算执行</w:t>
      </w:r>
      <w:r>
        <w:rPr>
          <w:rFonts w:ascii="Times New Roman" w:eastAsia="仿宋_GB2312"/>
          <w:b w:val="0"/>
          <w:sz w:val="30"/>
          <w:szCs w:val="30"/>
        </w:rPr>
        <w:t>；决算数较上年增加的主要原因是</w:t>
      </w:r>
      <w:r>
        <w:rPr>
          <w:rFonts w:hint="eastAsia" w:ascii="Times New Roman" w:eastAsia="仿宋_GB2312"/>
          <w:b w:val="0"/>
          <w:sz w:val="30"/>
          <w:szCs w:val="30"/>
        </w:rPr>
        <w:t>列支以前年度公务用车维修费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截至2024年12月31日，使用财政拨款开支运行维护费的公务用车保有量为36辆。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本年未用财政拨款列支公务用车购置费</w:t>
      </w:r>
      <w:r>
        <w:rPr>
          <w:rFonts w:ascii="Times New Roman" w:eastAsia="仿宋_GB2312"/>
          <w:b w:val="0"/>
          <w:sz w:val="30"/>
          <w:szCs w:val="30"/>
        </w:rPr>
        <w:t>；决算数较上年持平的主要原因是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本年未用财政拨款列支公务用车购置费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本年未用财政拨款列支公务接待费</w:t>
      </w:r>
      <w:r>
        <w:rPr>
          <w:rFonts w:ascii="Times New Roman" w:eastAsia="仿宋_GB2312"/>
          <w:b w:val="0"/>
          <w:sz w:val="30"/>
          <w:szCs w:val="30"/>
        </w:rPr>
        <w:t>；决算数较上年持平的主要原因是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本年未用财政拨款列支公务接待费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机关运行经费是指行政单位和参照公务员法管理的事业单位使用财政拨款安排的基本支出中的日常公用经费支出，天津市南开区市场监督管理局（本级）2024年度机关运行经费年初预算5,964,047.57元，决算数5,303,563.31元，与年初预算相比减少660,484.26元，完成年初预算的88.926%；比2023年减少1,697,647.81元，下降24.248%。主要原因是：</w:t>
      </w:r>
      <w:r>
        <w:rPr>
          <w:rFonts w:hint="eastAsia" w:ascii="Times New Roman" w:eastAsia="仿宋_GB2312"/>
          <w:b w:val="0"/>
          <w:sz w:val="30"/>
          <w:szCs w:val="30"/>
          <w:lang w:eastAsia="zh-CN"/>
        </w:rPr>
        <w:t>本年度物业费及伙食费在项目经费列支</w:t>
      </w:r>
      <w:r>
        <w:rPr>
          <w:rFonts w:ascii="Times New Roman" w:eastAsia="仿宋_GB2312"/>
          <w:b w:val="0"/>
          <w:sz w:val="30"/>
          <w:szCs w:val="30"/>
        </w:rPr>
        <w:t> 。</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天津市南开区市场监督管理局（本级）2024年政府采购支出总额5,914,664.80元，其中：政府采购货物支出36,164.80元、政府采购服务支出5,878,500.00元。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授予中小企业合同金额5,914,664.80元，占政府采购支出总额的100.000%，其中：授予小微企业合同金额4,136,164.80元，占政府采购支出总额的69.931%；货物采购授予中小企业合同金额占货物支出金额的100.000%，服务采购授予中小企业合同金额占服务支出金额的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截至2024年12月31日，天津市南开区市场监督管理局（本级）共有车辆36辆，其中：执法执勤用车31辆、特种专业技术用车1辆、其他用车4辆，其他用车主要包括</w:t>
      </w:r>
      <w:r>
        <w:rPr>
          <w:rFonts w:hint="eastAsia" w:ascii="Times New Roman" w:eastAsia="仿宋_GB2312"/>
          <w:b w:val="0"/>
          <w:sz w:val="30"/>
          <w:szCs w:val="30"/>
          <w:lang w:eastAsia="zh-CN"/>
        </w:rPr>
        <w:t>一般公务用车</w:t>
      </w:r>
      <w:r>
        <w:rPr>
          <w:rFonts w:ascii="Times New Roman" w:eastAsia="仿宋_GB2312"/>
          <w:b w:val="0"/>
          <w:sz w:val="30"/>
          <w:szCs w:val="30"/>
        </w:rPr>
        <w:t>。单价100万元以上的设备0台（套）。</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根据预算绩效管理要求，天津市</w:t>
      </w:r>
      <w:r>
        <w:rPr>
          <w:rFonts w:hint="eastAsia" w:ascii="Times New Roman" w:eastAsia="仿宋_GB2312"/>
          <w:b w:val="0"/>
          <w:sz w:val="30"/>
          <w:szCs w:val="30"/>
          <w:lang w:eastAsia="zh-CN"/>
        </w:rPr>
        <w:t>南开区市场监督管理局（本级）</w:t>
      </w:r>
      <w:r>
        <w:rPr>
          <w:rFonts w:ascii="Times New Roman" w:eastAsia="仿宋_GB2312"/>
          <w:b w:val="0"/>
          <w:sz w:val="30"/>
          <w:szCs w:val="30"/>
        </w:rPr>
        <w:t>已对</w:t>
      </w:r>
      <w:r>
        <w:rPr>
          <w:rFonts w:hint="eastAsia" w:ascii="Times New Roman" w:eastAsia="仿宋_GB2312"/>
          <w:b w:val="0"/>
          <w:sz w:val="30"/>
          <w:szCs w:val="30"/>
          <w:lang w:val="en-US" w:eastAsia="zh-CN"/>
        </w:rPr>
        <w:t>17</w:t>
      </w:r>
      <w:r>
        <w:rPr>
          <w:rFonts w:ascii="Times New Roman" w:eastAsia="仿宋_GB2312"/>
          <w:b w:val="0"/>
          <w:sz w:val="30"/>
          <w:szCs w:val="30"/>
        </w:rPr>
        <w:t>个2024年度项目开展绩效自评，涉及金额</w:t>
      </w:r>
      <w:r>
        <w:rPr>
          <w:rFonts w:hint="eastAsia" w:ascii="Times New Roman" w:eastAsia="仿宋_GB2312"/>
          <w:b w:val="0"/>
          <w:sz w:val="30"/>
          <w:szCs w:val="30"/>
          <w:lang w:val="en-US" w:eastAsia="zh-CN"/>
        </w:rPr>
        <w:t>14</w:t>
      </w:r>
      <w:r>
        <w:rPr>
          <w:rFonts w:ascii="Times New Roman" w:eastAsia="仿宋_GB2312"/>
          <w:b w:val="0"/>
          <w:sz w:val="30"/>
          <w:szCs w:val="30"/>
        </w:rPr>
        <w:t>,</w:t>
      </w:r>
      <w:r>
        <w:rPr>
          <w:rFonts w:hint="eastAsia" w:ascii="Times New Roman" w:eastAsia="仿宋_GB2312"/>
          <w:b w:val="0"/>
          <w:sz w:val="30"/>
          <w:szCs w:val="30"/>
          <w:lang w:val="en-US" w:eastAsia="zh-CN"/>
        </w:rPr>
        <w:t>827</w:t>
      </w:r>
      <w:r>
        <w:rPr>
          <w:rFonts w:ascii="Times New Roman" w:eastAsia="仿宋_GB2312"/>
          <w:b w:val="0"/>
          <w:sz w:val="30"/>
          <w:szCs w:val="30"/>
        </w:rPr>
        <w:t>,</w:t>
      </w:r>
      <w:r>
        <w:rPr>
          <w:rFonts w:hint="eastAsia" w:ascii="Times New Roman" w:eastAsia="仿宋_GB2312"/>
          <w:b w:val="0"/>
          <w:sz w:val="30"/>
          <w:szCs w:val="30"/>
          <w:lang w:val="en-US" w:eastAsia="zh-CN"/>
        </w:rPr>
        <w:t>929.96</w:t>
      </w:r>
      <w:r>
        <w:rPr>
          <w:rFonts w:ascii="Times New Roman" w:eastAsia="仿宋_GB2312"/>
          <w:b w:val="0"/>
          <w:sz w:val="30"/>
          <w:szCs w:val="30"/>
        </w:rPr>
        <w:t>元，自评结果已随部门决算一并公开。</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r>
        <w:rPr>
          <w:rFonts w:ascii="Times New Roman" w:eastAsia="仿宋_GB2312"/>
          <w:b w:val="0"/>
          <w:sz w:val="30"/>
          <w:szCs w:val="30"/>
        </w:rPr>
        <w:t>天津市</w:t>
      </w:r>
      <w:r>
        <w:rPr>
          <w:rFonts w:hint="eastAsia" w:ascii="Times New Roman" w:eastAsia="仿宋_GB2312"/>
          <w:b w:val="0"/>
          <w:sz w:val="30"/>
          <w:szCs w:val="30"/>
          <w:lang w:eastAsia="zh-CN"/>
        </w:rPr>
        <w:t>南开区市场监督管理局（本级）</w:t>
      </w:r>
      <w:r>
        <w:rPr>
          <w:rFonts w:ascii="Times New Roman" w:eastAsia="仿宋_GB2312"/>
          <w:b w:val="0"/>
          <w:sz w:val="30"/>
          <w:szCs w:val="30"/>
        </w:rPr>
        <w:t>不属于乡、镇、街级单位，不涉及公开2024年度教育、医疗卫生、社会保障和就业、住房保障、涉农补贴等民生支出情况。</w:t>
      </w: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C63E211-6FB7-463A-A2A4-148B5B757A4A}"/>
  </w:font>
  <w:font w:name="黑体">
    <w:panose1 w:val="02010609060101010101"/>
    <w:charset w:val="86"/>
    <w:family w:val="auto"/>
    <w:pitch w:val="default"/>
    <w:sig w:usb0="800002BF" w:usb1="38CF7CFA" w:usb2="00000016" w:usb3="00000000" w:csb0="00040001" w:csb1="00000000"/>
    <w:embedRegular r:id="rId2" w:fontKey="{D1EB12E6-60C3-4530-970A-CA6C6E05040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63246F56-11FB-406C-8D10-24BE55D3B09D}"/>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Fz_S_BiaoSong_Jt">
    <w:altName w:val="Segoe Print"/>
    <w:panose1 w:val="00000000000000000000"/>
    <w:charset w:val="00"/>
    <w:family w:val="auto"/>
    <w:pitch w:val="default"/>
    <w:sig w:usb0="00000000" w:usb1="00000000" w:usb2="00000000" w:usb3="00000000" w:csb0="00000000" w:csb1="00000000"/>
    <w:embedRegular r:id="rId4" w:fontKey="{E86E1B44-DE12-4AB0-A6FA-7B351A5B5DBA}"/>
  </w:font>
  <w:font w:name="仿宋_GB2312">
    <w:altName w:val="仿宋"/>
    <w:panose1 w:val="00000000000000000000"/>
    <w:charset w:val="00"/>
    <w:family w:val="auto"/>
    <w:pitch w:val="default"/>
    <w:sig w:usb0="00000000" w:usb1="00000000" w:usb2="00000000" w:usb3="00000000" w:csb0="00000000" w:csb1="00000000"/>
    <w:embedRegular r:id="rId5" w:fontKey="{6BAEEC8E-CC72-46AB-8E9D-BA464318B145}"/>
  </w:font>
  <w:font w:name="宋体-简">
    <w:altName w:val="宋体"/>
    <w:panose1 w:val="02010800040101010101"/>
    <w:charset w:val="86"/>
    <w:family w:val="auto"/>
    <w:pitch w:val="default"/>
    <w:sig w:usb0="00000000" w:usb1="00000000" w:usb2="00000000" w:usb3="00000000" w:csb0="00040000" w:csb1="00000000"/>
    <w:embedRegular r:id="rId6" w:fontKey="{08BB8A58-6E00-4375-9C1D-69EE1F1FA17A}"/>
  </w:font>
  <w:font w:name="楷体">
    <w:panose1 w:val="02010609060101010101"/>
    <w:charset w:val="86"/>
    <w:family w:val="auto"/>
    <w:pitch w:val="default"/>
    <w:sig w:usb0="800002BF" w:usb1="38CF7CFA" w:usb2="00000016" w:usb3="00000000" w:csb0="00040001" w:csb1="00000000"/>
    <w:embedRegular r:id="rId7" w:fontKey="{A73D8D45-CD45-467A-84F6-2B4E8255D9F1}"/>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QsImhkaWQiOiIwOWZmNGM5NWI3N2I3ZjBhMDgxMmUxZjg3YjY1Y2NmNSIsInVzZXJDb3VudCI6MX0="/>
  </w:docVars>
  <w:rsids>
    <w:rsidRoot w:val="00000000"/>
    <w:rsid w:val="00086151"/>
    <w:rsid w:val="00236F8C"/>
    <w:rsid w:val="00822154"/>
    <w:rsid w:val="00C65689"/>
    <w:rsid w:val="00CC2C8E"/>
    <w:rsid w:val="016646EA"/>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0FE13F84"/>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0B229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837118"/>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A611B0F"/>
    <w:rsid w:val="2A852C7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7227F0"/>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77</Words>
  <Characters>911</Characters>
  <Lines>86</Lines>
  <Paragraphs>24</Paragraphs>
  <TotalTime>5</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2025-09-24T04:28:19Z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