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天津市南开区计量检定所</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widowControl/>
        <w:spacing w:before="0" w:beforeLines="0" w:beforeAutospacing="0" w:after="0" w:afterLines="0" w:afterAutospacing="0" w:line="240" w:lineRule="auto"/>
        <w:ind w:firstLine="600" w:firstLineChars="200"/>
        <w:jc w:val="left"/>
        <w:rPr>
          <w:rFonts w:hint="default" w:ascii="Times New Roman" w:eastAsia="仿宋_GB2312"/>
          <w:sz w:val="30"/>
          <w:szCs w:val="30"/>
          <w:lang w:val="en-US" w:eastAsia="zh-CN"/>
        </w:rPr>
      </w:pPr>
      <w:r>
        <w:rPr>
          <w:rFonts w:hint="eastAsia" w:ascii="Times New Roman" w:eastAsia="仿宋_GB2312"/>
          <w:b w:val="0"/>
          <w:sz w:val="30"/>
          <w:szCs w:val="30"/>
          <w:lang w:eastAsia="zh-CN"/>
        </w:rPr>
        <w:t>天津市南开区计量检定所主要职责是为量值准确提供检测检定保障。工作计量器具强制检定，负责区域内（砝码</w:t>
      </w:r>
      <w:r>
        <w:rPr>
          <w:rFonts w:hint="eastAsia" w:ascii="Times New Roman" w:eastAsia="仿宋_GB2312"/>
          <w:b w:val="0"/>
          <w:sz w:val="30"/>
          <w:szCs w:val="30"/>
          <w:lang w:val="en-US" w:eastAsia="zh-CN"/>
        </w:rPr>
        <w:t>/天平/衡器/压力表/血压计/心电图）相关计量器具的周期检定测试。</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eastAsia="仿宋_GB2312"/>
          <w:b w:val="0"/>
          <w:sz w:val="30"/>
          <w:szCs w:val="30"/>
        </w:rPr>
        <w:t>天津市南开区计量检定所内设</w:t>
      </w:r>
      <w:r>
        <w:rPr>
          <w:rFonts w:hint="eastAsia" w:ascii="Times New Roman" w:eastAsia="仿宋_GB2312"/>
          <w:b w:val="0"/>
          <w:sz w:val="30"/>
          <w:szCs w:val="30"/>
          <w:lang w:val="en-US" w:eastAsia="zh-CN"/>
        </w:rPr>
        <w:t>2</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。纳入天津市南开区计量检定所2024年度部门决算编制范围的单位包括：</w:t>
      </w:r>
      <w:r>
        <w:rPr>
          <w:rFonts w:hint="eastAsia" w:ascii="Times New Roman" w:hAnsi="Times New Roman" w:eastAsia="仿宋_GB2312" w:cs="仿宋_GB2312"/>
          <w:sz w:val="30"/>
          <w:szCs w:val="30"/>
          <w:highlight w:val="none"/>
          <w:lang w:eastAsia="zh-CN"/>
        </w:rPr>
        <w:t>天津市南开区计量检定所</w:t>
      </w:r>
      <w:r>
        <w:rPr>
          <w:rFonts w:hint="eastAsia" w:ascii="Times New Roman" w:hAnsi="Times New Roman" w:eastAsia="仿宋_GB2312" w:cs="仿宋_GB2312"/>
          <w:sz w:val="30"/>
          <w:szCs w:val="30"/>
          <w:highlight w:val="none"/>
          <w:lang w:val="en-US" w:eastAsia="zh-CN"/>
        </w:rPr>
        <w:t>。</w:t>
      </w:r>
      <w:bookmarkStart w:id="0" w:name="_GoBack"/>
      <w:bookmarkEnd w:id="0"/>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108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868,014.15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48"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451"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49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446"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46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862" w:type="pct"/>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43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45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6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10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49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6"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6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4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399" w:type="pct"/>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49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1,012,076.16</w:t>
            </w:r>
          </w:p>
        </w:tc>
        <w:tc>
          <w:tcPr>
            <w:tcW w:w="446"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1,012,076.16</w:t>
            </w:r>
          </w:p>
        </w:tc>
        <w:tc>
          <w:tcPr>
            <w:tcW w:w="46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一般公共服务支出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868,014.15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868,014.15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市场监督管理事务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868,014.15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868,014.15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2013803</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机关服务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w:t>
            </w:r>
            <w:r>
              <w:rPr>
                <w:rFonts w:hint="eastAsia" w:asciiTheme="minorEastAsia" w:hAnsiTheme="minorEastAsia" w:cstheme="minorEastAsia"/>
                <w:b w:val="0"/>
                <w:bCs w:val="0"/>
                <w:i w:val="0"/>
                <w:iCs w:val="0"/>
                <w:color w:val="000000"/>
                <w:kern w:val="0"/>
                <w:sz w:val="15"/>
                <w:szCs w:val="15"/>
                <w:u w:val="none"/>
                <w:lang w:val="en-US" w:eastAsia="zh-CN" w:bidi="ar"/>
              </w:rPr>
              <w:t>,</w:t>
            </w: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cstheme="minorEastAsia"/>
                <w:b w:val="0"/>
                <w:bCs w:val="0"/>
                <w:i w:val="0"/>
                <w:iCs w:val="0"/>
                <w:color w:val="000000"/>
                <w:kern w:val="0"/>
                <w:sz w:val="15"/>
                <w:szCs w:val="15"/>
                <w:u w:val="none"/>
                <w:lang w:val="en-US" w:eastAsia="zh-CN" w:bidi="ar"/>
              </w:rPr>
              <w:t>22,500</w:t>
            </w: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2013850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事业运行</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846,369.15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846,369.15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101,690.64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101,690.64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101,690.64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101,690.64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67,793.76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67,793.76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33,896.88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33,896.88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42,371.37</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153"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部门（单位）：天津市南开区计量检定所 </w:t>
            </w: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2"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16" w:type="pct"/>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0"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27"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456" w:type="pct"/>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37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19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327" w:type="pct"/>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1912" w:type="pct"/>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1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5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24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219"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223"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1004" w:type="pct"/>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684"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4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23"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0"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6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1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355202</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天津市南开区计量检定所</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1,012,076.16</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56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8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990,431.16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868,014.15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846,369.15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868,014.15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846,369.15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机关服务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2013850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846,369.15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846,369.15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67,793.76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67,793.76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33,896.88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33,896.88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705"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868,014.15</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868,014.15</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101,690.64</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42,371.37</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1,012,076.16</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02"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天津市南开区计量检定所 </w:t>
            </w:r>
          </w:p>
        </w:tc>
        <w:tc>
          <w:tcPr>
            <w:tcW w:w="59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25"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9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1"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462"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93"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6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59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1,012,076.16</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990,431.16</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939,910.06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50,521.10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21,645.00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一般公共服务支出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868,014.15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846,369.15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795,848.05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50,521.10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21,645.00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市场监督管理事务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868,014.15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846,369.15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795,848.05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50,521.10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21,645.00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2013803</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机关服务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21,645.00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21,645.00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2013850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事业运行</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846,369.15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846,369.15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795,848.05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50,521.10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101,690.64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67,793.76</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67,793.76</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67,793.76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33,896.88</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33,896.88</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33,896.88</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2101102</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42,371.37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6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913,670.66</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50,521.10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220,311.00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89,012.20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3,000.00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204,270.00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67,793.76</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6,269.72</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33,896.88</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7,908.00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38,954.25</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6,902.64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227,172.00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22,357.93</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26,239.40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26,239.40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7,603.78</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20,769.60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939,910.06</w:t>
            </w:r>
          </w:p>
        </w:tc>
        <w:tc>
          <w:tcPr>
            <w:tcW w:w="2710" w:type="pct"/>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50,521.10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天津市南开区计量检定所 </w:t>
            </w:r>
          </w:p>
        </w:tc>
        <w:tc>
          <w:tcPr>
            <w:tcW w:w="5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3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4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56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376"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3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3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天津市南开区计量检定所2024年政府性基金预算财政拨款收入支出决算表为空表。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7"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天津市南开区计量检定所 </w:t>
            </w:r>
          </w:p>
        </w:tc>
        <w:tc>
          <w:tcPr>
            <w:tcW w:w="51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天津市南开区计量检定所2024年国有资本经营预算财政拨款收入支出决算表为空表。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天津市南开区计量检定所2024年财政拨款“三公”经费支出决算表为空表。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部门（单位）：天津市南开区计量检定所 </w:t>
            </w:r>
          </w:p>
        </w:tc>
        <w:tc>
          <w:tcPr>
            <w:tcW w:w="568"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3579"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22" w:type="pct"/>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77"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604"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59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6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市场监督管理事务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机关服务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2013803</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伙食费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21,645.00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天津市南开区计量检定所2024年度收入、支出决算总计1,012,076.16元。与2023年度相比，收、支总计各减少499,023.20元，下降33.024%，主要原因是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收入包括：一般公共预算财政拨款收入1,012,076.16元。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支出包括：一般公共服务支出868,014.15元、社会保障和就业支出101,690.64元、卫生健康支出42,371.37元。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天津市南开区计量检定所2024年度本年收入合计1,012,076.16元，与2023年度相比减少499,023.20元，主要原因是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一般公共预算财政拨款收入1,012,076.16元，占100.000%。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天津市南开区计量检定所2024年度本年支出合计1,012,076.16元，与2023年度相比减少499,023.20元，主要原因是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基本支出990,431.16元，占97.861%；项目支出21,645.00元，占2.139%。</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天津市南开区计量检定所2024年度财政拨款收入、支出决算总计1,012,076.16元。与2023年度相比，财政拨款收、支总计各减少499,023.20元，下降33.024%，主要原因是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收入包括：一般公共预算财政拨款1,012,076.16元。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支出包括：一般公共服务支出868,014.15元、社会保障和就业支出101,690.64元、卫生健康支出42,371.37元。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天津市南开区计量检定所2024年度部门决算一般公共预算财政拨款支出合计1,012,076.16元，占本年支出合计的100.000%。与2023年度相比，一般公共预算财政拨款支出减少499,023.20元，下降33.024%，主要原因是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2024年度一般公共预算财政拨款支出1,012,076.16元，主要用于以下方面：一般公共服务支出（类）868,014.15元，占85.766%；社会保障和就业支出（类）101,690.64元，占10.048%；卫生健康支出（类）42,371.37元，占4.187%。</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2024年度一般公共预算财政拨款支出年初预算为1,426,100.58元，支出决算为1,012,076.16元，完成年初预算的70.968%。其中：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1.​一般公共服务支出(类)市场监督管理事务(款)机关服务(项)年初预算为0.00元，支出决算为21,645.00元，决算数大于年初预算数的主要原因是：</w:t>
      </w:r>
      <w:r>
        <w:rPr>
          <w:rFonts w:hint="eastAsia" w:ascii="Times New Roman" w:eastAsia="仿宋_GB2312"/>
          <w:b w:val="0"/>
          <w:sz w:val="30"/>
          <w:szCs w:val="30"/>
          <w:lang w:eastAsia="zh-CN"/>
        </w:rPr>
        <w:t>本年度年中调整功能科目，由事业运行调整至</w:t>
      </w:r>
      <w:r>
        <w:rPr>
          <w:rFonts w:ascii="Times New Roman" w:eastAsia="仿宋_GB2312"/>
          <w:b w:val="0"/>
          <w:sz w:val="30"/>
          <w:szCs w:val="30"/>
        </w:rPr>
        <w:t>机关服务。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2.​一般公共服务支出(类)市场监督管理事务(款)事业运行(项)年初预算为1,210,660.26元，支出决算为846,369.15元，完成年初预算的69.910%，决算数小于年初预算数的主要原因是：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3.​社会保障和就业支出(类)行政事业单位养老支出(款)机关事业单位基本养老保险缴费支出(项)年初预算为101,383.68元，支出决算为67,793.76元，完成年初预算的66.869%，决算数小于年初预算数的主要原因是：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4.​社会保障和就业支出(类)行政事业单位养老支出(款)机关事业单位职业年金缴费支出(项)年初预算为50,691.84元，支出决算为33,896.88元，完成年初预算的66.869%，决算数小于年初预算数的主要原因是：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5.​卫生健康支出(类)行政事业单位医疗(款)事业单位医疗(项)年初预算为63,364.80元，支出决算为42,371.37元，完成年初预算的66.869%，决算数小于年初预算数的主要原因是：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天津市南开区计量检定所2024年度部门决算一般公共预算财政拨款基本支出合计990,431.16元，与2023年度相比减少500,668.20元，主要原因是</w:t>
      </w:r>
      <w:r>
        <w:rPr>
          <w:rFonts w:hint="eastAsia" w:ascii="Times New Roman" w:eastAsia="仿宋_GB2312"/>
          <w:b w:val="0"/>
          <w:sz w:val="30"/>
          <w:szCs w:val="30"/>
          <w:lang w:val="en-US" w:eastAsia="zh-CN"/>
        </w:rPr>
        <w:t>2024年有干部退休，人员经费减少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人员经费939,910.06元，主要包括基本工资、津贴补贴、奖金、绩效工资、机关事业单位基本养老保险缴费、职业年金缴费、职工基本医疗保险缴费、其他社会保障缴费、住房公积金、其他工资福利支出和退休费。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公用经费50,521.10元，主要包括办公费、手续费、电费、邮电费、培训费、工会经费、福利费和其他商品和服务支出。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2024年财政拨款“三公”经费预算0.00元，支出决算0.00元，与2024年预算相比持平；支出决算较上年持平；决算数与预算数持平的主要原因是</w:t>
      </w:r>
      <w:r>
        <w:rPr>
          <w:rFonts w:hint="eastAsia" w:ascii="Times New Roman" w:eastAsia="仿宋_GB2312"/>
          <w:b w:val="0"/>
          <w:sz w:val="30"/>
          <w:szCs w:val="30"/>
        </w:rPr>
        <w:t>本年未用财政拨款列支</w:t>
      </w:r>
      <w:r>
        <w:rPr>
          <w:rFonts w:ascii="Times New Roman" w:eastAsia="仿宋_GB2312"/>
          <w:b w:val="0"/>
          <w:sz w:val="30"/>
          <w:szCs w:val="30"/>
        </w:rPr>
        <w:t>“三公”经费；决算数较上年持平的主要原因是</w:t>
      </w:r>
      <w:r>
        <w:rPr>
          <w:rFonts w:hint="eastAsia" w:ascii="Times New Roman" w:eastAsia="仿宋_GB2312"/>
          <w:b w:val="0"/>
          <w:sz w:val="30"/>
          <w:szCs w:val="30"/>
        </w:rPr>
        <w:t>本年未用财政拨款列支</w:t>
      </w:r>
      <w:r>
        <w:rPr>
          <w:rFonts w:ascii="Times New Roman" w:eastAsia="仿宋_GB2312"/>
          <w:b w:val="0"/>
          <w:sz w:val="30"/>
          <w:szCs w:val="30"/>
        </w:rPr>
        <w:t>“三公”经费。</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eastAsia="仿宋_GB2312"/>
          <w:b w:val="0"/>
          <w:sz w:val="30"/>
          <w:szCs w:val="30"/>
        </w:rPr>
        <w:t>本年未用财政拨款列支因公出国（境）费</w:t>
      </w:r>
      <w:r>
        <w:rPr>
          <w:rFonts w:ascii="Times New Roman" w:eastAsia="仿宋_GB2312"/>
          <w:b w:val="0"/>
          <w:sz w:val="30"/>
          <w:szCs w:val="30"/>
        </w:rPr>
        <w:t>；决算数较上年持平的主要原因是</w:t>
      </w:r>
      <w:r>
        <w:rPr>
          <w:rFonts w:hint="eastAsia" w:ascii="Times New Roman" w:eastAsia="仿宋_GB2312"/>
          <w:b w:val="0"/>
          <w:sz w:val="30"/>
          <w:szCs w:val="30"/>
        </w:rPr>
        <w:t>本年未用财政拨款列支因公出国（境）费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公务用车购置及运行维护费；决算数较上年持平的主要原因是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公务用车购置及运行维护费。其中：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公务用车运行维护费；决算数较上年持平的主要原因是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公务用车运行维护费。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公务用车购置费；决算数较上年持平的主要原因是</w:t>
      </w:r>
      <w:r>
        <w:rPr>
          <w:rFonts w:hint="eastAsia" w:ascii="Times New Roman" w:eastAsia="仿宋_GB2312"/>
          <w:b w:val="0"/>
          <w:sz w:val="30"/>
          <w:szCs w:val="30"/>
        </w:rPr>
        <w:t>本年</w:t>
      </w:r>
      <w:r>
        <w:rPr>
          <w:rFonts w:hint="eastAsia" w:ascii="Times New Roman" w:eastAsia="仿宋_GB2312"/>
          <w:b w:val="0"/>
          <w:sz w:val="30"/>
          <w:szCs w:val="30"/>
          <w:lang w:eastAsia="zh-CN"/>
        </w:rPr>
        <w:t>未</w:t>
      </w:r>
      <w:r>
        <w:rPr>
          <w:rFonts w:hint="eastAsia" w:ascii="Times New Roman" w:eastAsia="仿宋_GB2312"/>
          <w:b w:val="0"/>
          <w:sz w:val="30"/>
          <w:szCs w:val="30"/>
        </w:rPr>
        <w:t>用财政拨款列支</w:t>
      </w:r>
      <w:r>
        <w:rPr>
          <w:rFonts w:ascii="Times New Roman" w:eastAsia="仿宋_GB2312"/>
          <w:b w:val="0"/>
          <w:sz w:val="30"/>
          <w:szCs w:val="30"/>
        </w:rPr>
        <w:t>公务用车购置费。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本年未用财政拨款列支公务接待费</w:t>
      </w:r>
      <w:r>
        <w:rPr>
          <w:rFonts w:ascii="Times New Roman" w:eastAsia="仿宋_GB2312"/>
          <w:b w:val="0"/>
          <w:sz w:val="30"/>
          <w:szCs w:val="30"/>
        </w:rPr>
        <w:t>；决算数较上年持平的主要原因是</w:t>
      </w:r>
      <w:r>
        <w:rPr>
          <w:rFonts w:hint="eastAsia" w:ascii="Times New Roman" w:hAnsi="Times New Roman" w:eastAsia="仿宋_GB2312" w:cs="仿宋_GB2312"/>
          <w:kern w:val="0"/>
          <w:sz w:val="30"/>
          <w:szCs w:val="30"/>
          <w:highlight w:val="none"/>
          <w:lang w:val="en-US" w:eastAsia="zh-CN" w:bidi="ar-SA"/>
        </w:rPr>
        <w:t>本年未用财政拨款列支公务接待费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天津市南开区计量检定所2024年度无机关运行经费。</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天津市南开区计量检定所2024年度无政府采购支出。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天津市南开区计量检定所2024年度无国有资产占有使用情况。</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根据预算绩效管理要求，天津市南开区计量检定所已对</w:t>
      </w:r>
      <w:r>
        <w:rPr>
          <w:rFonts w:hint="eastAsia" w:ascii="Times New Roman" w:eastAsia="仿宋_GB2312"/>
          <w:b w:val="0"/>
          <w:sz w:val="30"/>
          <w:szCs w:val="30"/>
          <w:lang w:val="en-US" w:eastAsia="zh-CN"/>
        </w:rPr>
        <w:t>1</w:t>
      </w:r>
      <w:r>
        <w:rPr>
          <w:rFonts w:ascii="Times New Roman" w:eastAsia="仿宋_GB2312"/>
          <w:b w:val="0"/>
          <w:sz w:val="30"/>
          <w:szCs w:val="30"/>
        </w:rPr>
        <w:t>个2024年度项目开展绩效自评，涉及金额</w:t>
      </w:r>
      <w:r>
        <w:rPr>
          <w:rFonts w:hint="eastAsia" w:ascii="Times New Roman" w:eastAsia="仿宋_GB2312"/>
          <w:b w:val="0"/>
          <w:sz w:val="30"/>
          <w:szCs w:val="30"/>
          <w:lang w:val="en-US" w:eastAsia="zh-CN"/>
        </w:rPr>
        <w:t>22</w:t>
      </w:r>
      <w:r>
        <w:rPr>
          <w:rFonts w:ascii="Times New Roman" w:eastAsia="仿宋_GB2312"/>
          <w:b w:val="0"/>
          <w:sz w:val="30"/>
          <w:szCs w:val="30"/>
        </w:rPr>
        <w:t>,</w:t>
      </w:r>
      <w:r>
        <w:rPr>
          <w:rFonts w:hint="eastAsia" w:ascii="Times New Roman" w:eastAsia="仿宋_GB2312"/>
          <w:b w:val="0"/>
          <w:sz w:val="30"/>
          <w:szCs w:val="30"/>
          <w:lang w:val="en-US" w:eastAsia="zh-CN"/>
        </w:rPr>
        <w:t>500.00</w:t>
      </w:r>
      <w:r>
        <w:rPr>
          <w:rFonts w:ascii="Times New Roman" w:eastAsia="仿宋_GB2312"/>
          <w:b w:val="0"/>
          <w:sz w:val="30"/>
          <w:szCs w:val="30"/>
        </w:rPr>
        <w:t>元，自评结果已随部门决算一并公开。</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w:t>
      </w:r>
      <w:r>
        <w:rPr>
          <w:rFonts w:hint="eastAsia" w:ascii="Times New Roman" w:eastAsia="仿宋_GB2312"/>
          <w:b w:val="0"/>
          <w:sz w:val="30"/>
          <w:szCs w:val="30"/>
          <w:lang w:eastAsia="zh-CN"/>
        </w:rPr>
        <w:t>南开区计量检定所</w:t>
      </w:r>
      <w:r>
        <w:rPr>
          <w:rFonts w:ascii="Times New Roman" w:eastAsia="仿宋_GB2312"/>
          <w:b w:val="0"/>
          <w:sz w:val="30"/>
          <w:szCs w:val="30"/>
        </w:rPr>
        <w:t>不属于乡、镇、街级单位，不涉及公开2024年度教育、医疗卫生、社会保障和就业、住房保障、涉农补贴等民生支出情况。</w:t>
      </w: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A76FEBF-4FDC-46D0-AABF-7477B05A104E}"/>
  </w:font>
  <w:font w:name="黑体">
    <w:panose1 w:val="02010609060101010101"/>
    <w:charset w:val="86"/>
    <w:family w:val="auto"/>
    <w:pitch w:val="default"/>
    <w:sig w:usb0="800002BF" w:usb1="38CF7CFA" w:usb2="00000016" w:usb3="00000000" w:csb0="00040001" w:csb1="00000000"/>
    <w:embedRegular r:id="rId2" w:fontKey="{F61333C2-9F36-4C9C-AB4D-525F2E12642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B9B66D81-55B8-4AE4-A040-90477A38D556}"/>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Fz_S_BiaoSong_Jt">
    <w:altName w:val="Segoe Print"/>
    <w:panose1 w:val="00000000000000000000"/>
    <w:charset w:val="00"/>
    <w:family w:val="auto"/>
    <w:pitch w:val="default"/>
    <w:sig w:usb0="00000000" w:usb1="00000000" w:usb2="00000000" w:usb3="00000000" w:csb0="00000000" w:csb1="00000000"/>
    <w:embedRegular r:id="rId4" w:fontKey="{B60553AB-AAC8-4655-8F37-278E04269E3E}"/>
  </w:font>
  <w:font w:name="仿宋_GB2312">
    <w:panose1 w:val="02010609030101010101"/>
    <w:charset w:val="86"/>
    <w:family w:val="auto"/>
    <w:pitch w:val="default"/>
    <w:sig w:usb0="00000001" w:usb1="080E0000" w:usb2="00000000" w:usb3="00000000" w:csb0="00040000" w:csb1="00000000"/>
    <w:embedRegular r:id="rId5" w:fontKey="{1CBFB4BB-89D4-4F82-8F00-0E7ED1AEF2FF}"/>
  </w:font>
  <w:font w:name="宋体-简">
    <w:altName w:val="宋体"/>
    <w:panose1 w:val="02010800040101010101"/>
    <w:charset w:val="86"/>
    <w:family w:val="auto"/>
    <w:pitch w:val="default"/>
    <w:sig w:usb0="00000000" w:usb1="00000000" w:usb2="00000000" w:usb3="00000000" w:csb0="00040000" w:csb1="00000000"/>
    <w:embedRegular r:id="rId6" w:fontKey="{72FCBFFE-536B-47F2-B5F2-9124AFF217D1}"/>
  </w:font>
  <w:font w:name="楷体">
    <w:panose1 w:val="02010609060101010101"/>
    <w:charset w:val="86"/>
    <w:family w:val="auto"/>
    <w:pitch w:val="default"/>
    <w:sig w:usb0="800002BF" w:usb1="38CF7CFA" w:usb2="00000016" w:usb3="00000000" w:csb0="00040001" w:csb1="00000000"/>
    <w:embedRegular r:id="rId7" w:fontKey="{5F9856BB-FF6D-48C2-BCD0-7BF19DCA66F3}"/>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UsImhkaWQiOiIwOWZmNGM5NWI3N2I3ZjBhMDgxMmUxZjg3YjY1Y2NmNSIsInVzZXJDb3VudCI6MX0="/>
  </w:docVars>
  <w:rsids>
    <w:rsidRoot w:val="00000000"/>
    <w:rsid w:val="00086151"/>
    <w:rsid w:val="00236F8C"/>
    <w:rsid w:val="00822154"/>
    <w:rsid w:val="00C65689"/>
    <w:rsid w:val="00CC2C8E"/>
    <w:rsid w:val="016646EA"/>
    <w:rsid w:val="01A03C5A"/>
    <w:rsid w:val="01A5267D"/>
    <w:rsid w:val="01AF6A8D"/>
    <w:rsid w:val="01C04E49"/>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8E5F0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8B3B0E"/>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4D238D"/>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8DE1813"/>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246BBC"/>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30</Pages>
  <Words>77</Words>
  <Characters>911</Characters>
  <Lines>86</Lines>
  <Paragraphs>24</Paragraphs>
  <TotalTime>3</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2025-09-24T04:31:44Z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