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51DC8">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bookmarkStart w:id="13" w:name="_GoBack"/>
      <w:r>
        <w:rPr>
          <w:rFonts w:hint="default" w:ascii="方正小标宋简体" w:hAnsi="方正小标宋简体" w:eastAsia="方正小标宋简体" w:cs="方正小标宋简体"/>
          <w:color w:val="auto"/>
          <w:sz w:val="44"/>
        </w:rPr>
        <w:t>天津市南开区市场监督管理局</w:t>
      </w:r>
      <w:bookmarkEnd w:id="0"/>
    </w:p>
    <w:p w14:paraId="08871432">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auto"/>
          <w:sz w:val="44"/>
          <w:szCs w:val="44"/>
          <w:lang w:val="en-US"/>
        </w:rPr>
        <w:t>行政处罚</w:t>
      </w:r>
      <w:r>
        <w:rPr>
          <w:rFonts w:hint="eastAsia" w:hAnsi="方正小标宋简体" w:eastAsia="方正小标宋简体" w:cs="方正小标宋简体"/>
          <w:color w:val="auto"/>
          <w:sz w:val="44"/>
          <w:szCs w:val="44"/>
          <w:lang w:val="en-US" w:eastAsia="zh-Hans"/>
        </w:rPr>
        <w:t>决定</w:t>
      </w:r>
      <w:r>
        <w:rPr>
          <w:rFonts w:hint="eastAsia" w:hAnsi="方正小标宋简体" w:eastAsia="方正小标宋简体" w:cs="方正小标宋简体"/>
          <w:color w:val="auto"/>
          <w:sz w:val="44"/>
          <w:szCs w:val="44"/>
          <w:lang w:val="en-US"/>
        </w:rPr>
        <w:t>书</w:t>
      </w:r>
      <w:bookmarkEnd w:id="1"/>
    </w:p>
    <w:p w14:paraId="3169D744">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rPr>
        <w:t>津南开市监处罚〔2025〕24号</w:t>
      </w:r>
      <w:bookmarkEnd w:id="2"/>
    </w:p>
    <w:p w14:paraId="77586471">
      <w:pPr>
        <w:keepNext w:val="0"/>
        <w:keepLines w:val="0"/>
        <w:pageBreakBefore w:val="0"/>
        <w:kinsoku/>
        <w:overflowPunct/>
        <w:topLinePunct w:val="0"/>
        <w:bidi w:val="0"/>
        <w:spacing w:before="315" w:beforeLines="100" w:line="360" w:lineRule="auto"/>
        <w:ind w:left="142" w:hanging="142"/>
        <w:jc w:val="both"/>
        <w:textAlignment w:val="auto"/>
        <w:rPr>
          <w:rFonts w:hint="eastAsia" w:ascii="仿宋_GB2312" w:hAnsi="仿宋_GB2312" w:eastAsia="仿宋_GB2312" w:cs="仿宋_GB2312"/>
          <w:b w:val="0"/>
          <w:bCs/>
          <w:color w:val="auto"/>
          <w:sz w:val="28"/>
          <w:szCs w:val="28"/>
          <w:u w:val="none" w:color="auto"/>
          <w:lang w:val="en-US" w:eastAsia="zh-CN"/>
        </w:rPr>
      </w:pPr>
      <w:r>
        <w:rPr>
          <w:rFonts w:hint="eastAsia" w:ascii="仿宋_GB2312" w:hAnsi="仿宋_GB2312" w:eastAsia="仿宋_GB2312" w:cs="仿宋_GB2312"/>
          <w:b w:val="0"/>
          <w:bCs/>
          <w:color w:val="auto"/>
          <w:kern w:val="1"/>
          <w:sz w:val="28"/>
          <w:szCs w:val="28"/>
          <w:u w:val="none" w:color="auto"/>
        </w:rPr>
        <w:t>当事人：</w:t>
      </w:r>
      <w:bookmarkStart w:id="3" w:name="CALCULATE—DSR—tAjDsrs_cMc"/>
      <w:r>
        <w:rPr>
          <w:rFonts w:hint="eastAsia" w:ascii="仿宋_GB2312" w:hAnsi="仿宋_GB2312" w:eastAsia="仿宋_GB2312" w:cs="仿宋_GB2312"/>
          <w:b w:val="0"/>
          <w:color w:val="auto"/>
          <w:sz w:val="28"/>
          <w:szCs w:val="28"/>
          <w:u w:val="none" w:color="auto"/>
        </w:rPr>
        <w:t>周惠艳</w:t>
      </w:r>
      <w:bookmarkEnd w:id="3"/>
      <w:r>
        <w:rPr>
          <w:rFonts w:hint="eastAsia" w:ascii="仿宋_GB2312" w:hAnsi="仿宋_GB2312" w:eastAsia="仿宋_GB2312" w:cs="仿宋_GB2312"/>
          <w:b w:val="0"/>
          <w:bCs/>
          <w:color w:val="auto"/>
          <w:kern w:val="1"/>
          <w:sz w:val="28"/>
          <w:szCs w:val="28"/>
          <w:u w:val="none" w:color="auto"/>
        </w:rPr>
        <w:t xml:space="preserve">                                            </w:t>
      </w:r>
    </w:p>
    <w:p w14:paraId="152B66AE">
      <w:pPr>
        <w:keepNext w:val="0"/>
        <w:keepLines w:val="0"/>
        <w:pageBreakBefore w:val="0"/>
        <w:kinsoku/>
        <w:overflowPunct/>
        <w:topLinePunct w:val="0"/>
        <w:bidi w:val="0"/>
        <w:spacing w:line="360" w:lineRule="auto"/>
        <w:ind w:left="140" w:hanging="140"/>
        <w:jc w:val="both"/>
        <w:textAlignment w:val="auto"/>
        <w:rPr>
          <w:rFonts w:hint="eastAsia" w:ascii="仿宋_GB2312" w:hAnsi="仿宋_GB2312" w:eastAsia="仿宋_GB2312" w:cs="仿宋_GB2312"/>
          <w:b w:val="0"/>
          <w:bCs/>
          <w:color w:val="auto"/>
          <w:kern w:val="1"/>
          <w:sz w:val="28"/>
          <w:szCs w:val="28"/>
          <w:u w:val="none" w:color="auto"/>
          <w:lang w:val="en-US" w:eastAsia="zh-CN"/>
        </w:rPr>
      </w:pPr>
      <w:r>
        <w:rPr>
          <w:rFonts w:hint="eastAsia" w:ascii="仿宋_GB2312" w:hAnsi="仿宋_GB2312" w:eastAsia="仿宋_GB2312" w:cs="仿宋_GB2312"/>
          <w:b w:val="0"/>
          <w:bCs/>
          <w:color w:val="auto"/>
          <w:kern w:val="1"/>
          <w:sz w:val="28"/>
          <w:szCs w:val="28"/>
          <w:u w:val="none" w:color="auto"/>
          <w:lang w:eastAsia="zh-CN"/>
        </w:rPr>
        <w:t>身份证</w:t>
      </w:r>
      <w:r>
        <w:rPr>
          <w:rFonts w:hint="eastAsia" w:ascii="仿宋_GB2312" w:hAnsi="仿宋_GB2312" w:eastAsia="仿宋_GB2312" w:cs="仿宋_GB2312"/>
          <w:b w:val="0"/>
          <w:bCs/>
          <w:color w:val="auto"/>
          <w:kern w:val="1"/>
          <w:sz w:val="28"/>
          <w:szCs w:val="28"/>
          <w:u w:val="none" w:color="auto"/>
        </w:rPr>
        <w:t>住址：</w:t>
      </w:r>
      <w:bookmarkStart w:id="4" w:name="CALCULATE—DSR—tAjDsrs_cLxdzSheng"/>
      <w:r>
        <w:rPr>
          <w:rFonts w:hint="eastAsia" w:ascii="仿宋_GB2312" w:hAnsi="仿宋_GB2312" w:eastAsia="仿宋_GB2312" w:cs="仿宋_GB2312"/>
          <w:b w:val="0"/>
          <w:color w:val="auto"/>
          <w:sz w:val="28"/>
          <w:szCs w:val="28"/>
          <w:u w:val="none" w:color="auto"/>
        </w:rPr>
        <w:t>天津市天津市河北区张兴庄大道圣贤里2号楼9门610号</w:t>
      </w:r>
      <w:bookmarkEnd w:id="4"/>
      <w:r>
        <w:rPr>
          <w:rFonts w:hint="eastAsia" w:ascii="仿宋_GB2312" w:hAnsi="仿宋_GB2312" w:eastAsia="仿宋_GB2312" w:cs="仿宋_GB2312"/>
          <w:b w:val="0"/>
          <w:bCs/>
          <w:color w:val="auto"/>
          <w:kern w:val="1"/>
          <w:sz w:val="28"/>
          <w:szCs w:val="28"/>
          <w:u w:val="none" w:color="auto"/>
        </w:rPr>
        <w:t xml:space="preserve">                                      </w:t>
      </w:r>
      <w:r>
        <w:rPr>
          <w:rFonts w:hint="eastAsia" w:ascii="仿宋_GB2312" w:hAnsi="仿宋_GB2312" w:eastAsia="仿宋_GB2312" w:cs="仿宋_GB2312"/>
          <w:b w:val="0"/>
          <w:bCs/>
          <w:color w:val="auto"/>
          <w:kern w:val="1"/>
          <w:sz w:val="28"/>
          <w:szCs w:val="28"/>
          <w:u w:val="none" w:color="auto"/>
          <w:lang w:val="en-US" w:eastAsia="zh-CN"/>
        </w:rPr>
        <w:t xml:space="preserve"> </w:t>
      </w:r>
    </w:p>
    <w:p w14:paraId="0D5E0B09">
      <w:pPr>
        <w:keepNext w:val="0"/>
        <w:keepLines w:val="0"/>
        <w:pageBreakBefore w:val="0"/>
        <w:kinsoku/>
        <w:overflowPunct/>
        <w:topLinePunct w:val="0"/>
        <w:bidi w:val="0"/>
        <w:spacing w:line="360" w:lineRule="auto"/>
        <w:ind w:left="140" w:hanging="140"/>
        <w:jc w:val="both"/>
        <w:textAlignment w:val="auto"/>
        <w:rPr>
          <w:rFonts w:hint="eastAsia" w:ascii="仿宋_GB2312" w:hAnsi="仿宋_GB2312" w:eastAsia="仿宋_GB2312" w:cs="仿宋_GB2312"/>
          <w:b w:val="0"/>
          <w:bCs/>
          <w:color w:val="auto"/>
          <w:sz w:val="28"/>
          <w:szCs w:val="28"/>
          <w:u w:val="none" w:color="auto"/>
        </w:rPr>
      </w:pPr>
      <w:r>
        <w:rPr>
          <w:rFonts w:hint="eastAsia" w:ascii="仿宋_GB2312" w:hAnsi="仿宋_GB2312" w:eastAsia="仿宋_GB2312" w:cs="仿宋_GB2312"/>
          <w:b w:val="0"/>
          <w:bCs/>
          <w:color w:val="auto"/>
          <w:kern w:val="1"/>
          <w:sz w:val="28"/>
          <w:szCs w:val="28"/>
          <w:u w:val="none" w:color="auto"/>
        </w:rPr>
        <w:t>身份证件号码：</w:t>
      </w:r>
      <w:bookmarkStart w:id="5" w:name="CALCULATE—DSR—tAjDsrs_cZjhm"/>
      <w:r>
        <w:rPr>
          <w:rFonts w:hint="eastAsia" w:ascii="仿宋_GB2312" w:hAnsi="仿宋_GB2312" w:eastAsia="仿宋_GB2312" w:cs="仿宋_GB2312"/>
          <w:b w:val="0"/>
          <w:color w:val="auto"/>
          <w:sz w:val="28"/>
          <w:szCs w:val="28"/>
          <w:u w:val="none" w:color="auto"/>
        </w:rPr>
        <w:t>120106197010243544</w:t>
      </w:r>
      <w:bookmarkEnd w:id="5"/>
      <w:r>
        <w:rPr>
          <w:rFonts w:hint="eastAsia" w:ascii="仿宋_GB2312" w:hAnsi="仿宋_GB2312" w:eastAsia="仿宋_GB2312" w:cs="仿宋_GB2312"/>
          <w:b w:val="0"/>
          <w:bCs/>
          <w:color w:val="auto"/>
          <w:kern w:val="1"/>
          <w:sz w:val="28"/>
          <w:szCs w:val="28"/>
          <w:u w:val="none" w:color="auto"/>
        </w:rPr>
        <w:t xml:space="preserve">                                      </w:t>
      </w:r>
    </w:p>
    <w:p w14:paraId="7CFC3CF8">
      <w:pPr>
        <w:pStyle w:val="3"/>
        <w:keepNext w:val="0"/>
        <w:keepLines w:val="0"/>
        <w:pageBreakBefore w:val="0"/>
        <w:tabs>
          <w:tab w:val="left" w:pos="8240"/>
        </w:tabs>
        <w:kinsoku/>
        <w:overflowPunct/>
        <w:topLinePunct w:val="0"/>
        <w:bidi w:val="0"/>
        <w:spacing w:line="360" w:lineRule="auto"/>
        <w:ind w:firstLine="560" w:firstLineChars="200"/>
        <w:jc w:val="both"/>
        <w:textAlignment w:val="auto"/>
        <w:rPr>
          <w:rFonts w:hint="eastAsia" w:ascii="仿宋_GB2312" w:hAnsi="仿宋_GB2312" w:eastAsia="仿宋_GB2312" w:cs="仿宋_GB2312"/>
          <w:b w:val="0"/>
          <w:bCs/>
          <w:color w:val="auto"/>
          <w:kern w:val="1"/>
          <w:sz w:val="28"/>
          <w:szCs w:val="28"/>
          <w:u w:val="none" w:color="auto"/>
          <w:lang w:val="en-US" w:eastAsia="zh-CN"/>
        </w:rPr>
      </w:pPr>
      <w:r>
        <w:rPr>
          <w:rFonts w:hint="eastAsia" w:ascii="仿宋_GB2312" w:hAnsi="仿宋_GB2312" w:eastAsia="仿宋_GB2312" w:cs="仿宋_GB2312"/>
          <w:bCs/>
          <w:sz w:val="28"/>
          <w:szCs w:val="28"/>
          <w:u w:val="none" w:color="auto"/>
        </w:rPr>
        <w:t>2025年3月5日，我局接群众举报，反映南开区檀府小区21号楼2门私自开设托管班，没有营业执照，要求核查。</w:t>
      </w:r>
      <w:r>
        <w:rPr>
          <w:rFonts w:hint="eastAsia" w:ascii="仿宋_GB2312" w:hAnsi="仿宋_GB2312" w:eastAsia="仿宋_GB2312" w:cs="仿宋_GB2312"/>
          <w:b w:val="0"/>
          <w:bCs/>
          <w:color w:val="auto"/>
          <w:kern w:val="1"/>
          <w:sz w:val="28"/>
          <w:szCs w:val="28"/>
          <w:u w:val="none" w:color="auto"/>
        </w:rPr>
        <w:t>经查，</w:t>
      </w:r>
      <w:bookmarkStart w:id="6" w:name="CALCULATE—AJCF—tAjCfes_cAjss"/>
      <w:r>
        <w:rPr>
          <w:rFonts w:hint="eastAsia" w:ascii="仿宋_GB2312" w:hAnsi="仿宋_GB2312" w:eastAsia="仿宋_GB2312" w:cs="仿宋_GB2312"/>
          <w:b w:val="0"/>
          <w:color w:val="auto"/>
          <w:sz w:val="28"/>
          <w:szCs w:val="28"/>
          <w:u w:val="none" w:color="auto"/>
        </w:rPr>
        <w:t>经现场检查，被举报地址天津市南开区城厢嘉园21号楼2门处为一座三层小楼。一楼有公共活动空间，厨房，一间教室，教室内有孩子正在用餐，被委托人杨勇现场表示孩子食用的餐食是在一楼厨房制作的。二楼有两间教室，三楼有两间教室，二楼和三楼的教室内没有人。现场检查发现，一楼的厨房有制作餐食使用的工具，执法人员对上述情况已拍照取证且对上述工具依法扣押。</w:t>
      </w:r>
      <w:r>
        <w:rPr>
          <w:rFonts w:hint="eastAsia" w:ascii="仿宋_GB2312" w:hAnsi="仿宋_GB2312" w:eastAsia="仿宋_GB2312" w:cs="仿宋_GB2312"/>
          <w:b w:val="0"/>
          <w:color w:val="auto"/>
          <w:sz w:val="28"/>
          <w:szCs w:val="28"/>
          <w:u w:val="none" w:color="auto"/>
        </w:rPr>
        <w:br w:type="textWrapping"/>
      </w:r>
      <w:r>
        <w:rPr>
          <w:rFonts w:hint="eastAsia" w:ascii="仿宋_GB2312" w:hAnsi="仿宋_GB2312" w:eastAsia="仿宋_GB2312" w:cs="仿宋_GB2312"/>
          <w:b w:val="0"/>
          <w:color w:val="auto"/>
          <w:sz w:val="28"/>
          <w:szCs w:val="28"/>
          <w:u w:val="none" w:color="auto"/>
          <w:lang w:val="en-US" w:eastAsia="zh-CN"/>
        </w:rPr>
        <w:t xml:space="preserve">    </w:t>
      </w:r>
      <w:r>
        <w:rPr>
          <w:rFonts w:hint="eastAsia" w:ascii="仿宋_GB2312" w:hAnsi="仿宋_GB2312" w:eastAsia="仿宋_GB2312" w:cs="仿宋_GB2312"/>
          <w:b w:val="0"/>
          <w:color w:val="auto"/>
          <w:sz w:val="28"/>
          <w:szCs w:val="28"/>
          <w:u w:val="none" w:color="auto"/>
        </w:rPr>
        <w:t>经核查，周惠艳在上述地址经营托管班且为学生提供餐食。周惠艳不能提供《营业执照》和《食品经营许可证》。当事人提供了周惠艳与房东签订的上述地址的《租赁合同》，签订日期为2024年4月1日，租赁期1年。当事人提供了2024年5至2025年3月以来的托管学生花名册、考勤表及托管费的缴费凭据，共计缴费14634元。当事人提供了用于经营活动的支出，包括2024年4月至2025年3月的电费6470.04元2025年3月燃气费286元，共计6756.04元。当事人未取得《营业执照》提供托管服务的行为满足未经登记从事经营活动的构成要件，违法所得7877.96（14634-6756.04）元。当事人于2025年4月2日已办理营业执照。</w:t>
      </w:r>
      <w:r>
        <w:rPr>
          <w:rFonts w:hint="eastAsia" w:ascii="仿宋_GB2312" w:hAnsi="仿宋_GB2312" w:eastAsia="仿宋_GB2312" w:cs="仿宋_GB2312"/>
          <w:b w:val="0"/>
          <w:color w:val="auto"/>
          <w:sz w:val="28"/>
          <w:szCs w:val="28"/>
          <w:u w:val="none" w:color="auto"/>
        </w:rPr>
        <w:br w:type="textWrapping"/>
      </w:r>
      <w:r>
        <w:rPr>
          <w:rFonts w:hint="eastAsia" w:ascii="仿宋_GB2312" w:hAnsi="仿宋_GB2312" w:eastAsia="仿宋_GB2312" w:cs="仿宋_GB2312"/>
          <w:b w:val="0"/>
          <w:color w:val="auto"/>
          <w:sz w:val="28"/>
          <w:szCs w:val="28"/>
          <w:u w:val="none" w:color="auto"/>
          <w:lang w:val="en-US" w:eastAsia="zh-CN"/>
        </w:rPr>
        <w:t xml:space="preserve">    </w:t>
      </w:r>
      <w:r>
        <w:rPr>
          <w:rFonts w:hint="eastAsia" w:ascii="仿宋_GB2312" w:hAnsi="仿宋_GB2312" w:eastAsia="仿宋_GB2312" w:cs="仿宋_GB2312"/>
          <w:b w:val="0"/>
          <w:color w:val="auto"/>
          <w:sz w:val="28"/>
          <w:szCs w:val="28"/>
          <w:u w:val="none" w:color="auto"/>
        </w:rPr>
        <w:t>经核实，当事人提供餐食未收取费用，不能提供制作餐食使用的调料、蔬菜等原材料的进货票据、供货商资质、检测报告。当事人在没有取得《食品经营许可证》的情况下，为孩子提供餐食的行为满足未取得许可从事餐饮服务的构成要件。货值金额及违法所得无法计算。另查，当事人采购食品时未查验供货者的许可证和食品出厂检验合格证或者其他合格证明，未履行进货查验义务。</w:t>
      </w:r>
      <w:bookmarkEnd w:id="6"/>
      <w:r>
        <w:rPr>
          <w:rFonts w:hint="eastAsia" w:ascii="仿宋_GB2312" w:hAnsi="仿宋_GB2312" w:eastAsia="仿宋_GB2312" w:cs="仿宋_GB2312"/>
          <w:b w:val="0"/>
          <w:bCs/>
          <w:color w:val="auto"/>
          <w:kern w:val="1"/>
          <w:sz w:val="28"/>
          <w:szCs w:val="28"/>
          <w:u w:val="none" w:color="auto"/>
          <w:lang w:val="en-US" w:eastAsia="zh-CN"/>
        </w:rPr>
        <w:t xml:space="preserve"> </w:t>
      </w:r>
    </w:p>
    <w:p w14:paraId="1A977F77">
      <w:pPr>
        <w:pStyle w:val="3"/>
        <w:keepNext w:val="0"/>
        <w:keepLines w:val="0"/>
        <w:pageBreakBefore w:val="0"/>
        <w:tabs>
          <w:tab w:val="left" w:pos="8285"/>
        </w:tabs>
        <w:kinsoku/>
        <w:overflowPunct/>
        <w:topLinePunct w:val="0"/>
        <w:bidi w:val="0"/>
        <w:spacing w:line="360" w:lineRule="auto"/>
        <w:ind w:firstLine="560" w:firstLineChars="200"/>
        <w:jc w:val="both"/>
        <w:textAlignment w:val="auto"/>
        <w:rPr>
          <w:rFonts w:hint="eastAsia" w:ascii="仿宋_GB2312" w:hAnsi="仿宋_GB2312" w:eastAsia="仿宋_GB2312" w:cs="仿宋_GB2312"/>
          <w:b w:val="0"/>
          <w:bCs/>
          <w:color w:val="auto"/>
          <w:sz w:val="28"/>
          <w:szCs w:val="28"/>
          <w:u w:val="none" w:color="auto"/>
          <w:lang w:val="en-US"/>
        </w:rPr>
      </w:pPr>
      <w:r>
        <w:rPr>
          <w:rFonts w:hint="eastAsia" w:ascii="仿宋_GB2312" w:hAnsi="仿宋_GB2312" w:eastAsia="仿宋_GB2312" w:cs="仿宋_GB2312"/>
          <w:b w:val="0"/>
          <w:bCs/>
          <w:color w:val="auto"/>
          <w:kern w:val="1"/>
          <w:sz w:val="28"/>
          <w:szCs w:val="28"/>
          <w:u w:val="none" w:color="auto"/>
        </w:rPr>
        <w:t>上述事实，主要有以下证据证明：</w:t>
      </w:r>
    </w:p>
    <w:p w14:paraId="0DC75156">
      <w:pPr>
        <w:pStyle w:val="3"/>
        <w:keepNext w:val="0"/>
        <w:keepLines w:val="0"/>
        <w:pageBreakBefore w:val="0"/>
        <w:tabs>
          <w:tab w:val="left" w:pos="9060"/>
        </w:tabs>
        <w:kinsoku/>
        <w:overflowPunct/>
        <w:topLinePunct w:val="0"/>
        <w:bidi w:val="0"/>
        <w:spacing w:line="360" w:lineRule="auto"/>
        <w:jc w:val="both"/>
        <w:textAlignment w:val="auto"/>
        <w:rPr>
          <w:rFonts w:hint="eastAsia" w:ascii="仿宋_GB2312" w:hAnsi="仿宋_GB2312" w:eastAsia="仿宋_GB2312" w:cs="仿宋_GB2312"/>
          <w:b w:val="0"/>
          <w:bCs/>
          <w:color w:val="auto"/>
          <w:sz w:val="28"/>
          <w:szCs w:val="28"/>
          <w:u w:val="none" w:color="auto"/>
          <w:lang w:val="en-US" w:eastAsia="zh-CN"/>
        </w:rPr>
      </w:pPr>
      <w:bookmarkStart w:id="7" w:name="CALCULATE—ZJCL—tajCltjes_zjclxx"/>
      <w:r>
        <w:rPr>
          <w:rFonts w:hint="eastAsia" w:ascii="仿宋_GB2312" w:hAnsi="仿宋_GB2312" w:eastAsia="仿宋_GB2312" w:cs="仿宋_GB2312"/>
          <w:b w:val="0"/>
          <w:color w:val="auto"/>
          <w:sz w:val="28"/>
          <w:szCs w:val="28"/>
          <w:u w:val="none" w:color="auto"/>
        </w:rPr>
        <w:t>　　1.现场笔录一份及现场照片，证明对当事人现场取证情况。</w:t>
      </w:r>
      <w:r>
        <w:rPr>
          <w:rFonts w:hint="eastAsia" w:ascii="仿宋_GB2312" w:hAnsi="仿宋_GB2312" w:eastAsia="仿宋_GB2312" w:cs="仿宋_GB2312"/>
          <w:b w:val="0"/>
          <w:color w:val="auto"/>
          <w:sz w:val="28"/>
          <w:szCs w:val="28"/>
          <w:u w:val="none" w:color="auto"/>
        </w:rPr>
        <w:br w:type="textWrapping"/>
      </w:r>
      <w:r>
        <w:rPr>
          <w:rFonts w:hint="eastAsia" w:ascii="仿宋_GB2312" w:hAnsi="仿宋_GB2312" w:eastAsia="仿宋_GB2312" w:cs="仿宋_GB2312"/>
          <w:b w:val="0"/>
          <w:color w:val="auto"/>
          <w:sz w:val="28"/>
          <w:szCs w:val="28"/>
          <w:u w:val="none" w:color="auto"/>
        </w:rPr>
        <w:t>　　2.当事人周惠艳身份证复印件一份、授权委托书一份、被委托人杨勇身份证复印件一份，证明当事人的主体资格及授权委托情况。</w:t>
      </w:r>
      <w:r>
        <w:rPr>
          <w:rFonts w:hint="eastAsia" w:ascii="仿宋_GB2312" w:hAnsi="仿宋_GB2312" w:eastAsia="仿宋_GB2312" w:cs="仿宋_GB2312"/>
          <w:b w:val="0"/>
          <w:color w:val="auto"/>
          <w:sz w:val="28"/>
          <w:szCs w:val="28"/>
          <w:u w:val="none" w:color="auto"/>
        </w:rPr>
        <w:br w:type="textWrapping"/>
      </w:r>
      <w:r>
        <w:rPr>
          <w:rFonts w:hint="eastAsia" w:ascii="仿宋_GB2312" w:hAnsi="仿宋_GB2312" w:eastAsia="仿宋_GB2312" w:cs="仿宋_GB2312"/>
          <w:b w:val="0"/>
          <w:color w:val="auto"/>
          <w:sz w:val="28"/>
          <w:szCs w:val="28"/>
          <w:u w:val="none" w:color="auto"/>
        </w:rPr>
        <w:t>　　3.对被委托人杨勇的询问笔录是四份，证明当事人未经登记从事经营活动、未取得许可从事餐饮服务、未履行进货查验义务的事实情节。</w:t>
      </w:r>
      <w:r>
        <w:rPr>
          <w:rFonts w:hint="eastAsia" w:ascii="仿宋_GB2312" w:hAnsi="仿宋_GB2312" w:eastAsia="仿宋_GB2312" w:cs="仿宋_GB2312"/>
          <w:b w:val="0"/>
          <w:color w:val="auto"/>
          <w:sz w:val="28"/>
          <w:szCs w:val="28"/>
          <w:u w:val="none" w:color="auto"/>
        </w:rPr>
        <w:br w:type="textWrapping"/>
      </w:r>
      <w:r>
        <w:rPr>
          <w:rFonts w:hint="eastAsia" w:ascii="仿宋_GB2312" w:hAnsi="仿宋_GB2312" w:eastAsia="仿宋_GB2312" w:cs="仿宋_GB2312"/>
          <w:b w:val="0"/>
          <w:color w:val="auto"/>
          <w:sz w:val="28"/>
          <w:szCs w:val="28"/>
          <w:u w:val="none" w:color="auto"/>
        </w:rPr>
        <w:t>　　4.当事人提供的托管花名册、托管费缴费凭证、考勤表、托管班收费标准、租赁合同、缴纳电费燃气费凭证，证明当事人未经登记从事经营活动、未取得许可从事餐饮服务的事实情节。</w:t>
      </w:r>
      <w:r>
        <w:rPr>
          <w:rFonts w:hint="eastAsia" w:ascii="仿宋_GB2312" w:hAnsi="仿宋_GB2312" w:eastAsia="仿宋_GB2312" w:cs="仿宋_GB2312"/>
          <w:b w:val="0"/>
          <w:color w:val="auto"/>
          <w:sz w:val="28"/>
          <w:szCs w:val="28"/>
          <w:u w:val="none" w:color="auto"/>
        </w:rPr>
        <w:br w:type="textWrapping"/>
      </w:r>
      <w:r>
        <w:rPr>
          <w:rFonts w:hint="eastAsia" w:ascii="仿宋_GB2312" w:hAnsi="仿宋_GB2312" w:eastAsia="仿宋_GB2312" w:cs="仿宋_GB2312"/>
          <w:b w:val="0"/>
          <w:color w:val="auto"/>
          <w:sz w:val="28"/>
          <w:szCs w:val="28"/>
          <w:u w:val="none" w:color="auto"/>
        </w:rPr>
        <w:t>　　5.信用中国的查询截图，证明当事人属于初次违法。</w:t>
      </w:r>
      <w:r>
        <w:rPr>
          <w:rFonts w:hint="eastAsia" w:ascii="仿宋_GB2312" w:hAnsi="仿宋_GB2312" w:eastAsia="仿宋_GB2312" w:cs="仿宋_GB2312"/>
          <w:b w:val="0"/>
          <w:color w:val="auto"/>
          <w:sz w:val="28"/>
          <w:szCs w:val="28"/>
          <w:u w:val="none" w:color="auto"/>
        </w:rPr>
        <w:br w:type="textWrapping"/>
      </w:r>
      <w:r>
        <w:rPr>
          <w:rFonts w:hint="eastAsia" w:ascii="仿宋_GB2312" w:hAnsi="仿宋_GB2312" w:eastAsia="仿宋_GB2312" w:cs="仿宋_GB2312"/>
          <w:b w:val="0"/>
          <w:color w:val="auto"/>
          <w:sz w:val="28"/>
          <w:szCs w:val="28"/>
          <w:u w:val="none" w:color="auto"/>
        </w:rPr>
        <w:t>　　6.当事人办理的营业执照，证明其改正违法行为的事实情节。</w:t>
      </w:r>
      <w:bookmarkEnd w:id="7"/>
      <w:r>
        <w:rPr>
          <w:rFonts w:hint="eastAsia" w:ascii="仿宋_GB2312" w:hAnsi="仿宋_GB2312" w:eastAsia="仿宋_GB2312" w:cs="仿宋_GB2312"/>
          <w:b w:val="0"/>
          <w:bCs/>
          <w:color w:val="auto"/>
          <w:sz w:val="28"/>
          <w:szCs w:val="28"/>
          <w:u w:val="none" w:color="auto"/>
          <w:lang w:val="en-US" w:eastAsia="zh-CN"/>
        </w:rPr>
        <w:t xml:space="preserve"> </w:t>
      </w:r>
    </w:p>
    <w:p w14:paraId="30B32B82">
      <w:pPr>
        <w:pStyle w:val="3"/>
        <w:keepNext w:val="0"/>
        <w:keepLines w:val="0"/>
        <w:pageBreakBefore w:val="0"/>
        <w:tabs>
          <w:tab w:val="left" w:pos="9060"/>
        </w:tabs>
        <w:kinsoku/>
        <w:overflowPunct/>
        <w:topLinePunct w:val="0"/>
        <w:bidi w:val="0"/>
        <w:spacing w:line="360" w:lineRule="auto"/>
        <w:jc w:val="both"/>
        <w:textAlignment w:val="auto"/>
        <w:rPr>
          <w:rFonts w:hint="eastAsia" w:ascii="仿宋_GB2312" w:hAnsi="仿宋_GB2312" w:eastAsia="仿宋_GB2312" w:cs="仿宋_GB2312"/>
          <w:b w:val="0"/>
          <w:bCs/>
          <w:color w:val="auto"/>
          <w:sz w:val="28"/>
          <w:szCs w:val="28"/>
          <w:u w:val="none" w:color="auto"/>
          <w:lang w:val="en-US" w:eastAsia="zh-CN"/>
        </w:rPr>
      </w:pPr>
      <w:r>
        <w:rPr>
          <w:rFonts w:hint="eastAsia" w:ascii="仿宋_GB2312" w:hAnsi="仿宋_GB2312" w:eastAsia="仿宋_GB2312" w:cs="仿宋_GB2312"/>
          <w:b w:val="0"/>
          <w:bCs/>
          <w:color w:val="auto"/>
          <w:sz w:val="28"/>
          <w:szCs w:val="28"/>
          <w:u w:val="none" w:color="auto"/>
          <w:lang w:val="en-US" w:eastAsia="zh-CN"/>
        </w:rPr>
        <w:t xml:space="preserve">    </w:t>
      </w:r>
      <w:bookmarkStart w:id="8" w:name="CALCULATE—XZCFJDS—cCfgzwsSdrq"/>
      <w:r>
        <w:rPr>
          <w:rFonts w:hint="eastAsia" w:ascii="仿宋_GB2312" w:hAnsi="仿宋_GB2312" w:eastAsia="仿宋_GB2312" w:cs="仿宋_GB2312"/>
          <w:b w:val="0"/>
          <w:color w:val="auto"/>
          <w:sz w:val="28"/>
          <w:szCs w:val="28"/>
          <w:u w:val="none" w:color="auto"/>
        </w:rPr>
        <w:t>2025年07月01日</w:t>
      </w:r>
      <w:bookmarkEnd w:id="8"/>
      <w:r>
        <w:rPr>
          <w:rFonts w:hint="eastAsia" w:ascii="仿宋_GB2312" w:hAnsi="仿宋_GB2312" w:eastAsia="仿宋_GB2312" w:cs="仿宋_GB2312"/>
          <w:b w:val="0"/>
          <w:bCs/>
          <w:color w:val="auto"/>
          <w:sz w:val="28"/>
          <w:szCs w:val="28"/>
          <w:u w:val="none" w:color="auto"/>
        </w:rPr>
        <w:t>，本局向当事人送达了本案《行政处罚告知书》(</w:t>
      </w:r>
      <w:bookmarkStart w:id="9" w:name="CALCULATE—XZCFJDS—cCfgzSdwswh"/>
      <w:r>
        <w:rPr>
          <w:rFonts w:hint="eastAsia" w:ascii="仿宋_GB2312" w:hAnsi="仿宋_GB2312" w:eastAsia="仿宋_GB2312" w:cs="仿宋_GB2312"/>
          <w:b w:val="0"/>
          <w:color w:val="auto"/>
          <w:sz w:val="28"/>
          <w:szCs w:val="28"/>
          <w:u w:val="none" w:color="auto"/>
        </w:rPr>
        <w:t>津南开市监罚告〔2025〕43号</w:t>
      </w:r>
      <w:bookmarkEnd w:id="9"/>
      <w:r>
        <w:rPr>
          <w:rFonts w:hint="eastAsia" w:ascii="仿宋_GB2312" w:hAnsi="仿宋_GB2312" w:eastAsia="仿宋_GB2312" w:cs="仿宋_GB2312"/>
          <w:b w:val="0"/>
          <w:bCs/>
          <w:color w:val="auto"/>
          <w:sz w:val="28"/>
          <w:szCs w:val="28"/>
          <w:u w:val="none" w:color="auto"/>
        </w:rPr>
        <w:t>)，</w:t>
      </w:r>
      <w:bookmarkStart w:id="10" w:name="CALCULATE—XZCFJDS—nTccssb"/>
      <w:r>
        <w:rPr>
          <w:rFonts w:hint="eastAsia" w:ascii="仿宋_GB2312" w:hAnsi="仿宋_GB2312" w:eastAsia="仿宋_GB2312" w:cs="仿宋_GB2312"/>
          <w:b w:val="0"/>
          <w:color w:val="auto"/>
          <w:sz w:val="28"/>
          <w:szCs w:val="28"/>
          <w:u w:val="none" w:color="auto"/>
        </w:rPr>
        <w:t>当事人在法定期限内未提出任何陈述或申辩</w:t>
      </w:r>
      <w:bookmarkEnd w:id="10"/>
      <w:r>
        <w:rPr>
          <w:rFonts w:hint="eastAsia" w:ascii="仿宋_GB2312" w:hAnsi="仿宋_GB2312" w:eastAsia="仿宋_GB2312" w:cs="仿宋_GB2312"/>
          <w:b w:val="0"/>
          <w:color w:val="auto"/>
          <w:sz w:val="28"/>
          <w:szCs w:val="28"/>
          <w:u w:val="none" w:color="auto"/>
          <w:lang w:eastAsia="zh-CN"/>
        </w:rPr>
        <w:t>。</w:t>
      </w:r>
      <w:r>
        <w:rPr>
          <w:rFonts w:hint="eastAsia" w:ascii="仿宋_GB2312" w:hAnsi="仿宋_GB2312" w:eastAsia="仿宋_GB2312" w:cs="仿宋_GB2312"/>
          <w:b w:val="0"/>
          <w:bCs/>
          <w:color w:val="auto"/>
          <w:sz w:val="28"/>
          <w:szCs w:val="28"/>
          <w:u w:val="none" w:color="auto"/>
        </w:rPr>
        <w:t xml:space="preserve">                                          </w:t>
      </w:r>
      <w:r>
        <w:rPr>
          <w:rFonts w:hint="eastAsia" w:ascii="仿宋_GB2312" w:hAnsi="仿宋_GB2312" w:eastAsia="仿宋_GB2312" w:cs="仿宋_GB2312"/>
          <w:b w:val="0"/>
          <w:bCs/>
          <w:color w:val="auto"/>
          <w:sz w:val="28"/>
          <w:szCs w:val="28"/>
          <w:u w:val="none" w:color="auto"/>
          <w:lang w:val="en-US" w:eastAsia="zh-CN"/>
        </w:rPr>
        <w:t xml:space="preserve">          </w:t>
      </w:r>
      <w:r>
        <w:rPr>
          <w:rFonts w:hint="eastAsia" w:ascii="仿宋_GB2312" w:hAnsi="仿宋_GB2312" w:eastAsia="仿宋_GB2312" w:cs="仿宋_GB2312"/>
          <w:b w:val="0"/>
          <w:bCs/>
          <w:color w:val="auto"/>
          <w:sz w:val="28"/>
          <w:szCs w:val="28"/>
          <w:u w:val="none" w:color="auto"/>
        </w:rPr>
        <w:t xml:space="preserve">                            </w:t>
      </w:r>
      <w:r>
        <w:rPr>
          <w:rFonts w:hint="eastAsia" w:ascii="仿宋_GB2312" w:hAnsi="仿宋_GB2312" w:eastAsia="仿宋_GB2312" w:cs="仿宋_GB2312"/>
          <w:b w:val="0"/>
          <w:bCs/>
          <w:color w:val="auto"/>
          <w:sz w:val="28"/>
          <w:szCs w:val="28"/>
          <w:u w:val="none" w:color="auto"/>
          <w:lang w:val="en-US" w:eastAsia="zh-CN"/>
        </w:rPr>
        <w:t xml:space="preserve">                                         </w:t>
      </w:r>
    </w:p>
    <w:p w14:paraId="74DD7508">
      <w:pPr>
        <w:pStyle w:val="3"/>
        <w:keepNext w:val="0"/>
        <w:keepLines w:val="0"/>
        <w:pageBreakBefore w:val="0"/>
        <w:tabs>
          <w:tab w:val="left" w:pos="9060"/>
        </w:tabs>
        <w:kinsoku/>
        <w:overflowPunct/>
        <w:topLinePunct w:val="0"/>
        <w:bidi w:val="0"/>
        <w:spacing w:line="360" w:lineRule="auto"/>
        <w:ind w:firstLine="560" w:firstLineChars="200"/>
        <w:jc w:val="both"/>
        <w:textAlignment w:val="auto"/>
        <w:rPr>
          <w:rFonts w:hint="eastAsia" w:ascii="仿宋_GB2312" w:hAnsi="仿宋_GB2312" w:eastAsia="仿宋_GB2312" w:cs="仿宋_GB2312"/>
          <w:kern w:val="1"/>
          <w:sz w:val="28"/>
          <w:szCs w:val="28"/>
          <w:u w:val="none" w:color="auto"/>
        </w:rPr>
      </w:pPr>
      <w:r>
        <w:rPr>
          <w:rFonts w:hint="eastAsia" w:ascii="仿宋_GB2312" w:hAnsi="仿宋_GB2312" w:eastAsia="仿宋_GB2312" w:cs="仿宋_GB2312"/>
          <w:kern w:val="1"/>
          <w:sz w:val="28"/>
          <w:szCs w:val="28"/>
          <w:u w:val="none" w:color="auto"/>
        </w:rPr>
        <w:t>本局认为，</w:t>
      </w:r>
      <w:r>
        <w:rPr>
          <w:rFonts w:hint="eastAsia" w:ascii="仿宋_GB2312" w:hAnsi="仿宋_GB2312" w:eastAsia="仿宋_GB2312" w:cs="仿宋_GB2312"/>
          <w:kern w:val="1"/>
          <w:sz w:val="28"/>
          <w:szCs w:val="28"/>
          <w:u w:val="none" w:color="auto"/>
          <w:lang w:eastAsia="zh-CN"/>
        </w:rPr>
        <w:t>当</w:t>
      </w:r>
      <w:r>
        <w:rPr>
          <w:rFonts w:hint="eastAsia" w:ascii="仿宋_GB2312" w:hAnsi="仿宋_GB2312" w:eastAsia="仿宋_GB2312" w:cs="仿宋_GB2312"/>
          <w:kern w:val="1"/>
          <w:sz w:val="28"/>
          <w:szCs w:val="28"/>
          <w:u w:val="none" w:color="auto"/>
        </w:rPr>
        <w:t>事人的行为违反了《中华人民共和国市场主体登记管理条例》第三条第一款：“市场主体应当依照本条例办理登记。未经登记，不得以市场主体名义从事经营活动。法律、行政法规规定无需办理登记的除外。”</w:t>
      </w:r>
      <w:r>
        <w:rPr>
          <w:rFonts w:hint="eastAsia" w:ascii="仿宋_GB2312" w:hAnsi="仿宋_GB2312" w:eastAsia="仿宋_GB2312" w:cs="仿宋_GB2312"/>
          <w:kern w:val="1"/>
          <w:sz w:val="28"/>
          <w:szCs w:val="28"/>
          <w:u w:val="none" w:color="auto"/>
          <w:lang w:eastAsia="zh-CN"/>
        </w:rPr>
        <w:t>、</w:t>
      </w:r>
      <w:r>
        <w:rPr>
          <w:rFonts w:hint="eastAsia" w:ascii="仿宋_GB2312" w:hAnsi="仿宋_GB2312" w:eastAsia="仿宋_GB2312" w:cs="仿宋_GB2312"/>
          <w:kern w:val="1"/>
          <w:sz w:val="28"/>
          <w:szCs w:val="28"/>
          <w:u w:val="none" w:color="auto"/>
        </w:rPr>
        <w:t>《中华人民共和国食品安全法》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仿宋_GB2312" w:hAnsi="仿宋_GB2312" w:eastAsia="仿宋_GB2312" w:cs="仿宋_GB2312"/>
          <w:kern w:val="1"/>
          <w:sz w:val="28"/>
          <w:szCs w:val="28"/>
          <w:u w:val="none" w:color="auto"/>
          <w:lang w:eastAsia="zh-CN"/>
        </w:rPr>
        <w:t>、</w:t>
      </w:r>
      <w:r>
        <w:rPr>
          <w:rFonts w:hint="eastAsia" w:ascii="仿宋_GB2312" w:hAnsi="仿宋_GB2312" w:eastAsia="仿宋_GB2312" w:cs="仿宋_GB2312"/>
          <w:kern w:val="1"/>
          <w:sz w:val="28"/>
          <w:szCs w:val="28"/>
          <w:u w:val="none" w:color="auto"/>
        </w:rPr>
        <w:t>《中华人民共和国食品安全法》第五十三条第一款：“食品经营者采购食品，应当查验供货者的许可证和食品出厂检验合格证或者其他合格证明（以下称合格证明文件）。”的规定。</w:t>
      </w:r>
    </w:p>
    <w:p w14:paraId="092EB602">
      <w:pPr>
        <w:pStyle w:val="3"/>
        <w:keepNext w:val="0"/>
        <w:keepLines w:val="0"/>
        <w:pageBreakBefore w:val="0"/>
        <w:widowControl w:val="0"/>
        <w:tabs>
          <w:tab w:val="left" w:pos="9060"/>
        </w:tabs>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仿宋_GB2312" w:hAnsi="仿宋_GB2312" w:eastAsia="仿宋_GB2312" w:cs="仿宋_GB2312"/>
          <w:kern w:val="1"/>
          <w:sz w:val="28"/>
          <w:szCs w:val="28"/>
          <w:u w:val="none" w:color="auto"/>
        </w:rPr>
      </w:pPr>
      <w:r>
        <w:rPr>
          <w:rFonts w:hint="eastAsia" w:ascii="仿宋_GB2312" w:hAnsi="仿宋_GB2312" w:eastAsia="仿宋_GB2312" w:cs="仿宋_GB2312"/>
          <w:kern w:val="1"/>
          <w:sz w:val="28"/>
          <w:szCs w:val="28"/>
          <w:u w:val="none" w:color="auto"/>
        </w:rPr>
        <w:t>当事人在案件调查过程中积极配合调查，如实陈述有关情况，主动提供证据材料，且经查询“信用中国”未发现当事人存在行政处罚，属初次违法。当事人提供了周惠艳及其丈夫高亚超的住院证明其生活困难。上述情形符合市场监管总局《关于规范市场监督管理行政处罚裁量权的指导意见》第十四条第一款第二、五项：“ 有下列情形之一的，可以依法从轻或者减轻行政处罚：……（二）积极配合市场监管部门调查并主动提供证据材料的；……（五）当事人因残疾或者重大疾病等原因生活确有困难的；……”规定的情形，予以减轻行政处罚。</w:t>
      </w:r>
    </w:p>
    <w:p w14:paraId="7C9399D1">
      <w:pPr>
        <w:pStyle w:val="3"/>
        <w:keepNext w:val="0"/>
        <w:keepLines w:val="0"/>
        <w:pageBreakBefore w:val="0"/>
        <w:tabs>
          <w:tab w:val="left" w:pos="9060"/>
        </w:tabs>
        <w:kinsoku/>
        <w:overflowPunct/>
        <w:topLinePunct w:val="0"/>
        <w:bidi w:val="0"/>
        <w:spacing w:line="360" w:lineRule="auto"/>
        <w:ind w:firstLine="560" w:firstLineChars="200"/>
        <w:jc w:val="both"/>
        <w:textAlignment w:val="auto"/>
        <w:rPr>
          <w:rFonts w:hint="eastAsia" w:ascii="仿宋_GB2312" w:hAnsi="仿宋_GB2312" w:eastAsia="仿宋_GB2312" w:cs="仿宋_GB2312"/>
          <w:kern w:val="1"/>
          <w:sz w:val="28"/>
          <w:szCs w:val="28"/>
          <w:u w:val="none" w:color="auto"/>
        </w:rPr>
      </w:pPr>
      <w:r>
        <w:rPr>
          <w:rFonts w:hint="eastAsia" w:ascii="仿宋_GB2312" w:hAnsi="仿宋_GB2312" w:eastAsia="仿宋_GB2312" w:cs="仿宋_GB2312"/>
          <w:kern w:val="1"/>
          <w:sz w:val="28"/>
          <w:szCs w:val="28"/>
          <w:u w:val="none" w:color="auto"/>
        </w:rPr>
        <w:t>依据《中华人民共和国市场主体登记管理条例》第四十三条：“未经设立登记从事经营活动的，由登记机关责令改正，没收违法所得；拒不改正的，处1万元以上10万元以下的罚款；情节严重的，依法责令关闭停业，并处10万元以上50万元以下的罚款。”、《中华人民共和国食品安全法》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和《中华人民共和国行政处罚法》第五条第二款：“设定和实施行政处罚必须以事实为依据，与违法行为的事实、性质、情节以及社会危害程度相当。”的规定，综合考虑当事人的违法事实和情节，责令当事人改正其违法行为，并对当事人给予如下行政处罚：1.警告；2.没收违法生产经营的工具：高压锅2个、菜板1个、双耳黑锅1个、双耳不锈钢锅1个、盆子1个；3.没收违法所得7877.96元；4.罚款3000元。</w:t>
      </w:r>
    </w:p>
    <w:p w14:paraId="71B18F40">
      <w:pPr>
        <w:pStyle w:val="3"/>
        <w:keepNext w:val="0"/>
        <w:keepLines w:val="0"/>
        <w:pageBreakBefore w:val="0"/>
        <w:tabs>
          <w:tab w:val="left" w:pos="9060"/>
        </w:tabs>
        <w:kinsoku/>
        <w:overflowPunct/>
        <w:topLinePunct w:val="0"/>
        <w:bidi w:val="0"/>
        <w:spacing w:line="360" w:lineRule="auto"/>
        <w:ind w:firstLine="560" w:firstLineChars="200"/>
        <w:jc w:val="both"/>
        <w:textAlignment w:val="auto"/>
        <w:rPr>
          <w:rFonts w:hint="eastAsia" w:ascii="仿宋_GB2312" w:hAnsi="仿宋_GB2312" w:eastAsia="仿宋_GB2312" w:cs="仿宋_GB2312"/>
          <w:b w:val="0"/>
          <w:bCs/>
          <w:color w:val="auto"/>
          <w:sz w:val="28"/>
          <w:szCs w:val="28"/>
          <w:u w:val="none" w:color="auto"/>
          <w:lang w:val="en-US" w:eastAsia="zh-CN"/>
        </w:rPr>
      </w:pPr>
      <w:r>
        <w:rPr>
          <w:rFonts w:hint="eastAsia" w:ascii="仿宋_GB2312" w:hAnsi="仿宋_GB2312" w:eastAsia="仿宋_GB2312" w:cs="仿宋_GB2312"/>
          <w:kern w:val="1"/>
          <w:sz w:val="28"/>
          <w:szCs w:val="28"/>
          <w:u w:val="none" w:color="auto"/>
        </w:rPr>
        <w:t>综上，罚没款共计10877.96元。</w:t>
      </w:r>
      <w:r>
        <w:rPr>
          <w:rFonts w:hint="eastAsia" w:ascii="仿宋_GB2312" w:hAnsi="仿宋_GB2312" w:eastAsia="仿宋_GB2312" w:cs="仿宋_GB2312"/>
          <w:b w:val="0"/>
          <w:bCs/>
          <w:color w:val="auto"/>
          <w:sz w:val="28"/>
          <w:szCs w:val="28"/>
          <w:u w:val="none" w:color="auto"/>
          <w:lang w:val="en-US" w:eastAsia="zh-CN"/>
        </w:rPr>
        <w:t xml:space="preserve"> </w:t>
      </w:r>
    </w:p>
    <w:p w14:paraId="5434905F">
      <w:pPr>
        <w:keepNext w:val="0"/>
        <w:keepLines w:val="0"/>
        <w:pageBreakBefore w:val="0"/>
        <w:tabs>
          <w:tab w:val="left" w:pos="8395"/>
        </w:tabs>
        <w:kinsoku/>
        <w:overflowPunct/>
        <w:topLinePunct w:val="0"/>
        <w:autoSpaceDE w:val="0"/>
        <w:autoSpaceDN w:val="0"/>
        <w:bidi w:val="0"/>
        <w:adjustRightInd w:val="0"/>
        <w:spacing w:line="360" w:lineRule="auto"/>
        <w:ind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当事人应当自收到本行政处罚决定书之日起十五日内，按照《非税收入一般缴款书（缴款通知书）》所载明的缴款渠道缴纳罚款。到期不缴纳罚款的，依据《中华人民共和国行政处罚法》第七十二条的规定，本局将每日按罚款数额的百分之三加处罚款，并依法申请人民法院强制执行。</w:t>
      </w:r>
    </w:p>
    <w:p w14:paraId="10430D98">
      <w:pPr>
        <w:keepNext w:val="0"/>
        <w:keepLines w:val="0"/>
        <w:pageBreakBefore w:val="0"/>
        <w:tabs>
          <w:tab w:val="left" w:pos="9060"/>
        </w:tabs>
        <w:kinsoku/>
        <w:overflowPunct/>
        <w:topLinePunct w:val="0"/>
        <w:autoSpaceDE w:val="0"/>
        <w:autoSpaceDN w:val="0"/>
        <w:bidi w:val="0"/>
        <w:adjustRightIn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kern w:val="0"/>
          <w:sz w:val="28"/>
          <w:szCs w:val="28"/>
        </w:rPr>
        <w:t>如你单位不服本行政处罚决定，可以在收到本行政处罚决定书之日起六十日内向天津市南开区人民政府申请行政复议；也可以在六个月内依法向天津市红桥区人民法院提起行政诉讼。申请行政复议或者提起行政诉讼期间，行政处罚不停止执行。</w:t>
      </w:r>
    </w:p>
    <w:p w14:paraId="091AB9CE">
      <w:pPr>
        <w:keepNext w:val="0"/>
        <w:keepLines w:val="0"/>
        <w:pageBreakBefore w:val="0"/>
        <w:kinsoku/>
        <w:overflowPunct/>
        <w:topLinePunct w:val="0"/>
        <w:bidi w:val="0"/>
        <w:spacing w:line="360" w:lineRule="auto"/>
        <w:ind w:right="640" w:firstLine="601"/>
        <w:jc w:val="both"/>
        <w:textAlignment w:val="auto"/>
        <w:rPr>
          <w:rFonts w:hint="eastAsia" w:ascii="仿宋_GB2312" w:hAnsi="仿宋_GB2312" w:eastAsia="仿宋_GB2312" w:cs="仿宋_GB2312"/>
          <w:color w:val="auto"/>
          <w:sz w:val="28"/>
          <w:szCs w:val="28"/>
        </w:rPr>
      </w:pPr>
      <w:bookmarkStart w:id="11" w:name="DYNAMIC—DWXX—tAj_dwmc—2"/>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天津市南开区市场监督管理局</w:t>
      </w:r>
      <w:bookmarkEnd w:id="11"/>
      <w:r>
        <w:rPr>
          <w:rFonts w:hint="eastAsia" w:ascii="仿宋_GB2312" w:hAnsi="仿宋_GB2312" w:eastAsia="仿宋_GB2312" w:cs="仿宋_GB2312"/>
          <w:color w:val="auto"/>
          <w:sz w:val="28"/>
          <w:szCs w:val="28"/>
        </w:rPr>
        <w:t xml:space="preserve">    </w:t>
      </w:r>
    </w:p>
    <w:p w14:paraId="2650116D">
      <w:pPr>
        <w:keepNext w:val="0"/>
        <w:keepLines w:val="0"/>
        <w:pageBreakBefore w:val="0"/>
        <w:kinsoku/>
        <w:overflowPunct/>
        <w:topLinePunct w:val="0"/>
        <w:bidi w:val="0"/>
        <w:spacing w:line="360" w:lineRule="auto"/>
        <w:ind w:right="640" w:firstLine="601"/>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 章）</w:t>
      </w:r>
    </w:p>
    <w:p w14:paraId="3CD8C61E">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600" w:firstLineChars="0"/>
        <w:jc w:val="both"/>
        <w:textAlignment w:val="auto"/>
        <w:outlineLvl w:val="9"/>
        <w:rPr>
          <w:rFonts w:hint="eastAsia" w:ascii="仿宋_GB2312" w:hAnsi="仿宋_GB2312" w:eastAsia="仿宋_GB2312" w:cs="仿宋_GB2312"/>
          <w:color w:val="auto"/>
          <w:sz w:val="28"/>
          <w:szCs w:val="28"/>
        </w:rPr>
      </w:pPr>
      <w:bookmarkStart w:id="12" w:name="CALCULATE—TIME—NOW"/>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2025年07月09日</w:t>
      </w:r>
      <w:bookmarkEnd w:id="12"/>
      <w:r>
        <w:rPr>
          <w:rFonts w:hint="eastAsia" w:ascii="仿宋_GB2312" w:hAnsi="仿宋_GB2312" w:eastAsia="仿宋_GB2312" w:cs="仿宋_GB2312"/>
          <w:color w:val="auto"/>
          <w:sz w:val="28"/>
          <w:szCs w:val="28"/>
        </w:rPr>
        <w:t xml:space="preserve">  </w:t>
      </w:r>
    </w:p>
    <w:p w14:paraId="25BB32C9">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600" w:firstLineChars="0"/>
        <w:jc w:val="both"/>
        <w:textAlignment w:val="auto"/>
        <w:outlineLvl w:val="9"/>
        <w:rPr>
          <w:rFonts w:hint="eastAsia" w:ascii="仿宋_GB2312" w:hAnsi="仿宋_GB2312" w:eastAsia="仿宋_GB2312" w:cs="仿宋_GB2312"/>
          <w:color w:val="auto"/>
          <w:sz w:val="28"/>
          <w:szCs w:val="28"/>
        </w:rPr>
      </w:pPr>
    </w:p>
    <w:p w14:paraId="47DA3B60">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600" w:firstLineChars="0"/>
        <w:jc w:val="both"/>
        <w:textAlignment w:val="auto"/>
        <w:outlineLvl w:val="9"/>
        <w:rPr>
          <w:rFonts w:hint="eastAsia" w:ascii="仿宋_GB2312" w:hAnsi="仿宋_GB2312" w:eastAsia="仿宋_GB2312" w:cs="仿宋_GB2312"/>
          <w:color w:val="auto"/>
          <w:sz w:val="28"/>
          <w:szCs w:val="28"/>
        </w:rPr>
      </w:pPr>
    </w:p>
    <w:p w14:paraId="233864D2">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600" w:firstLineChars="0"/>
        <w:jc w:val="both"/>
        <w:textAlignment w:val="auto"/>
        <w:outlineLvl w:val="9"/>
        <w:rPr>
          <w:rFonts w:hint="eastAsia" w:ascii="仿宋_GB2312" w:hAnsi="仿宋_GB2312" w:eastAsia="仿宋_GB2312" w:cs="仿宋_GB2312"/>
          <w:color w:val="auto"/>
          <w:sz w:val="28"/>
          <w:szCs w:val="28"/>
        </w:rPr>
      </w:pPr>
    </w:p>
    <w:p w14:paraId="6A2FB401">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600" w:firstLineChars="0"/>
        <w:jc w:val="both"/>
        <w:textAlignment w:val="auto"/>
        <w:outlineLvl w:val="9"/>
        <w:rPr>
          <w:rFonts w:hint="eastAsia" w:ascii="仿宋_GB2312" w:hAnsi="仿宋_GB2312" w:eastAsia="仿宋_GB2312" w:cs="仿宋_GB2312"/>
          <w:color w:val="auto"/>
          <w:sz w:val="28"/>
          <w:szCs w:val="28"/>
        </w:rPr>
      </w:pPr>
    </w:p>
    <w:p w14:paraId="24E70001">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600" w:firstLineChars="0"/>
        <w:jc w:val="both"/>
        <w:textAlignment w:val="auto"/>
        <w:outlineLvl w:val="9"/>
        <w:rPr>
          <w:rFonts w:hint="eastAsia" w:ascii="仿宋_GB2312" w:hAnsi="仿宋_GB2312" w:eastAsia="仿宋_GB2312" w:cs="仿宋_GB2312"/>
          <w:color w:val="auto"/>
          <w:sz w:val="28"/>
          <w:szCs w:val="28"/>
        </w:rPr>
      </w:pPr>
    </w:p>
    <w:p w14:paraId="25F0EC92">
      <w:pPr>
        <w:keepNext w:val="0"/>
        <w:keepLines w:val="0"/>
        <w:pageBreakBefore w:val="0"/>
        <w:widowControl w:val="0"/>
        <w:kinsoku/>
        <w:wordWrap/>
        <w:overflowPunct/>
        <w:topLinePunct w:val="0"/>
        <w:autoSpaceDE/>
        <w:autoSpaceDN/>
        <w:bidi w:val="0"/>
        <w:adjustRightInd/>
        <w:snapToGrid/>
        <w:spacing w:line="360" w:lineRule="auto"/>
        <w:ind w:left="0" w:leftChars="0" w:right="630" w:rightChars="300" w:firstLine="600" w:firstLineChars="0"/>
        <w:jc w:val="both"/>
        <w:textAlignment w:val="auto"/>
        <w:outlineLvl w:val="9"/>
        <w:rPr>
          <w:rFonts w:hint="eastAsia" w:ascii="仿宋_GB2312" w:hAnsi="仿宋_GB2312" w:eastAsia="仿宋_GB2312" w:cs="仿宋_GB2312"/>
          <w:color w:val="auto"/>
          <w:sz w:val="28"/>
          <w:szCs w:val="28"/>
        </w:rPr>
      </w:pPr>
    </w:p>
    <w:p w14:paraId="65FADB35">
      <w:pPr>
        <w:pStyle w:val="3"/>
        <w:keepNext w:val="0"/>
        <w:keepLines w:val="0"/>
        <w:pageBreakBefore w:val="0"/>
        <w:kinsoku/>
        <w:overflowPunct/>
        <w:topLinePunct w:val="0"/>
        <w:bidi w:val="0"/>
        <w:spacing w:before="1" w:line="360" w:lineRule="auto"/>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pacing w:val="-16"/>
          <w:sz w:val="28"/>
          <w:szCs w:val="28"/>
        </w:rPr>
        <w:t>（市场监督管理部门将依法向社会公开行政处罚决定信息）</w:t>
      </w:r>
    </w:p>
    <w:p w14:paraId="677F5B42">
      <w:pPr>
        <w:keepNext w:val="0"/>
        <w:keepLines w:val="0"/>
        <w:pageBreakBefore w:val="0"/>
        <w:kinsoku/>
        <w:overflowPunct/>
        <w:topLinePunct w:val="0"/>
        <w:bidi w:val="0"/>
        <w:spacing w:line="360" w:lineRule="auto"/>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auto"/>
          <w:sz w:val="28"/>
          <w:szCs w:val="28"/>
        </w:rPr>
        <w:t>本文书一式</w:t>
      </w:r>
      <w:r>
        <w:rPr>
          <w:rFonts w:hint="eastAsia" w:ascii="仿宋_GB2312" w:hAnsi="仿宋_GB2312" w:eastAsia="仿宋_GB2312" w:cs="仿宋_GB2312"/>
          <w:color w:val="auto"/>
          <w:sz w:val="28"/>
          <w:szCs w:val="28"/>
          <w:u w:val="none"/>
          <w:lang w:eastAsia="zh-CN"/>
        </w:rPr>
        <w:t>两</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份送达，一份归档。</w:t>
      </w:r>
    </w:p>
    <w:bookmarkEnd w:id="13"/>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D5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A343A">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5A343A">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3a570657-d4b9-4633-8bde-b1be1a221b99"/>
  </w:docVars>
  <w:rsids>
    <w:rsidRoot w:val="5BA419F7"/>
    <w:rsid w:val="00193C35"/>
    <w:rsid w:val="0032134F"/>
    <w:rsid w:val="010A478A"/>
    <w:rsid w:val="02B83402"/>
    <w:rsid w:val="042774DD"/>
    <w:rsid w:val="048D2705"/>
    <w:rsid w:val="04CD463F"/>
    <w:rsid w:val="04FA4431"/>
    <w:rsid w:val="05C51508"/>
    <w:rsid w:val="06476E0A"/>
    <w:rsid w:val="06BAE61F"/>
    <w:rsid w:val="071C7669"/>
    <w:rsid w:val="07580619"/>
    <w:rsid w:val="0776795A"/>
    <w:rsid w:val="07DA78EE"/>
    <w:rsid w:val="08365B64"/>
    <w:rsid w:val="087864F3"/>
    <w:rsid w:val="090B4D3A"/>
    <w:rsid w:val="09290BEC"/>
    <w:rsid w:val="09AA7B69"/>
    <w:rsid w:val="0A2F38BD"/>
    <w:rsid w:val="0A3665F0"/>
    <w:rsid w:val="0B22091D"/>
    <w:rsid w:val="0CF71776"/>
    <w:rsid w:val="0D242541"/>
    <w:rsid w:val="0FB748D6"/>
    <w:rsid w:val="103E22C5"/>
    <w:rsid w:val="11524677"/>
    <w:rsid w:val="115320F9"/>
    <w:rsid w:val="119E3BCA"/>
    <w:rsid w:val="1350279A"/>
    <w:rsid w:val="14203063"/>
    <w:rsid w:val="143E1E38"/>
    <w:rsid w:val="1490670C"/>
    <w:rsid w:val="152E563E"/>
    <w:rsid w:val="15B93156"/>
    <w:rsid w:val="16D23D7F"/>
    <w:rsid w:val="18325353"/>
    <w:rsid w:val="188449CB"/>
    <w:rsid w:val="18B229B2"/>
    <w:rsid w:val="19FE4517"/>
    <w:rsid w:val="1AE345F4"/>
    <w:rsid w:val="1B37398D"/>
    <w:rsid w:val="1C7339BB"/>
    <w:rsid w:val="1C7A5BA8"/>
    <w:rsid w:val="1E664711"/>
    <w:rsid w:val="1EC222D9"/>
    <w:rsid w:val="1F2B5D07"/>
    <w:rsid w:val="1FC004DE"/>
    <w:rsid w:val="1FD31F15"/>
    <w:rsid w:val="212E3259"/>
    <w:rsid w:val="22287087"/>
    <w:rsid w:val="237778B4"/>
    <w:rsid w:val="23F5677C"/>
    <w:rsid w:val="24626694"/>
    <w:rsid w:val="258D6CE0"/>
    <w:rsid w:val="27A45517"/>
    <w:rsid w:val="2B1B3EFC"/>
    <w:rsid w:val="2CEA3815"/>
    <w:rsid w:val="2DE10173"/>
    <w:rsid w:val="2F327E79"/>
    <w:rsid w:val="2F7CE1EF"/>
    <w:rsid w:val="2F8A6913"/>
    <w:rsid w:val="30DB5683"/>
    <w:rsid w:val="30FA2F6D"/>
    <w:rsid w:val="31562B39"/>
    <w:rsid w:val="31BE0AF5"/>
    <w:rsid w:val="32CE76E8"/>
    <w:rsid w:val="3334290F"/>
    <w:rsid w:val="33740640"/>
    <w:rsid w:val="3585615B"/>
    <w:rsid w:val="363C12E3"/>
    <w:rsid w:val="368E5656"/>
    <w:rsid w:val="377FBB27"/>
    <w:rsid w:val="37F16547"/>
    <w:rsid w:val="38B63DA7"/>
    <w:rsid w:val="3930619F"/>
    <w:rsid w:val="3A4E178D"/>
    <w:rsid w:val="3BF97ECA"/>
    <w:rsid w:val="3C2965F0"/>
    <w:rsid w:val="3D6B1177"/>
    <w:rsid w:val="3E5F4AE1"/>
    <w:rsid w:val="3E853745"/>
    <w:rsid w:val="3F2604DF"/>
    <w:rsid w:val="3F6783E4"/>
    <w:rsid w:val="3F842066"/>
    <w:rsid w:val="3FFF82D4"/>
    <w:rsid w:val="402E7C06"/>
    <w:rsid w:val="40FE5F8F"/>
    <w:rsid w:val="425049CE"/>
    <w:rsid w:val="442B16EC"/>
    <w:rsid w:val="458F64B9"/>
    <w:rsid w:val="45C51FFB"/>
    <w:rsid w:val="46157ACD"/>
    <w:rsid w:val="47243FC5"/>
    <w:rsid w:val="48C10000"/>
    <w:rsid w:val="4A555101"/>
    <w:rsid w:val="4ADF49AE"/>
    <w:rsid w:val="4B8F0B22"/>
    <w:rsid w:val="4C02380F"/>
    <w:rsid w:val="4C7C04B3"/>
    <w:rsid w:val="4CC8271B"/>
    <w:rsid w:val="4D9306AE"/>
    <w:rsid w:val="4E8950D9"/>
    <w:rsid w:val="4F722566"/>
    <w:rsid w:val="4F93378A"/>
    <w:rsid w:val="503F09B5"/>
    <w:rsid w:val="516D5500"/>
    <w:rsid w:val="52802336"/>
    <w:rsid w:val="53A0483E"/>
    <w:rsid w:val="547C0750"/>
    <w:rsid w:val="55FE5622"/>
    <w:rsid w:val="57503162"/>
    <w:rsid w:val="58A4140A"/>
    <w:rsid w:val="591F0542"/>
    <w:rsid w:val="59A10938"/>
    <w:rsid w:val="5BA419F7"/>
    <w:rsid w:val="5BEF1DBF"/>
    <w:rsid w:val="5BF91583"/>
    <w:rsid w:val="5BFB2E57"/>
    <w:rsid w:val="5C5D2BD9"/>
    <w:rsid w:val="5DD7483B"/>
    <w:rsid w:val="5E5FAB03"/>
    <w:rsid w:val="5E605C94"/>
    <w:rsid w:val="5EA00CBE"/>
    <w:rsid w:val="5F9FEDD5"/>
    <w:rsid w:val="5FBEF003"/>
    <w:rsid w:val="5FE33914"/>
    <w:rsid w:val="5FFA4D85"/>
    <w:rsid w:val="602422E6"/>
    <w:rsid w:val="60B635F2"/>
    <w:rsid w:val="60C16F3B"/>
    <w:rsid w:val="612E7E8C"/>
    <w:rsid w:val="617678F3"/>
    <w:rsid w:val="61DC2B1A"/>
    <w:rsid w:val="636955DE"/>
    <w:rsid w:val="646E5E05"/>
    <w:rsid w:val="64E43803"/>
    <w:rsid w:val="657F58CB"/>
    <w:rsid w:val="66934D57"/>
    <w:rsid w:val="6AD7030F"/>
    <w:rsid w:val="6BA277B7"/>
    <w:rsid w:val="6BCC1BB9"/>
    <w:rsid w:val="6C6723F1"/>
    <w:rsid w:val="6CA517CF"/>
    <w:rsid w:val="6D064CEC"/>
    <w:rsid w:val="6D6C7F13"/>
    <w:rsid w:val="6D923254"/>
    <w:rsid w:val="6DD2313B"/>
    <w:rsid w:val="6E04767D"/>
    <w:rsid w:val="6E355D52"/>
    <w:rsid w:val="6E6950E9"/>
    <w:rsid w:val="6ED952C0"/>
    <w:rsid w:val="6F013B3F"/>
    <w:rsid w:val="6F732ABB"/>
    <w:rsid w:val="6FF58B64"/>
    <w:rsid w:val="6FF8F863"/>
    <w:rsid w:val="70CF02CA"/>
    <w:rsid w:val="70F532B7"/>
    <w:rsid w:val="71013020"/>
    <w:rsid w:val="710D7C3E"/>
    <w:rsid w:val="71FC56E7"/>
    <w:rsid w:val="72FF4AE8"/>
    <w:rsid w:val="735B6B43"/>
    <w:rsid w:val="7376089F"/>
    <w:rsid w:val="74E06ABE"/>
    <w:rsid w:val="75B2DA43"/>
    <w:rsid w:val="75BD90DB"/>
    <w:rsid w:val="75CC41D0"/>
    <w:rsid w:val="75F8119D"/>
    <w:rsid w:val="76222141"/>
    <w:rsid w:val="76704CDE"/>
    <w:rsid w:val="76D869B3"/>
    <w:rsid w:val="76FD0A98"/>
    <w:rsid w:val="77DF8BD4"/>
    <w:rsid w:val="77EFD5CC"/>
    <w:rsid w:val="77FFADAC"/>
    <w:rsid w:val="7835649C"/>
    <w:rsid w:val="789620E4"/>
    <w:rsid w:val="78FD530C"/>
    <w:rsid w:val="7AFB4DD2"/>
    <w:rsid w:val="7B0F6E9A"/>
    <w:rsid w:val="7BA46A39"/>
    <w:rsid w:val="7BFD6076"/>
    <w:rsid w:val="7C8E43D6"/>
    <w:rsid w:val="7DA813EB"/>
    <w:rsid w:val="7DB5B634"/>
    <w:rsid w:val="7DFF108F"/>
    <w:rsid w:val="7EED8AE6"/>
    <w:rsid w:val="7F5A6980"/>
    <w:rsid w:val="7FDF2370"/>
    <w:rsid w:val="7FEADF5C"/>
    <w:rsid w:val="91BF8AB9"/>
    <w:rsid w:val="9FF1B21D"/>
    <w:rsid w:val="B7BFD803"/>
    <w:rsid w:val="BD5EB179"/>
    <w:rsid w:val="BD7F788E"/>
    <w:rsid w:val="D5BFEBD2"/>
    <w:rsid w:val="DEFF1EB3"/>
    <w:rsid w:val="DF3F4C88"/>
    <w:rsid w:val="DF7A9960"/>
    <w:rsid w:val="DFBF15D5"/>
    <w:rsid w:val="DFD70EC8"/>
    <w:rsid w:val="DFF63373"/>
    <w:rsid w:val="DFFE6C63"/>
    <w:rsid w:val="E53DE605"/>
    <w:rsid w:val="E775D448"/>
    <w:rsid w:val="ECC7B000"/>
    <w:rsid w:val="F0ED2927"/>
    <w:rsid w:val="F3EF5848"/>
    <w:rsid w:val="F5A28C7E"/>
    <w:rsid w:val="F6934437"/>
    <w:rsid w:val="F9BF6AE4"/>
    <w:rsid w:val="FB57F652"/>
    <w:rsid w:val="FBBF88F6"/>
    <w:rsid w:val="FBFEBC90"/>
    <w:rsid w:val="FCF69F69"/>
    <w:rsid w:val="FD7BEF22"/>
    <w:rsid w:val="FD8BB826"/>
    <w:rsid w:val="FD9199D6"/>
    <w:rsid w:val="FDAC17BA"/>
    <w:rsid w:val="FDDF4064"/>
    <w:rsid w:val="FDF46C9E"/>
    <w:rsid w:val="FEAFF630"/>
    <w:rsid w:val="FEDEBCAC"/>
    <w:rsid w:val="FF7F62AA"/>
    <w:rsid w:val="FFBD587F"/>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2631</Words>
  <Characters>2759</Characters>
  <Lines>0</Lines>
  <Paragraphs>0</Paragraphs>
  <TotalTime>7</TotalTime>
  <ScaleCrop>false</ScaleCrop>
  <LinksUpToDate>false</LinksUpToDate>
  <CharactersWithSpaces>3130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2021-08-03T10:04:00Z</dcterms:created>
  <dc:creator>胖林宝宝噜啦噜～</dc:creator>
  <cp:lastModifiedBy>sunny</cp:lastModifiedBy>
  <dcterms:modified xsi:type="dcterms:W3CDTF">2025-07-22T03:04:09Z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9D1C7ABC00424631B561332E728FE0BE_13</vt:lpwstr>
  </property>
</Properties>
</file>