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color w:val="auto"/>
          <w:sz w:val="44"/>
          <w:szCs w:val="44"/>
          <w:highlight w:val="none"/>
        </w:rPr>
      </w:pPr>
    </w:p>
    <w:p>
      <w:pPr>
        <w:spacing w:line="560" w:lineRule="exact"/>
        <w:jc w:val="center"/>
        <w:rPr>
          <w:rFonts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天津市市场监管领域重大违法行为举报奖励</w:t>
      </w:r>
    </w:p>
    <w:p>
      <w:pPr>
        <w:spacing w:line="560" w:lineRule="exact"/>
        <w:jc w:val="center"/>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暂行办法</w:t>
      </w:r>
    </w:p>
    <w:p>
      <w:pPr>
        <w:spacing w:line="560" w:lineRule="exact"/>
        <w:jc w:val="center"/>
        <w:rPr>
          <w:rFonts w:hint="eastAsia" w:ascii="方正小标宋简体" w:hAnsi="方正小标宋简体" w:eastAsia="方正小标宋简体" w:cs="方正小标宋简体"/>
          <w:color w:val="auto"/>
          <w:sz w:val="44"/>
          <w:szCs w:val="44"/>
          <w:highlight w:val="none"/>
          <w:lang w:eastAsia="zh-CN"/>
        </w:rPr>
      </w:pPr>
      <w:r>
        <w:rPr>
          <w:rFonts w:hint="eastAsia" w:ascii="楷体" w:hAnsi="楷体" w:eastAsia="楷体" w:cs="楷体"/>
          <w:color w:val="auto"/>
          <w:sz w:val="44"/>
          <w:szCs w:val="44"/>
          <w:highlight w:val="none"/>
          <w:lang w:eastAsia="zh-CN"/>
        </w:rPr>
        <w:t>（征求意见稿）</w:t>
      </w:r>
    </w:p>
    <w:p>
      <w:pPr>
        <w:spacing w:line="560" w:lineRule="exact"/>
        <w:jc w:val="center"/>
        <w:rPr>
          <w:rFonts w:hint="eastAsia" w:ascii="黑体" w:hAnsi="黑体" w:eastAsia="黑体" w:cs="黑体"/>
          <w:color w:val="auto"/>
          <w:sz w:val="32"/>
          <w:szCs w:val="32"/>
          <w:highlight w:val="none"/>
        </w:rPr>
      </w:pPr>
    </w:p>
    <w:p>
      <w:pPr>
        <w:spacing w:line="560" w:lineRule="exact"/>
        <w:jc w:val="center"/>
        <w:rPr>
          <w:rFonts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第一章 总 则</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第一条</w:t>
      </w:r>
      <w:r>
        <w:rPr>
          <w:rFonts w:hint="eastAsia" w:ascii="仿宋_GB2312" w:hAnsi="仿宋_GB2312" w:eastAsia="仿宋_GB2312" w:cs="仿宋_GB2312"/>
          <w:color w:val="auto"/>
          <w:sz w:val="32"/>
          <w:szCs w:val="32"/>
          <w:highlight w:val="none"/>
        </w:rPr>
        <w:t xml:space="preserve"> 为了鼓励社会公众积极举报市场监管领域重大违法行为，推动社会共治，根据市场监管领域相关法</w:t>
      </w:r>
      <w:bookmarkStart w:id="0" w:name="_GoBack"/>
      <w:bookmarkEnd w:id="0"/>
      <w:r>
        <w:rPr>
          <w:rFonts w:hint="eastAsia" w:ascii="仿宋_GB2312" w:hAnsi="仿宋_GB2312" w:eastAsia="仿宋_GB2312" w:cs="仿宋_GB2312"/>
          <w:color w:val="auto"/>
          <w:sz w:val="32"/>
          <w:szCs w:val="32"/>
          <w:highlight w:val="none"/>
        </w:rPr>
        <w:t>律法规和市场监管总局、财政部联合印发的《市场监管领域重大违法行为举报奖励暂行办法》等规定，结合本市实际，制定本办法。</w:t>
      </w:r>
    </w:p>
    <w:p>
      <w:pPr>
        <w:spacing w:line="560" w:lineRule="exact"/>
        <w:ind w:firstLine="640" w:firstLineChars="200"/>
        <w:rPr>
          <w:rFonts w:ascii="仿宋_GB2312" w:hAnsi="仿宋_GB2312" w:eastAsia="仿宋_GB2312" w:cs="仿宋_GB2312"/>
          <w:color w:val="auto"/>
          <w:sz w:val="32"/>
          <w:szCs w:val="32"/>
          <w:highlight w:val="none"/>
        </w:rPr>
      </w:pP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第二条</w:t>
      </w:r>
      <w:r>
        <w:rPr>
          <w:rFonts w:hint="eastAsia" w:ascii="仿宋_GB2312" w:hAnsi="仿宋_GB2312" w:eastAsia="仿宋_GB2312" w:cs="仿宋_GB2312"/>
          <w:color w:val="auto"/>
          <w:sz w:val="32"/>
          <w:szCs w:val="32"/>
          <w:highlight w:val="none"/>
        </w:rPr>
        <w:t xml:space="preserve"> 本办法适用于本市各级市场监督管理部门受理社会公众(以下统称举报人，应当为自然人)举报属于其职责范围内的重大违法行为，经查证属实结案后给予相应奖励的行为。</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本办法所称重大违法行为是指涉嫌犯罪或者依法被处以责令停产停业、责令关闭、吊销(撤销)许可证件、较大数额罚没款等行政处罚的违法行为。较大数额罚没款由天津市市场监督管理委员会商天津市财政局结合实际确定。</w:t>
      </w:r>
    </w:p>
    <w:p>
      <w:pPr>
        <w:spacing w:line="560" w:lineRule="exact"/>
        <w:ind w:firstLine="640" w:firstLineChars="200"/>
        <w:rPr>
          <w:rFonts w:ascii="仿宋_GB2312" w:hAnsi="仿宋_GB2312" w:eastAsia="仿宋_GB2312" w:cs="仿宋_GB2312"/>
          <w:color w:val="auto"/>
          <w:sz w:val="32"/>
          <w:szCs w:val="32"/>
          <w:highlight w:val="none"/>
        </w:rPr>
      </w:pP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 xml:space="preserve">第三条 </w:t>
      </w:r>
      <w:r>
        <w:rPr>
          <w:rFonts w:hint="eastAsia" w:ascii="仿宋_GB2312" w:hAnsi="仿宋_GB2312" w:eastAsia="仿宋_GB2312" w:cs="仿宋_GB2312"/>
          <w:color w:val="auto"/>
          <w:sz w:val="32"/>
          <w:szCs w:val="32"/>
          <w:highlight w:val="none"/>
        </w:rPr>
        <w:t>举报下列重大违法行为，经查证属实结案后，给予相应奖励：</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(一)违反食品、药品、特种设备、工业产品质量安全相关法律法规规定的重大违法行为;</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(二)具有区域性、系统性风险的重大违法行为;</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(三)市场监管领域具有较大社会影响，严重危害人民群众人身、财产安全的重大违法行为;</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(四)涉嫌犯罪移送司法机关被追究刑事责任的违法行为。</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经市场监督管理部门依法认定，需要给予举报奖励的，按照本办法规定执行。</w:t>
      </w:r>
    </w:p>
    <w:p>
      <w:pPr>
        <w:spacing w:line="560" w:lineRule="exact"/>
        <w:ind w:firstLine="640" w:firstLineChars="200"/>
        <w:rPr>
          <w:rFonts w:ascii="仿宋_GB2312" w:hAnsi="仿宋_GB2312" w:eastAsia="仿宋_GB2312" w:cs="仿宋_GB2312"/>
          <w:color w:val="auto"/>
          <w:sz w:val="32"/>
          <w:szCs w:val="32"/>
          <w:highlight w:val="none"/>
        </w:rPr>
      </w:pP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 xml:space="preserve">第四条 </w:t>
      </w:r>
      <w:r>
        <w:rPr>
          <w:rFonts w:hint="eastAsia" w:ascii="仿宋_GB2312" w:hAnsi="仿宋_GB2312" w:eastAsia="仿宋_GB2312" w:cs="仿宋_GB2312"/>
          <w:color w:val="auto"/>
          <w:sz w:val="32"/>
          <w:szCs w:val="32"/>
          <w:highlight w:val="none"/>
        </w:rPr>
        <w:t>举报人可以通过市场监督管理部门公布的接收举报的互联网、电话、电子邮箱、邮寄地址、窗口等渠道，向各级市场监督管理部门举报市场监管领域重大违法行为。</w:t>
      </w:r>
    </w:p>
    <w:p>
      <w:pPr>
        <w:spacing w:line="560" w:lineRule="exact"/>
        <w:ind w:firstLine="640" w:firstLineChars="200"/>
        <w:rPr>
          <w:rFonts w:ascii="仿宋_GB2312" w:hAnsi="仿宋_GB2312" w:eastAsia="仿宋_GB2312" w:cs="仿宋_GB2312"/>
          <w:color w:val="auto"/>
          <w:sz w:val="32"/>
          <w:szCs w:val="32"/>
          <w:highlight w:val="none"/>
        </w:rPr>
      </w:pP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第五条</w:t>
      </w:r>
      <w:r>
        <w:rPr>
          <w:rFonts w:hint="eastAsia" w:ascii="仿宋_GB2312" w:hAnsi="仿宋_GB2312" w:eastAsia="仿宋_GB2312" w:cs="仿宋_GB2312"/>
          <w:color w:val="auto"/>
          <w:sz w:val="32"/>
          <w:szCs w:val="32"/>
          <w:highlight w:val="none"/>
        </w:rPr>
        <w:t xml:space="preserve"> 举报人可以实名或者匿名举报。实名举报应当提供真实身份证明和有效联系方式，匿名举报人有举报奖励诉求的，应当承诺不属于第十</w:t>
      </w:r>
      <w:r>
        <w:rPr>
          <w:rFonts w:hint="eastAsia" w:ascii="仿宋_GB2312" w:hAnsi="仿宋_GB2312" w:eastAsia="仿宋_GB2312" w:cs="仿宋_GB2312"/>
          <w:color w:val="auto"/>
          <w:sz w:val="32"/>
          <w:szCs w:val="32"/>
          <w:highlight w:val="none"/>
          <w:lang w:eastAsia="zh-CN"/>
        </w:rPr>
        <w:t>二</w:t>
      </w:r>
      <w:r>
        <w:rPr>
          <w:rFonts w:hint="eastAsia" w:ascii="仿宋_GB2312" w:hAnsi="仿宋_GB2312" w:eastAsia="仿宋_GB2312" w:cs="仿宋_GB2312"/>
          <w:color w:val="auto"/>
          <w:sz w:val="32"/>
          <w:szCs w:val="32"/>
          <w:highlight w:val="none"/>
        </w:rPr>
        <w:t>条规定的情形，提供能够辨别其举报身份的信息作为身份代码，并与市场监督管理部门专人约定举报密码、举报处理结果和奖励权利的告知方式。</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sz w:val="32"/>
          <w:szCs w:val="32"/>
          <w:highlight w:val="none"/>
        </w:rPr>
        <w:t>匿名举报人接到奖励领取告知，并决定领取奖励的，应当主动提供身份代码、举报密码等信息，便于市场监督管理部门验明身份。</w:t>
      </w:r>
    </w:p>
    <w:p>
      <w:pPr>
        <w:spacing w:line="560" w:lineRule="exact"/>
        <w:ind w:firstLine="640" w:firstLineChars="200"/>
        <w:rPr>
          <w:rFonts w:ascii="仿宋_GB2312" w:hAnsi="仿宋_GB2312" w:eastAsia="仿宋_GB2312" w:cs="仿宋_GB2312"/>
          <w:color w:val="auto"/>
          <w:sz w:val="32"/>
          <w:szCs w:val="32"/>
          <w:highlight w:val="none"/>
        </w:rPr>
      </w:pP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 xml:space="preserve">第六条 </w:t>
      </w:r>
      <w:r>
        <w:rPr>
          <w:rFonts w:hint="eastAsia" w:ascii="仿宋_GB2312" w:hAnsi="仿宋_GB2312" w:eastAsia="仿宋_GB2312" w:cs="仿宋_GB2312"/>
          <w:color w:val="auto"/>
          <w:sz w:val="32"/>
          <w:szCs w:val="32"/>
          <w:highlight w:val="none"/>
        </w:rPr>
        <w:t>市场监管领域重大违法行为举报奖励资金纳入市区两级政府预算，并接受财政、审计部门的监督。</w:t>
      </w:r>
    </w:p>
    <w:p>
      <w:pPr>
        <w:spacing w:line="560" w:lineRule="exact"/>
        <w:ind w:firstLine="640" w:firstLineChars="200"/>
        <w:rPr>
          <w:rFonts w:ascii="仿宋_GB2312" w:hAnsi="仿宋_GB2312" w:eastAsia="仿宋_GB2312" w:cs="仿宋_GB2312"/>
          <w:color w:val="auto"/>
          <w:sz w:val="32"/>
          <w:szCs w:val="32"/>
          <w:highlight w:val="none"/>
        </w:rPr>
      </w:pPr>
    </w:p>
    <w:p>
      <w:pPr>
        <w:spacing w:line="560" w:lineRule="exact"/>
        <w:jc w:val="center"/>
        <w:rPr>
          <w:rFonts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第二章  职责分工</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第七条 </w:t>
      </w:r>
      <w:r>
        <w:rPr>
          <w:rFonts w:hint="eastAsia" w:ascii="仿宋_GB2312" w:hAnsi="仿宋_GB2312" w:eastAsia="仿宋_GB2312" w:cs="仿宋_GB2312"/>
          <w:color w:val="auto"/>
          <w:sz w:val="32"/>
          <w:szCs w:val="32"/>
          <w:highlight w:val="none"/>
        </w:rPr>
        <w:t> 天津市市场监督管理委员会会同天津市财政局制定全市市场监管领域重大违法行为举报奖励的政策。</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各级市场监督管理部门</w:t>
      </w:r>
      <w:r>
        <w:rPr>
          <w:rFonts w:hint="eastAsia" w:ascii="仿宋_GB2312" w:hAnsi="仿宋_GB2312" w:eastAsia="仿宋_GB2312" w:cs="仿宋_GB2312"/>
          <w:sz w:val="32"/>
          <w:szCs w:val="32"/>
          <w:highlight w:val="none"/>
        </w:rPr>
        <w:t>做好举报奖励资金的计算、核审、发放工作。</w:t>
      </w:r>
    </w:p>
    <w:p>
      <w:pPr>
        <w:spacing w:line="560" w:lineRule="exact"/>
        <w:ind w:firstLine="640" w:firstLineChars="200"/>
        <w:rPr>
          <w:rFonts w:hint="eastAsia" w:ascii="仿宋_GB2312" w:hAnsi="仿宋_GB2312" w:eastAsia="仿宋_GB2312" w:cs="仿宋_GB2312"/>
          <w:sz w:val="32"/>
          <w:szCs w:val="32"/>
          <w:highlight w:val="none"/>
        </w:rPr>
      </w:pP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第八条</w:t>
      </w:r>
      <w:r>
        <w:rPr>
          <w:rFonts w:hint="eastAsia" w:ascii="仿宋_GB2312" w:hAnsi="仿宋_GB2312" w:eastAsia="仿宋_GB2312" w:cs="仿宋_GB2312"/>
          <w:color w:val="auto"/>
          <w:sz w:val="32"/>
          <w:szCs w:val="32"/>
          <w:highlight w:val="none"/>
        </w:rPr>
        <w:t>  天津市市场监督管理委员会负责协调指导全市各级市场监督管理部门受理的市场监管领域重大违法行为举报奖励的实施，同时负责市级市场监管领域重大违法行为举报奖励权利告知、申请受理、标准认定、决定告知和发放等工作。</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天津市财政局负责市级市场监管领域重大违法行为举报奖励资金预算安排、资金拨付和对市级奖励资金使用情况进行监督检查。</w:t>
      </w:r>
    </w:p>
    <w:p>
      <w:pPr>
        <w:spacing w:line="560" w:lineRule="exact"/>
        <w:ind w:firstLine="640" w:firstLineChars="200"/>
        <w:rPr>
          <w:rFonts w:ascii="仿宋_GB2312" w:hAnsi="仿宋_GB2312" w:eastAsia="仿宋_GB2312" w:cs="仿宋_GB2312"/>
          <w:color w:val="auto"/>
          <w:sz w:val="32"/>
          <w:szCs w:val="32"/>
          <w:highlight w:val="none"/>
        </w:rPr>
      </w:pP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九</w:t>
      </w:r>
      <w:r>
        <w:rPr>
          <w:rFonts w:hint="eastAsia" w:ascii="黑体" w:hAnsi="黑体" w:eastAsia="黑体" w:cs="黑体"/>
          <w:color w:val="auto"/>
          <w:sz w:val="32"/>
          <w:szCs w:val="32"/>
          <w:highlight w:val="none"/>
        </w:rPr>
        <w:t>条</w:t>
      </w:r>
      <w:r>
        <w:rPr>
          <w:rFonts w:hint="eastAsia" w:ascii="仿宋_GB2312" w:hAnsi="仿宋_GB2312" w:eastAsia="仿宋_GB2312" w:cs="仿宋_GB2312"/>
          <w:color w:val="auto"/>
          <w:sz w:val="32"/>
          <w:szCs w:val="32"/>
          <w:highlight w:val="none"/>
        </w:rPr>
        <w:t>  负责举报调查办理、作出最终处理决定的市场监督管理部门为举报奖励实施部门，负责奖励权利告知、申请受理、标准认定、决定告知和发放等工作。</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一</w:t>
      </w:r>
      <w:r>
        <w:rPr>
          <w:rFonts w:hint="eastAsia" w:ascii="仿宋_GB2312" w:hAnsi="仿宋_GB2312" w:eastAsia="仿宋_GB2312" w:cs="仿宋_GB2312"/>
          <w:color w:val="auto"/>
          <w:sz w:val="32"/>
          <w:szCs w:val="32"/>
          <w:highlight w:val="none"/>
        </w:rPr>
        <w:t>）被举报的市场监管领域重大违法行为涉嫌构成刑事犯罪的，依法移送司法机关且追究刑事责任后，原移送部门应当按照本办法规定对查证部分进行奖励。</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二</w:t>
      </w:r>
      <w:r>
        <w:rPr>
          <w:rFonts w:hint="eastAsia" w:ascii="仿宋_GB2312" w:hAnsi="仿宋_GB2312" w:eastAsia="仿宋_GB2312" w:cs="仿宋_GB2312"/>
          <w:color w:val="auto"/>
          <w:sz w:val="32"/>
          <w:szCs w:val="32"/>
          <w:highlight w:val="none"/>
        </w:rPr>
        <w:t>）市级市场监督管理部门受理的跨地区的举报，最终由两个或者两个以上区级市场监督管理部门分别调查处理的，负责调查处理的市场监管部门分别就本行政区域的举报查实部分进行奖励。</w:t>
      </w:r>
    </w:p>
    <w:p>
      <w:pPr>
        <w:spacing w:line="560" w:lineRule="exact"/>
        <w:ind w:firstLine="640" w:firstLineChars="200"/>
        <w:rPr>
          <w:rFonts w:ascii="仿宋_GB2312" w:hAnsi="仿宋_GB2312" w:eastAsia="仿宋_GB2312" w:cs="仿宋_GB2312"/>
          <w:color w:val="auto"/>
          <w:sz w:val="32"/>
          <w:szCs w:val="32"/>
          <w:highlight w:val="none"/>
        </w:rPr>
      </w:pPr>
    </w:p>
    <w:p>
      <w:pPr>
        <w:spacing w:line="560" w:lineRule="exact"/>
        <w:jc w:val="center"/>
        <w:rPr>
          <w:rFonts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第三章 奖励条件</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第十条</w:t>
      </w:r>
      <w:r>
        <w:rPr>
          <w:rFonts w:hint="eastAsia" w:ascii="仿宋_GB2312" w:hAnsi="仿宋_GB2312" w:eastAsia="仿宋_GB2312" w:cs="仿宋_GB2312"/>
          <w:color w:val="auto"/>
          <w:sz w:val="32"/>
          <w:szCs w:val="32"/>
          <w:highlight w:val="none"/>
        </w:rPr>
        <w:t xml:space="preserve"> 获得举报奖励应当同时符合下列条件：</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(一)有明确的被举报对象和具体违法事实或者违法犯罪线索，并提供了关键证据;</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(二)举报内容事先未被市场监督管理部门掌握;</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(三)举报内容经市场监督管理部门查处结案并被行政处罚，或者依法移送司法机关被追究刑事责任。</w:t>
      </w:r>
    </w:p>
    <w:p>
      <w:pPr>
        <w:spacing w:line="560" w:lineRule="exact"/>
        <w:ind w:firstLine="640" w:firstLineChars="200"/>
        <w:rPr>
          <w:rFonts w:ascii="仿宋_GB2312" w:hAnsi="仿宋_GB2312" w:eastAsia="仿宋_GB2312" w:cs="仿宋_GB2312"/>
          <w:color w:val="auto"/>
          <w:sz w:val="32"/>
          <w:szCs w:val="32"/>
          <w:highlight w:val="none"/>
        </w:rPr>
      </w:pP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第十</w:t>
      </w:r>
      <w:r>
        <w:rPr>
          <w:rFonts w:hint="eastAsia" w:ascii="黑体" w:hAnsi="黑体" w:eastAsia="黑体" w:cs="黑体"/>
          <w:color w:val="auto"/>
          <w:sz w:val="32"/>
          <w:szCs w:val="32"/>
          <w:highlight w:val="none"/>
          <w:lang w:eastAsia="zh-CN"/>
        </w:rPr>
        <w:t>一</w:t>
      </w:r>
      <w:r>
        <w:rPr>
          <w:rFonts w:hint="eastAsia" w:ascii="黑体" w:hAnsi="黑体" w:eastAsia="黑体" w:cs="黑体"/>
          <w:color w:val="auto"/>
          <w:sz w:val="32"/>
          <w:szCs w:val="32"/>
          <w:highlight w:val="none"/>
        </w:rPr>
        <w:t>条</w:t>
      </w:r>
      <w:r>
        <w:rPr>
          <w:rFonts w:hint="eastAsia" w:ascii="仿宋_GB2312" w:hAnsi="仿宋_GB2312" w:eastAsia="仿宋_GB2312" w:cs="仿宋_GB2312"/>
          <w:color w:val="auto"/>
          <w:sz w:val="32"/>
          <w:szCs w:val="32"/>
          <w:highlight w:val="none"/>
        </w:rPr>
        <w:t xml:space="preserve"> 举报奖励的实施应当遵循以下原则：</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(一)同一案件由两个及以上举报人分别以同一线索举报的，奖励第一时间举报人;</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(二)两个及以上举报人联名举报同一案件的，按同一案件进行举报奖励分配;</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(三)举报人举报同一事项，不重复奖励;同一案件由两个及以上举报人分别举报的，奖励总金额不得超过第十</w:t>
      </w:r>
      <w:r>
        <w:rPr>
          <w:rFonts w:hint="eastAsia" w:ascii="仿宋_GB2312" w:hAnsi="仿宋_GB2312" w:eastAsia="仿宋_GB2312" w:cs="仿宋_GB2312"/>
          <w:color w:val="auto"/>
          <w:sz w:val="32"/>
          <w:szCs w:val="32"/>
          <w:highlight w:val="none"/>
          <w:lang w:eastAsia="zh-CN"/>
        </w:rPr>
        <w:t>四</w:t>
      </w:r>
      <w:r>
        <w:rPr>
          <w:rFonts w:hint="eastAsia" w:ascii="仿宋_GB2312" w:hAnsi="仿宋_GB2312" w:eastAsia="仿宋_GB2312" w:cs="仿宋_GB2312"/>
          <w:color w:val="auto"/>
          <w:sz w:val="32"/>
          <w:szCs w:val="32"/>
          <w:highlight w:val="none"/>
        </w:rPr>
        <w:t>条规定的对应奖励等级中最高标准;</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最终认定的违法事实与举报事项完全不一致的，不予奖励；最终认定的违法事实与举报事项部分一致的，只计算相一致部分的奖励金额;除举报事项外，还认定其他违法事实的，其他违法事实部分不计算奖励金额;</w:t>
      </w:r>
    </w:p>
    <w:p>
      <w:pPr>
        <w:spacing w:line="560" w:lineRule="exact"/>
        <w:ind w:firstLine="640" w:firstLineChars="200"/>
        <w:rPr>
          <w:rFonts w:ascii="仿宋_GB2312" w:hAnsi="仿宋_GB2312" w:eastAsia="仿宋_GB2312" w:cs="仿宋_GB2312"/>
          <w:color w:val="auto"/>
          <w:sz w:val="32"/>
          <w:szCs w:val="32"/>
          <w:highlight w:val="none"/>
        </w:rPr>
      </w:pP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第十</w:t>
      </w:r>
      <w:r>
        <w:rPr>
          <w:rFonts w:hint="eastAsia" w:ascii="黑体" w:hAnsi="黑体" w:eastAsia="黑体" w:cs="黑体"/>
          <w:color w:val="auto"/>
          <w:sz w:val="32"/>
          <w:szCs w:val="32"/>
          <w:highlight w:val="none"/>
          <w:lang w:eastAsia="zh-CN"/>
        </w:rPr>
        <w:t>二</w:t>
      </w:r>
      <w:r>
        <w:rPr>
          <w:rFonts w:hint="eastAsia" w:ascii="黑体" w:hAnsi="黑体" w:eastAsia="黑体" w:cs="黑体"/>
          <w:color w:val="auto"/>
          <w:sz w:val="32"/>
          <w:szCs w:val="32"/>
          <w:highlight w:val="none"/>
        </w:rPr>
        <w:t>条</w:t>
      </w:r>
      <w:r>
        <w:rPr>
          <w:rFonts w:hint="eastAsia" w:ascii="仿宋_GB2312" w:hAnsi="仿宋_GB2312" w:eastAsia="仿宋_GB2312" w:cs="仿宋_GB2312"/>
          <w:color w:val="auto"/>
          <w:sz w:val="32"/>
          <w:szCs w:val="32"/>
          <w:highlight w:val="none"/>
        </w:rPr>
        <w:t xml:space="preserve"> 有下列情形之一的，不予奖励：</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(一)市场监督管理部门工作人员或者具有法定监督、报告义务人员的举报;</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(二)侵权行为的被侵权方及其委托代理人或者利害关系人的举报;</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(三)实施违法行为人的举报(内部举报人除外);</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(四)有任何证据证明举报人因举报行为获得其他市场主体给予的任何形式的报酬、奖励的;</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五</w:t>
      </w:r>
      <w:r>
        <w:rPr>
          <w:rFonts w:hint="eastAsia" w:ascii="仿宋_GB2312" w:hAnsi="仿宋_GB2312" w:eastAsia="仿宋_GB2312" w:cs="仿宋_GB2312"/>
          <w:color w:val="auto"/>
          <w:sz w:val="32"/>
          <w:szCs w:val="32"/>
          <w:highlight w:val="none"/>
        </w:rPr>
        <w:t>)其他不符合法律、法规规定的奖励情形。</w:t>
      </w:r>
    </w:p>
    <w:p>
      <w:pPr>
        <w:spacing w:line="560" w:lineRule="exact"/>
        <w:ind w:firstLine="640" w:firstLineChars="200"/>
        <w:rPr>
          <w:rFonts w:ascii="仿宋_GB2312" w:hAnsi="仿宋_GB2312" w:eastAsia="仿宋_GB2312" w:cs="仿宋_GB2312"/>
          <w:color w:val="auto"/>
          <w:sz w:val="32"/>
          <w:szCs w:val="32"/>
          <w:highlight w:val="none"/>
        </w:rPr>
      </w:pPr>
    </w:p>
    <w:p>
      <w:pPr>
        <w:spacing w:line="560" w:lineRule="exact"/>
        <w:jc w:val="center"/>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第四章 奖励标准</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第十</w:t>
      </w:r>
      <w:r>
        <w:rPr>
          <w:rFonts w:hint="eastAsia" w:ascii="黑体" w:hAnsi="黑体" w:eastAsia="黑体" w:cs="黑体"/>
          <w:color w:val="auto"/>
          <w:sz w:val="32"/>
          <w:szCs w:val="32"/>
          <w:highlight w:val="none"/>
          <w:lang w:eastAsia="zh-CN"/>
        </w:rPr>
        <w:t>三</w:t>
      </w:r>
      <w:r>
        <w:rPr>
          <w:rFonts w:hint="eastAsia" w:ascii="黑体" w:hAnsi="黑体" w:eastAsia="黑体" w:cs="黑体"/>
          <w:color w:val="auto"/>
          <w:sz w:val="32"/>
          <w:szCs w:val="32"/>
          <w:highlight w:val="none"/>
        </w:rPr>
        <w:t>条</w:t>
      </w:r>
      <w:r>
        <w:rPr>
          <w:rFonts w:hint="eastAsia" w:ascii="仿宋_GB2312" w:hAnsi="仿宋_GB2312" w:eastAsia="仿宋_GB2312" w:cs="仿宋_GB2312"/>
          <w:color w:val="auto"/>
          <w:sz w:val="32"/>
          <w:szCs w:val="32"/>
          <w:highlight w:val="none"/>
        </w:rPr>
        <w:t xml:space="preserve"> 举报奖励分为三个等级：</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(一)一级举报奖励。该等级认定标准是提供被举报方的详细违法事实及直接证据，举报内容与违法事实完全相符，举报事项经查证属于特别重大违法行为或者涉嫌犯罪;</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(二)二级举报奖励。该等级认定标准是提供被举报方的违法事实及直接证据，举报内容与违法事实完全相符;</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(三)三级举报奖励。该等级认定标准是提供被举报方的基本违法事实及相关证据，举报内容与违法事实基本相符。</w:t>
      </w:r>
    </w:p>
    <w:p>
      <w:pPr>
        <w:spacing w:line="560" w:lineRule="exact"/>
        <w:ind w:firstLine="640" w:firstLineChars="200"/>
        <w:rPr>
          <w:rFonts w:ascii="仿宋_GB2312" w:hAnsi="仿宋_GB2312" w:eastAsia="仿宋_GB2312" w:cs="仿宋_GB2312"/>
          <w:color w:val="auto"/>
          <w:sz w:val="32"/>
          <w:szCs w:val="32"/>
          <w:highlight w:val="none"/>
        </w:rPr>
      </w:pP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第十</w:t>
      </w:r>
      <w:r>
        <w:rPr>
          <w:rFonts w:hint="eastAsia" w:ascii="黑体" w:hAnsi="黑体" w:eastAsia="黑体" w:cs="黑体"/>
          <w:color w:val="auto"/>
          <w:sz w:val="32"/>
          <w:szCs w:val="32"/>
          <w:highlight w:val="none"/>
          <w:lang w:eastAsia="zh-CN"/>
        </w:rPr>
        <w:t>四</w:t>
      </w:r>
      <w:r>
        <w:rPr>
          <w:rFonts w:hint="eastAsia" w:ascii="黑体" w:hAnsi="黑体" w:eastAsia="黑体" w:cs="黑体"/>
          <w:color w:val="auto"/>
          <w:sz w:val="32"/>
          <w:szCs w:val="32"/>
          <w:highlight w:val="none"/>
        </w:rPr>
        <w:t>条</w:t>
      </w:r>
      <w:r>
        <w:rPr>
          <w:rFonts w:hint="eastAsia" w:ascii="仿宋_GB2312" w:hAnsi="仿宋_GB2312" w:eastAsia="仿宋_GB2312" w:cs="仿宋_GB2312"/>
          <w:color w:val="auto"/>
          <w:sz w:val="32"/>
          <w:szCs w:val="32"/>
          <w:highlight w:val="none"/>
        </w:rPr>
        <w:t xml:space="preserve"> 对于有罚没款的案件，市场监督管理部门按照下列标准计算奖励金额，并综合考虑涉案货值、社会影响程度等因素，确定最终奖励金额：</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(一)属于一级举报奖励的，按罚没款的5%给予奖励。按此计算不足5000元的，给予5000元奖励;</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(二)属于二级举报奖励的，按罚没款的3%给予奖励。按此计算不足3000元的，给予3000元奖励;</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(三)属于三级举报奖励的，按罚没款的1%给予奖励。按此计算不足1000元的，给予1000元奖励。</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无罚没款的案件，一级举报奖励至三级举报奖励的奖励金额应当分别不低于5000元、3000元、1000元。</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违法主体内部人员举报的，在征得本级政府财政部门同意的情况下，适当提高前款规定的奖励标准。</w:t>
      </w:r>
    </w:p>
    <w:p>
      <w:pPr>
        <w:spacing w:line="560" w:lineRule="exact"/>
        <w:ind w:firstLine="640" w:firstLineChars="200"/>
        <w:rPr>
          <w:rFonts w:ascii="仿宋_GB2312" w:hAnsi="仿宋_GB2312" w:eastAsia="仿宋_GB2312" w:cs="仿宋_GB2312"/>
          <w:color w:val="auto"/>
          <w:sz w:val="32"/>
          <w:szCs w:val="32"/>
          <w:highlight w:val="none"/>
        </w:rPr>
      </w:pP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第十</w:t>
      </w:r>
      <w:r>
        <w:rPr>
          <w:rFonts w:hint="eastAsia" w:ascii="黑体" w:hAnsi="黑体" w:eastAsia="黑体" w:cs="黑体"/>
          <w:color w:val="auto"/>
          <w:sz w:val="32"/>
          <w:szCs w:val="32"/>
          <w:highlight w:val="none"/>
          <w:lang w:eastAsia="zh-CN"/>
        </w:rPr>
        <w:t>五</w:t>
      </w:r>
      <w:r>
        <w:rPr>
          <w:rFonts w:hint="eastAsia" w:ascii="黑体" w:hAnsi="黑体" w:eastAsia="黑体" w:cs="黑体"/>
          <w:color w:val="auto"/>
          <w:sz w:val="32"/>
          <w:szCs w:val="32"/>
          <w:highlight w:val="none"/>
        </w:rPr>
        <w:t>条</w:t>
      </w:r>
      <w:r>
        <w:rPr>
          <w:rFonts w:hint="eastAsia" w:ascii="仿宋_GB2312" w:hAnsi="仿宋_GB2312" w:eastAsia="仿宋_GB2312" w:cs="仿宋_GB2312"/>
          <w:color w:val="auto"/>
          <w:sz w:val="32"/>
          <w:szCs w:val="32"/>
          <w:highlight w:val="none"/>
        </w:rPr>
        <w:t xml:space="preserve"> 每起案件的举报奖励金额上限为100万元，根据本办法第十</w:t>
      </w:r>
      <w:r>
        <w:rPr>
          <w:rFonts w:hint="eastAsia" w:ascii="仿宋_GB2312" w:hAnsi="仿宋_GB2312" w:eastAsia="仿宋_GB2312" w:cs="仿宋_GB2312"/>
          <w:color w:val="auto"/>
          <w:sz w:val="32"/>
          <w:szCs w:val="32"/>
          <w:highlight w:val="none"/>
          <w:lang w:eastAsia="zh-CN"/>
        </w:rPr>
        <w:t>四</w:t>
      </w:r>
      <w:r>
        <w:rPr>
          <w:rFonts w:hint="eastAsia" w:ascii="仿宋_GB2312" w:hAnsi="仿宋_GB2312" w:eastAsia="仿宋_GB2312" w:cs="仿宋_GB2312"/>
          <w:color w:val="auto"/>
          <w:sz w:val="32"/>
          <w:szCs w:val="32"/>
          <w:highlight w:val="none"/>
        </w:rPr>
        <w:t>条规定确定的奖励金额不得突破该上限。单笔奖励金额达到50万元以上(含50万元)的，由发放举报奖励资金的市场监督管理部门商本级政府财政部门确定。</w:t>
      </w:r>
    </w:p>
    <w:p>
      <w:pPr>
        <w:spacing w:line="560" w:lineRule="exact"/>
        <w:ind w:firstLine="640" w:firstLineChars="200"/>
        <w:rPr>
          <w:rFonts w:ascii="仿宋_GB2312" w:hAnsi="仿宋_GB2312" w:eastAsia="仿宋_GB2312" w:cs="仿宋_GB2312"/>
          <w:color w:val="auto"/>
          <w:sz w:val="32"/>
          <w:szCs w:val="32"/>
          <w:highlight w:val="none"/>
        </w:rPr>
      </w:pP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第十</w:t>
      </w:r>
      <w:r>
        <w:rPr>
          <w:rFonts w:hint="eastAsia" w:ascii="黑体" w:hAnsi="黑体" w:eastAsia="黑体" w:cs="黑体"/>
          <w:color w:val="auto"/>
          <w:sz w:val="32"/>
          <w:szCs w:val="32"/>
          <w:highlight w:val="none"/>
          <w:lang w:eastAsia="zh-CN"/>
        </w:rPr>
        <w:t>六</w:t>
      </w:r>
      <w:r>
        <w:rPr>
          <w:rFonts w:hint="eastAsia" w:ascii="黑体" w:hAnsi="黑体" w:eastAsia="黑体" w:cs="黑体"/>
          <w:color w:val="auto"/>
          <w:sz w:val="32"/>
          <w:szCs w:val="32"/>
          <w:highlight w:val="none"/>
        </w:rPr>
        <w:t>条</w:t>
      </w:r>
      <w:r>
        <w:rPr>
          <w:rFonts w:hint="eastAsia" w:ascii="仿宋_GB2312" w:hAnsi="仿宋_GB2312" w:eastAsia="仿宋_GB2312" w:cs="仿宋_GB2312"/>
          <w:color w:val="auto"/>
          <w:sz w:val="32"/>
          <w:szCs w:val="32"/>
          <w:highlight w:val="none"/>
        </w:rPr>
        <w:t xml:space="preserve"> 市场监督管理部门已经实施行政处罚或者未实施行政处罚移送司法机关追究刑事责任的，分别不同情况依据本办法第十</w:t>
      </w:r>
      <w:r>
        <w:rPr>
          <w:rFonts w:hint="eastAsia" w:ascii="仿宋_GB2312" w:hAnsi="仿宋_GB2312" w:eastAsia="仿宋_GB2312" w:cs="仿宋_GB2312"/>
          <w:color w:val="auto"/>
          <w:sz w:val="32"/>
          <w:szCs w:val="32"/>
          <w:highlight w:val="none"/>
          <w:lang w:eastAsia="zh-CN"/>
        </w:rPr>
        <w:t>四</w:t>
      </w:r>
      <w:r>
        <w:rPr>
          <w:rFonts w:hint="eastAsia" w:ascii="仿宋_GB2312" w:hAnsi="仿宋_GB2312" w:eastAsia="仿宋_GB2312" w:cs="仿宋_GB2312"/>
          <w:color w:val="auto"/>
          <w:sz w:val="32"/>
          <w:szCs w:val="32"/>
          <w:highlight w:val="none"/>
        </w:rPr>
        <w:t>条的规定给予奖励。</w:t>
      </w:r>
    </w:p>
    <w:p>
      <w:pPr>
        <w:spacing w:line="560" w:lineRule="exact"/>
        <w:ind w:firstLine="640" w:firstLineChars="200"/>
        <w:rPr>
          <w:rFonts w:ascii="仿宋_GB2312" w:hAnsi="仿宋_GB2312" w:eastAsia="仿宋_GB2312" w:cs="仿宋_GB2312"/>
          <w:color w:val="auto"/>
          <w:sz w:val="32"/>
          <w:szCs w:val="32"/>
          <w:highlight w:val="none"/>
        </w:rPr>
      </w:pPr>
    </w:p>
    <w:p>
      <w:pPr>
        <w:spacing w:line="560" w:lineRule="exact"/>
        <w:jc w:val="center"/>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第五章 奖励程序</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第十</w:t>
      </w:r>
      <w:r>
        <w:rPr>
          <w:rFonts w:hint="eastAsia" w:ascii="黑体" w:hAnsi="黑体" w:eastAsia="黑体" w:cs="黑体"/>
          <w:color w:val="auto"/>
          <w:sz w:val="32"/>
          <w:szCs w:val="32"/>
          <w:highlight w:val="none"/>
          <w:lang w:eastAsia="zh-CN"/>
        </w:rPr>
        <w:t>七</w:t>
      </w:r>
      <w:r>
        <w:rPr>
          <w:rFonts w:hint="eastAsia" w:ascii="黑体" w:hAnsi="黑体" w:eastAsia="黑体" w:cs="黑体"/>
          <w:color w:val="auto"/>
          <w:sz w:val="32"/>
          <w:szCs w:val="32"/>
          <w:highlight w:val="none"/>
        </w:rPr>
        <w:t>条</w:t>
      </w:r>
      <w:r>
        <w:rPr>
          <w:rFonts w:hint="eastAsia" w:ascii="仿宋_GB2312" w:hAnsi="仿宋_GB2312" w:eastAsia="仿宋_GB2312" w:cs="仿宋_GB2312"/>
          <w:color w:val="auto"/>
          <w:sz w:val="32"/>
          <w:szCs w:val="32"/>
          <w:highlight w:val="none"/>
        </w:rPr>
        <w:t xml:space="preserve"> 负责举报奖励实施的市场监督管理部门在举报查处结案或者移送追究刑事责任后，对于符合本办法规定奖励条件的，应当在15个工作日内告知举报人。举报奖励由举报人申请启动奖励程序。</w:t>
      </w:r>
    </w:p>
    <w:p>
      <w:pPr>
        <w:spacing w:line="560" w:lineRule="exact"/>
        <w:ind w:firstLine="640" w:firstLineChars="200"/>
        <w:rPr>
          <w:rFonts w:ascii="仿宋_GB2312" w:hAnsi="仿宋_GB2312" w:eastAsia="仿宋_GB2312" w:cs="仿宋_GB2312"/>
          <w:color w:val="auto"/>
          <w:sz w:val="32"/>
          <w:szCs w:val="32"/>
          <w:highlight w:val="none"/>
        </w:rPr>
      </w:pP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第十</w:t>
      </w:r>
      <w:r>
        <w:rPr>
          <w:rFonts w:hint="eastAsia" w:ascii="黑体" w:hAnsi="黑体" w:eastAsia="黑体" w:cs="黑体"/>
          <w:color w:val="auto"/>
          <w:sz w:val="32"/>
          <w:szCs w:val="32"/>
          <w:highlight w:val="none"/>
          <w:lang w:eastAsia="zh-CN"/>
        </w:rPr>
        <w:t>八</w:t>
      </w:r>
      <w:r>
        <w:rPr>
          <w:rFonts w:hint="eastAsia" w:ascii="黑体" w:hAnsi="黑体" w:eastAsia="黑体" w:cs="黑体"/>
          <w:color w:val="auto"/>
          <w:sz w:val="32"/>
          <w:szCs w:val="32"/>
          <w:highlight w:val="none"/>
        </w:rPr>
        <w:t>条</w:t>
      </w:r>
      <w:r>
        <w:rPr>
          <w:rFonts w:hint="eastAsia" w:ascii="仿宋_GB2312" w:hAnsi="仿宋_GB2312" w:eastAsia="仿宋_GB2312" w:cs="仿宋_GB2312"/>
          <w:color w:val="auto"/>
          <w:sz w:val="32"/>
          <w:szCs w:val="32"/>
          <w:highlight w:val="none"/>
        </w:rPr>
        <w:t xml:space="preserve"> 举报奖励实施部门应当对举报奖励等级、奖励标准等予以认定，确定奖励金额，并将奖励决定告知举报人。</w:t>
      </w:r>
    </w:p>
    <w:p>
      <w:pPr>
        <w:spacing w:line="560" w:lineRule="exact"/>
        <w:ind w:firstLine="640" w:firstLineChars="200"/>
        <w:rPr>
          <w:rFonts w:ascii="仿宋_GB2312" w:hAnsi="仿宋_GB2312" w:eastAsia="仿宋_GB2312" w:cs="仿宋_GB2312"/>
          <w:color w:val="auto"/>
          <w:sz w:val="32"/>
          <w:szCs w:val="32"/>
          <w:highlight w:val="none"/>
        </w:rPr>
      </w:pP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十九</w:t>
      </w:r>
      <w:r>
        <w:rPr>
          <w:rFonts w:hint="eastAsia" w:ascii="黑体" w:hAnsi="黑体" w:eastAsia="黑体" w:cs="黑体"/>
          <w:color w:val="auto"/>
          <w:sz w:val="32"/>
          <w:szCs w:val="32"/>
          <w:highlight w:val="none"/>
        </w:rPr>
        <w:t>条</w:t>
      </w:r>
      <w:r>
        <w:rPr>
          <w:rFonts w:hint="eastAsia" w:ascii="仿宋_GB2312" w:hAnsi="仿宋_GB2312" w:eastAsia="仿宋_GB2312" w:cs="仿宋_GB2312"/>
          <w:color w:val="auto"/>
          <w:sz w:val="32"/>
          <w:szCs w:val="32"/>
          <w:highlight w:val="none"/>
        </w:rPr>
        <w:t xml:space="preserve"> 奖励资金的支付，按照国库集中支付制度有关规定执行。</w:t>
      </w:r>
    </w:p>
    <w:p>
      <w:pPr>
        <w:spacing w:line="560" w:lineRule="exact"/>
        <w:ind w:firstLine="640" w:firstLineChars="200"/>
        <w:rPr>
          <w:rFonts w:ascii="仿宋_GB2312" w:hAnsi="仿宋_GB2312" w:eastAsia="仿宋_GB2312" w:cs="仿宋_GB2312"/>
          <w:color w:val="auto"/>
          <w:sz w:val="32"/>
          <w:szCs w:val="32"/>
          <w:highlight w:val="none"/>
        </w:rPr>
      </w:pP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第二十条</w:t>
      </w:r>
      <w:r>
        <w:rPr>
          <w:rFonts w:hint="eastAsia" w:ascii="仿宋_GB2312" w:hAnsi="仿宋_GB2312" w:eastAsia="仿宋_GB2312" w:cs="仿宋_GB2312"/>
          <w:color w:val="auto"/>
          <w:sz w:val="32"/>
          <w:szCs w:val="32"/>
          <w:highlight w:val="none"/>
        </w:rPr>
        <w:t xml:space="preserve"> 举报人应当在被告知奖励决定之日起30个工作日内，由本人凭有效身份证明领取奖励。委托他人代领的，受托人须同时持有举报人授权委托书、举报人和受托人的有效身份证明。</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特殊情况可适当延长举报奖励领取期限，最长不得超过10个工作日。举报人无正当理由逾期未领取奖金的，视为主动放弃。</w:t>
      </w:r>
    </w:p>
    <w:p>
      <w:pPr>
        <w:spacing w:line="560" w:lineRule="exact"/>
        <w:ind w:firstLine="640" w:firstLineChars="200"/>
        <w:rPr>
          <w:rFonts w:ascii="仿宋_GB2312" w:hAnsi="仿宋_GB2312" w:eastAsia="仿宋_GB2312" w:cs="仿宋_GB2312"/>
          <w:color w:val="auto"/>
          <w:sz w:val="32"/>
          <w:szCs w:val="32"/>
          <w:highlight w:val="none"/>
        </w:rPr>
      </w:pP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第二十</w:t>
      </w:r>
      <w:r>
        <w:rPr>
          <w:rFonts w:hint="eastAsia" w:ascii="黑体" w:hAnsi="黑体" w:eastAsia="黑体" w:cs="黑体"/>
          <w:color w:val="auto"/>
          <w:sz w:val="32"/>
          <w:szCs w:val="32"/>
          <w:highlight w:val="none"/>
          <w:lang w:eastAsia="zh-CN"/>
        </w:rPr>
        <w:t>一</w:t>
      </w:r>
      <w:r>
        <w:rPr>
          <w:rFonts w:hint="eastAsia" w:ascii="黑体" w:hAnsi="黑体" w:eastAsia="黑体" w:cs="黑体"/>
          <w:color w:val="auto"/>
          <w:sz w:val="32"/>
          <w:szCs w:val="32"/>
          <w:highlight w:val="none"/>
        </w:rPr>
        <w:t>条</w:t>
      </w:r>
      <w:r>
        <w:rPr>
          <w:rFonts w:hint="eastAsia" w:ascii="仿宋_GB2312" w:hAnsi="仿宋_GB2312" w:eastAsia="仿宋_GB2312" w:cs="仿宋_GB2312"/>
          <w:color w:val="auto"/>
          <w:sz w:val="32"/>
          <w:szCs w:val="32"/>
          <w:highlight w:val="none"/>
        </w:rPr>
        <w:t>  举报人无法现场领取奖励且无受托人的，可及时说明情况并提供举报人身份证明、银行账号，由举报奖励部门将奖金汇至指定账户。非现场领取奖励仅限于实名举报人，且提供的账户名应当与举报人姓名一致。</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第二十</w:t>
      </w:r>
      <w:r>
        <w:rPr>
          <w:rFonts w:hint="eastAsia" w:ascii="黑体" w:hAnsi="黑体" w:eastAsia="黑体" w:cs="黑体"/>
          <w:color w:val="auto"/>
          <w:sz w:val="32"/>
          <w:szCs w:val="32"/>
          <w:highlight w:val="none"/>
          <w:lang w:eastAsia="zh-CN"/>
        </w:rPr>
        <w:t>二</w:t>
      </w:r>
      <w:r>
        <w:rPr>
          <w:rFonts w:hint="eastAsia" w:ascii="黑体" w:hAnsi="黑体" w:eastAsia="黑体" w:cs="黑体"/>
          <w:color w:val="auto"/>
          <w:sz w:val="32"/>
          <w:szCs w:val="32"/>
          <w:highlight w:val="none"/>
        </w:rPr>
        <w:t>条</w:t>
      </w:r>
      <w:r>
        <w:rPr>
          <w:rFonts w:hint="eastAsia" w:ascii="仿宋_GB2312" w:hAnsi="仿宋_GB2312" w:eastAsia="仿宋_GB2312" w:cs="仿宋_GB2312"/>
          <w:color w:val="auto"/>
          <w:sz w:val="32"/>
          <w:szCs w:val="32"/>
          <w:highlight w:val="none"/>
        </w:rPr>
        <w:t xml:space="preserve"> 举报人对奖励金额有异议的，可以在奖励决定告知之日起10个工作日内，向实施举报奖励的市场监督管理部门提出复核申请。</w:t>
      </w:r>
    </w:p>
    <w:p>
      <w:pPr>
        <w:spacing w:line="560" w:lineRule="exact"/>
        <w:ind w:firstLine="640" w:firstLineChars="200"/>
        <w:rPr>
          <w:rFonts w:ascii="仿宋_GB2312" w:hAnsi="仿宋_GB2312" w:eastAsia="仿宋_GB2312" w:cs="仿宋_GB2312"/>
          <w:color w:val="auto"/>
          <w:sz w:val="32"/>
          <w:szCs w:val="32"/>
          <w:highlight w:val="none"/>
        </w:rPr>
      </w:pPr>
    </w:p>
    <w:p>
      <w:pPr>
        <w:spacing w:line="560" w:lineRule="exact"/>
        <w:jc w:val="center"/>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第六章 监督管理</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第二十</w:t>
      </w:r>
      <w:r>
        <w:rPr>
          <w:rFonts w:hint="eastAsia" w:ascii="黑体" w:hAnsi="黑体" w:eastAsia="黑体" w:cs="黑体"/>
          <w:color w:val="auto"/>
          <w:sz w:val="32"/>
          <w:szCs w:val="32"/>
          <w:highlight w:val="none"/>
          <w:lang w:eastAsia="zh-CN"/>
        </w:rPr>
        <w:t>三</w:t>
      </w:r>
      <w:r>
        <w:rPr>
          <w:rFonts w:hint="eastAsia" w:ascii="黑体" w:hAnsi="黑体" w:eastAsia="黑体" w:cs="黑体"/>
          <w:color w:val="auto"/>
          <w:sz w:val="32"/>
          <w:szCs w:val="32"/>
          <w:highlight w:val="none"/>
        </w:rPr>
        <w:t>条</w:t>
      </w:r>
      <w:r>
        <w:rPr>
          <w:rFonts w:hint="eastAsia" w:ascii="仿宋_GB2312" w:hAnsi="仿宋_GB2312" w:eastAsia="仿宋_GB2312" w:cs="仿宋_GB2312"/>
          <w:color w:val="auto"/>
          <w:sz w:val="32"/>
          <w:szCs w:val="32"/>
          <w:highlight w:val="none"/>
        </w:rPr>
        <w:t xml:space="preserve"> 市场监督管理部门应当加强对奖励资金的申报和发放管理，建立健全举报奖励责任制度，严肃财经纪律。设立举报档案，做好汇总统计工作。</w:t>
      </w:r>
    </w:p>
    <w:p>
      <w:pPr>
        <w:spacing w:line="560" w:lineRule="exact"/>
        <w:ind w:firstLine="640" w:firstLineChars="200"/>
        <w:rPr>
          <w:rFonts w:ascii="仿宋_GB2312" w:hAnsi="仿宋_GB2312" w:eastAsia="仿宋_GB2312" w:cs="仿宋_GB2312"/>
          <w:color w:val="auto"/>
          <w:sz w:val="32"/>
          <w:szCs w:val="32"/>
          <w:highlight w:val="none"/>
        </w:rPr>
      </w:pP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第二十</w:t>
      </w:r>
      <w:r>
        <w:rPr>
          <w:rFonts w:hint="eastAsia" w:ascii="黑体" w:hAnsi="黑体" w:eastAsia="黑体" w:cs="黑体"/>
          <w:color w:val="auto"/>
          <w:sz w:val="32"/>
          <w:szCs w:val="32"/>
          <w:highlight w:val="none"/>
          <w:lang w:eastAsia="zh-CN"/>
        </w:rPr>
        <w:t>四</w:t>
      </w:r>
      <w:r>
        <w:rPr>
          <w:rFonts w:hint="eastAsia" w:ascii="黑体" w:hAnsi="黑体" w:eastAsia="黑体" w:cs="黑体"/>
          <w:color w:val="auto"/>
          <w:sz w:val="32"/>
          <w:szCs w:val="32"/>
          <w:highlight w:val="none"/>
        </w:rPr>
        <w:t>条</w:t>
      </w:r>
      <w:r>
        <w:rPr>
          <w:rFonts w:hint="eastAsia" w:ascii="仿宋_GB2312" w:hAnsi="仿宋_GB2312" w:eastAsia="仿宋_GB2312" w:cs="仿宋_GB2312"/>
          <w:color w:val="auto"/>
          <w:sz w:val="32"/>
          <w:szCs w:val="32"/>
          <w:highlight w:val="none"/>
        </w:rPr>
        <w:t xml:space="preserve"> 市场监督管理部门应当依法保护举报人的合法权益，严格为举报人保密，不得泄露举报人的相关信息。</w:t>
      </w:r>
    </w:p>
    <w:p>
      <w:pPr>
        <w:spacing w:line="560" w:lineRule="exact"/>
        <w:ind w:firstLine="640" w:firstLineChars="200"/>
        <w:rPr>
          <w:rFonts w:ascii="仿宋_GB2312" w:hAnsi="仿宋_GB2312" w:eastAsia="仿宋_GB2312" w:cs="仿宋_GB2312"/>
          <w:color w:val="auto"/>
          <w:sz w:val="32"/>
          <w:szCs w:val="32"/>
          <w:highlight w:val="none"/>
        </w:rPr>
      </w:pP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第二十</w:t>
      </w:r>
      <w:r>
        <w:rPr>
          <w:rFonts w:hint="eastAsia" w:ascii="黑体" w:hAnsi="黑体" w:eastAsia="黑体" w:cs="黑体"/>
          <w:color w:val="auto"/>
          <w:sz w:val="32"/>
          <w:szCs w:val="32"/>
          <w:highlight w:val="none"/>
          <w:lang w:eastAsia="zh-CN"/>
        </w:rPr>
        <w:t>五</w:t>
      </w:r>
      <w:r>
        <w:rPr>
          <w:rFonts w:hint="eastAsia" w:ascii="黑体" w:hAnsi="黑体" w:eastAsia="黑体" w:cs="黑体"/>
          <w:color w:val="auto"/>
          <w:sz w:val="32"/>
          <w:szCs w:val="32"/>
          <w:highlight w:val="none"/>
        </w:rPr>
        <w:t>条</w:t>
      </w:r>
      <w:r>
        <w:rPr>
          <w:rFonts w:hint="eastAsia" w:ascii="仿宋_GB2312" w:hAnsi="仿宋_GB2312" w:eastAsia="仿宋_GB2312" w:cs="仿宋_GB2312"/>
          <w:color w:val="auto"/>
          <w:sz w:val="32"/>
          <w:szCs w:val="32"/>
          <w:highlight w:val="none"/>
        </w:rPr>
        <w:t xml:space="preserve"> 市场监督管理部门工作人员在实施举报奖励过程中，有下列情形的，视情节轻重给予政务处分;涉嫌犯罪的，依法追究刑事责任：</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(一)伪造或者教唆、伙同他人伪造举报材料，冒领举报奖励资金的;</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(二)泄露举报人信息的;</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(三)向被举报人通风报信，帮助其逃避查处的;</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(四)其他应当依法承担法律责任的行为。</w:t>
      </w:r>
    </w:p>
    <w:p>
      <w:pPr>
        <w:spacing w:line="560" w:lineRule="exact"/>
        <w:ind w:firstLine="640" w:firstLineChars="200"/>
        <w:rPr>
          <w:rFonts w:ascii="仿宋_GB2312" w:hAnsi="仿宋_GB2312" w:eastAsia="仿宋_GB2312" w:cs="仿宋_GB2312"/>
          <w:color w:val="auto"/>
          <w:sz w:val="32"/>
          <w:szCs w:val="32"/>
          <w:highlight w:val="none"/>
        </w:rPr>
      </w:pP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第二十</w:t>
      </w:r>
      <w:r>
        <w:rPr>
          <w:rFonts w:hint="eastAsia" w:ascii="黑体" w:hAnsi="黑体" w:eastAsia="黑体" w:cs="黑体"/>
          <w:color w:val="auto"/>
          <w:sz w:val="32"/>
          <w:szCs w:val="32"/>
          <w:highlight w:val="none"/>
          <w:lang w:eastAsia="zh-CN"/>
        </w:rPr>
        <w:t>六</w:t>
      </w:r>
      <w:r>
        <w:rPr>
          <w:rFonts w:hint="eastAsia" w:ascii="黑体" w:hAnsi="黑体" w:eastAsia="黑体" w:cs="黑体"/>
          <w:color w:val="auto"/>
          <w:sz w:val="32"/>
          <w:szCs w:val="32"/>
          <w:highlight w:val="none"/>
        </w:rPr>
        <w:t>条</w:t>
      </w:r>
      <w:r>
        <w:rPr>
          <w:rFonts w:hint="eastAsia" w:ascii="仿宋_GB2312" w:hAnsi="仿宋_GB2312" w:eastAsia="仿宋_GB2312" w:cs="仿宋_GB2312"/>
          <w:color w:val="auto"/>
          <w:sz w:val="32"/>
          <w:szCs w:val="32"/>
          <w:highlight w:val="none"/>
        </w:rPr>
        <w:t xml:space="preserve"> 举报人伪造材料、隐瞒事实，取得举报奖励，或者经市场监督管理部门查实不符合奖励条件的，市场监督管理部门有权收回奖励奖金。举报人故意捏造事实诬告他人，或者弄虚作假骗取奖励资金，依法承担相应责任;涉嫌犯罪的，依法追究刑事责任。</w:t>
      </w:r>
    </w:p>
    <w:p>
      <w:pPr>
        <w:spacing w:line="560" w:lineRule="exact"/>
        <w:ind w:firstLine="640" w:firstLineChars="200"/>
        <w:rPr>
          <w:rFonts w:ascii="仿宋_GB2312" w:hAnsi="仿宋_GB2312" w:eastAsia="仿宋_GB2312" w:cs="仿宋_GB2312"/>
          <w:color w:val="auto"/>
          <w:sz w:val="32"/>
          <w:szCs w:val="32"/>
          <w:highlight w:val="none"/>
        </w:rPr>
      </w:pPr>
    </w:p>
    <w:p>
      <w:pPr>
        <w:spacing w:line="560" w:lineRule="exact"/>
        <w:jc w:val="center"/>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第七章 附 则</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第二十</w:t>
      </w:r>
      <w:r>
        <w:rPr>
          <w:rFonts w:hint="eastAsia" w:ascii="黑体" w:hAnsi="黑体" w:eastAsia="黑体" w:cs="黑体"/>
          <w:color w:val="auto"/>
          <w:sz w:val="32"/>
          <w:szCs w:val="32"/>
          <w:highlight w:val="none"/>
          <w:lang w:val="en-US" w:eastAsia="zh-CN"/>
        </w:rPr>
        <w:t>七</w:t>
      </w:r>
      <w:r>
        <w:rPr>
          <w:rFonts w:hint="eastAsia" w:ascii="黑体" w:hAnsi="黑体" w:eastAsia="黑体" w:cs="黑体"/>
          <w:color w:val="auto"/>
          <w:sz w:val="32"/>
          <w:szCs w:val="32"/>
          <w:highlight w:val="none"/>
        </w:rPr>
        <w:t xml:space="preserve">条 </w:t>
      </w:r>
      <w:r>
        <w:rPr>
          <w:rFonts w:hint="eastAsia" w:ascii="仿宋_GB2312" w:hAnsi="仿宋_GB2312" w:eastAsia="仿宋_GB2312" w:cs="仿宋_GB2312"/>
          <w:color w:val="auto"/>
          <w:sz w:val="32"/>
          <w:szCs w:val="32"/>
          <w:highlight w:val="none"/>
        </w:rPr>
        <w:t>天津市药品监督管理局实施举报奖励，适用本办法。</w:t>
      </w:r>
    </w:p>
    <w:p>
      <w:pPr>
        <w:spacing w:line="560" w:lineRule="exact"/>
        <w:ind w:firstLine="420" w:firstLineChars="200"/>
        <w:rPr>
          <w:rFonts w:hint="eastAsia"/>
        </w:rPr>
      </w:pP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第二十</w:t>
      </w:r>
      <w:r>
        <w:rPr>
          <w:rFonts w:hint="eastAsia" w:ascii="黑体" w:hAnsi="黑体" w:eastAsia="黑体" w:cs="黑体"/>
          <w:color w:val="auto"/>
          <w:sz w:val="32"/>
          <w:szCs w:val="32"/>
          <w:highlight w:val="none"/>
          <w:lang w:eastAsia="zh-CN"/>
        </w:rPr>
        <w:t>八</w:t>
      </w:r>
      <w:r>
        <w:rPr>
          <w:rFonts w:hint="eastAsia" w:ascii="黑体" w:hAnsi="黑体" w:eastAsia="黑体" w:cs="黑体"/>
          <w:color w:val="auto"/>
          <w:sz w:val="32"/>
          <w:szCs w:val="32"/>
          <w:highlight w:val="none"/>
        </w:rPr>
        <w:t>条</w:t>
      </w:r>
      <w:r>
        <w:rPr>
          <w:rFonts w:hint="eastAsia" w:ascii="仿宋_GB2312" w:hAnsi="仿宋_GB2312" w:eastAsia="仿宋_GB2312" w:cs="仿宋_GB2312"/>
          <w:color w:val="auto"/>
          <w:sz w:val="32"/>
          <w:szCs w:val="32"/>
          <w:highlight w:val="none"/>
        </w:rPr>
        <w:t xml:space="preserve"> 本办法规定的奖励金额为含税金额，举报人领取奖励金后，应当按照相关规定自行纳税。</w:t>
      </w:r>
    </w:p>
    <w:p>
      <w:pPr>
        <w:spacing w:line="560" w:lineRule="exact"/>
        <w:ind w:firstLine="640" w:firstLineChars="200"/>
        <w:rPr>
          <w:rFonts w:ascii="仿宋_GB2312" w:hAnsi="仿宋_GB2312" w:eastAsia="仿宋_GB2312" w:cs="仿宋_GB2312"/>
          <w:color w:val="auto"/>
          <w:sz w:val="32"/>
          <w:szCs w:val="32"/>
          <w:highlight w:val="none"/>
        </w:rPr>
      </w:pP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二十九</w:t>
      </w:r>
      <w:r>
        <w:rPr>
          <w:rFonts w:hint="eastAsia" w:ascii="黑体" w:hAnsi="黑体" w:eastAsia="黑体" w:cs="黑体"/>
          <w:color w:val="auto"/>
          <w:sz w:val="32"/>
          <w:szCs w:val="32"/>
          <w:highlight w:val="none"/>
        </w:rPr>
        <w:t>条</w:t>
      </w:r>
      <w:r>
        <w:rPr>
          <w:rFonts w:hint="eastAsia" w:ascii="仿宋_GB2312" w:hAnsi="仿宋_GB2312" w:eastAsia="仿宋_GB2312" w:cs="仿宋_GB2312"/>
          <w:color w:val="auto"/>
          <w:sz w:val="32"/>
          <w:szCs w:val="32"/>
          <w:highlight w:val="none"/>
        </w:rPr>
        <w:t>本办法施行后，国家出台奖励标准高于本办法的，执行国家标准。</w:t>
      </w:r>
    </w:p>
    <w:p>
      <w:pPr>
        <w:spacing w:line="560" w:lineRule="exact"/>
        <w:ind w:firstLine="640" w:firstLineChars="200"/>
        <w:rPr>
          <w:rFonts w:ascii="仿宋_GB2312" w:hAnsi="仿宋_GB2312" w:eastAsia="仿宋_GB2312" w:cs="仿宋_GB2312"/>
          <w:color w:val="auto"/>
          <w:sz w:val="32"/>
          <w:szCs w:val="32"/>
          <w:highlight w:val="none"/>
        </w:rPr>
      </w:pP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三十</w:t>
      </w:r>
      <w:r>
        <w:rPr>
          <w:rFonts w:hint="eastAsia" w:ascii="黑体" w:hAnsi="黑体" w:eastAsia="黑体" w:cs="黑体"/>
          <w:color w:val="auto"/>
          <w:sz w:val="32"/>
          <w:szCs w:val="32"/>
          <w:highlight w:val="none"/>
        </w:rPr>
        <w:t>条</w:t>
      </w:r>
      <w:r>
        <w:rPr>
          <w:rFonts w:hint="eastAsia" w:ascii="仿宋_GB2312" w:hAnsi="仿宋_GB2312" w:eastAsia="仿宋_GB2312" w:cs="仿宋_GB2312"/>
          <w:color w:val="auto"/>
          <w:sz w:val="32"/>
          <w:szCs w:val="32"/>
          <w:highlight w:val="none"/>
        </w:rPr>
        <w:t xml:space="preserve"> 本办法由天津市市场监督管理委员会会同天津市财政局解释。</w:t>
      </w:r>
    </w:p>
    <w:p>
      <w:pPr>
        <w:spacing w:line="560" w:lineRule="exact"/>
        <w:ind w:firstLine="640" w:firstLineChars="200"/>
        <w:rPr>
          <w:rFonts w:ascii="仿宋_GB2312" w:hAnsi="仿宋_GB2312" w:eastAsia="仿宋_GB2312" w:cs="仿宋_GB2312"/>
          <w:color w:val="auto"/>
          <w:sz w:val="32"/>
          <w:szCs w:val="32"/>
          <w:highlight w:val="none"/>
        </w:rPr>
      </w:pP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第三十</w:t>
      </w:r>
      <w:r>
        <w:rPr>
          <w:rFonts w:hint="eastAsia" w:ascii="黑体" w:hAnsi="黑体" w:eastAsia="黑体" w:cs="黑体"/>
          <w:color w:val="auto"/>
          <w:sz w:val="32"/>
          <w:szCs w:val="32"/>
          <w:highlight w:val="none"/>
          <w:lang w:eastAsia="zh-CN"/>
        </w:rPr>
        <w:t>一</w:t>
      </w:r>
      <w:r>
        <w:rPr>
          <w:rFonts w:hint="eastAsia" w:ascii="黑体" w:hAnsi="黑体" w:eastAsia="黑体" w:cs="黑体"/>
          <w:color w:val="auto"/>
          <w:sz w:val="32"/>
          <w:szCs w:val="32"/>
          <w:highlight w:val="none"/>
        </w:rPr>
        <w:t>条</w:t>
      </w:r>
      <w:r>
        <w:rPr>
          <w:rFonts w:hint="eastAsia" w:ascii="仿宋_GB2312" w:hAnsi="仿宋_GB2312" w:eastAsia="仿宋_GB2312" w:cs="仿宋_GB2312"/>
          <w:color w:val="auto"/>
          <w:sz w:val="32"/>
          <w:szCs w:val="32"/>
          <w:highlight w:val="none"/>
        </w:rPr>
        <w:t xml:space="preserve"> 本办法自2021年12月1日起施行。《天津市市场和质量监督管理委员会天津市财政局关于印发食品药品违法行为举报奖励办法的通知》</w:t>
      </w:r>
      <w:r>
        <w:rPr>
          <w:rFonts w:hint="eastAsia" w:ascii="仿宋_GB2312" w:hAnsi="仿宋_GB2312" w:eastAsia="仿宋_GB2312" w:cs="仿宋_GB2312"/>
          <w:color w:val="auto"/>
          <w:sz w:val="32"/>
          <w:szCs w:val="32"/>
          <w:highlight w:val="none"/>
          <w:lang w:eastAsia="zh-CN"/>
        </w:rPr>
        <w:t>（津市场监管食综〔2018〕7号）</w:t>
      </w:r>
      <w:r>
        <w:rPr>
          <w:rFonts w:hint="eastAsia" w:ascii="仿宋_GB2312" w:hAnsi="仿宋_GB2312" w:eastAsia="仿宋_GB2312" w:cs="仿宋_GB2312"/>
          <w:color w:val="auto"/>
          <w:sz w:val="32"/>
          <w:szCs w:val="32"/>
          <w:highlight w:val="none"/>
        </w:rPr>
        <w:t>同时废止。</w:t>
      </w:r>
    </w:p>
    <w:p>
      <w:pPr>
        <w:spacing w:line="560" w:lineRule="exact"/>
        <w:ind w:firstLine="640" w:firstLineChars="200"/>
        <w:rPr>
          <w:rFonts w:ascii="仿宋_GB2312" w:hAnsi="仿宋_GB2312" w:eastAsia="仿宋_GB2312" w:cs="仿宋_GB2312"/>
          <w:color w:val="auto"/>
          <w:sz w:val="32"/>
          <w:szCs w:val="32"/>
          <w:highlight w:val="none"/>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D13"/>
    <w:rsid w:val="0008016F"/>
    <w:rsid w:val="004B6D53"/>
    <w:rsid w:val="005C3720"/>
    <w:rsid w:val="005F14F2"/>
    <w:rsid w:val="00763575"/>
    <w:rsid w:val="0077085E"/>
    <w:rsid w:val="007A43A5"/>
    <w:rsid w:val="00825D13"/>
    <w:rsid w:val="00A0652F"/>
    <w:rsid w:val="00A11F31"/>
    <w:rsid w:val="00A43229"/>
    <w:rsid w:val="00C20001"/>
    <w:rsid w:val="00D0429B"/>
    <w:rsid w:val="00D40E60"/>
    <w:rsid w:val="00E96D0F"/>
    <w:rsid w:val="00EB6608"/>
    <w:rsid w:val="00F65C0F"/>
    <w:rsid w:val="00FE7200"/>
    <w:rsid w:val="00FF6F9F"/>
    <w:rsid w:val="04F17192"/>
    <w:rsid w:val="0B9704B2"/>
    <w:rsid w:val="0D65D197"/>
    <w:rsid w:val="0FC11D40"/>
    <w:rsid w:val="173DC524"/>
    <w:rsid w:val="1EF8A4DD"/>
    <w:rsid w:val="1F070A36"/>
    <w:rsid w:val="1FF57F24"/>
    <w:rsid w:val="235F10BF"/>
    <w:rsid w:val="26DDDB9A"/>
    <w:rsid w:val="273BC472"/>
    <w:rsid w:val="27DFFA81"/>
    <w:rsid w:val="2A7CE0DD"/>
    <w:rsid w:val="2FFE58D3"/>
    <w:rsid w:val="310629A2"/>
    <w:rsid w:val="33FE423C"/>
    <w:rsid w:val="37FE2B22"/>
    <w:rsid w:val="39761F69"/>
    <w:rsid w:val="3AF60D89"/>
    <w:rsid w:val="3BDA0D55"/>
    <w:rsid w:val="3BEE42F0"/>
    <w:rsid w:val="3BFF2824"/>
    <w:rsid w:val="3EEE98D9"/>
    <w:rsid w:val="3EFB8857"/>
    <w:rsid w:val="3F3DF560"/>
    <w:rsid w:val="3F3F1DAE"/>
    <w:rsid w:val="3F9F55F4"/>
    <w:rsid w:val="3FF7953C"/>
    <w:rsid w:val="3FFD96F1"/>
    <w:rsid w:val="3FFFA849"/>
    <w:rsid w:val="4BEB6A8D"/>
    <w:rsid w:val="4BFB4619"/>
    <w:rsid w:val="4FF77A2E"/>
    <w:rsid w:val="4FFE9D55"/>
    <w:rsid w:val="56F51DFB"/>
    <w:rsid w:val="57FED3B6"/>
    <w:rsid w:val="590D05F4"/>
    <w:rsid w:val="5A457F4B"/>
    <w:rsid w:val="5CD9F832"/>
    <w:rsid w:val="5D7F146B"/>
    <w:rsid w:val="5ED9E5AF"/>
    <w:rsid w:val="5EFBAB63"/>
    <w:rsid w:val="5F6B4D88"/>
    <w:rsid w:val="5FAF8BA0"/>
    <w:rsid w:val="5FF2AC7B"/>
    <w:rsid w:val="61FBEAB9"/>
    <w:rsid w:val="63E6FCCE"/>
    <w:rsid w:val="64AC16F1"/>
    <w:rsid w:val="65FE8B51"/>
    <w:rsid w:val="6658253B"/>
    <w:rsid w:val="6A7A6AD1"/>
    <w:rsid w:val="6B7EB6E8"/>
    <w:rsid w:val="6BFBB56B"/>
    <w:rsid w:val="6BFFCF8A"/>
    <w:rsid w:val="6DA7474E"/>
    <w:rsid w:val="6DFFD040"/>
    <w:rsid w:val="6EBFF67B"/>
    <w:rsid w:val="6EFD565A"/>
    <w:rsid w:val="6F560A05"/>
    <w:rsid w:val="6F7B419E"/>
    <w:rsid w:val="6F7C27CB"/>
    <w:rsid w:val="6F7F74AA"/>
    <w:rsid w:val="6FE7EF7C"/>
    <w:rsid w:val="6FEF3023"/>
    <w:rsid w:val="70A16FFE"/>
    <w:rsid w:val="73673BAD"/>
    <w:rsid w:val="7427218C"/>
    <w:rsid w:val="755D5495"/>
    <w:rsid w:val="75FF4503"/>
    <w:rsid w:val="76D7A36B"/>
    <w:rsid w:val="76FFFA0A"/>
    <w:rsid w:val="77F6AF74"/>
    <w:rsid w:val="77FD4A40"/>
    <w:rsid w:val="794DBEF3"/>
    <w:rsid w:val="7B3CC2C9"/>
    <w:rsid w:val="7B7A2E1B"/>
    <w:rsid w:val="7BFEA46C"/>
    <w:rsid w:val="7D2E8010"/>
    <w:rsid w:val="7D6B79E4"/>
    <w:rsid w:val="7E5F2BC2"/>
    <w:rsid w:val="7EAF38BC"/>
    <w:rsid w:val="7ED6DAAB"/>
    <w:rsid w:val="7ED72D91"/>
    <w:rsid w:val="7EDFEFC2"/>
    <w:rsid w:val="7EF3C598"/>
    <w:rsid w:val="7F5A03BA"/>
    <w:rsid w:val="7F63C54E"/>
    <w:rsid w:val="7F7FBAC7"/>
    <w:rsid w:val="7F7FD073"/>
    <w:rsid w:val="7F8791E5"/>
    <w:rsid w:val="7F9B1EA8"/>
    <w:rsid w:val="7F9F7EE8"/>
    <w:rsid w:val="7FB52337"/>
    <w:rsid w:val="7FBE2B8B"/>
    <w:rsid w:val="7FD6A1E3"/>
    <w:rsid w:val="7FE96268"/>
    <w:rsid w:val="7FED2DF2"/>
    <w:rsid w:val="7FF7FD02"/>
    <w:rsid w:val="7FFF6070"/>
    <w:rsid w:val="89FF738A"/>
    <w:rsid w:val="8F3524BD"/>
    <w:rsid w:val="9394D13D"/>
    <w:rsid w:val="9C2232E3"/>
    <w:rsid w:val="9EBED407"/>
    <w:rsid w:val="9EFFD9F5"/>
    <w:rsid w:val="9FF8F7EA"/>
    <w:rsid w:val="9FF9D4D0"/>
    <w:rsid w:val="AFA74D06"/>
    <w:rsid w:val="B20D2BD7"/>
    <w:rsid w:val="B3BBC5B8"/>
    <w:rsid w:val="B56D306A"/>
    <w:rsid w:val="B5FD217F"/>
    <w:rsid w:val="B9FF3F28"/>
    <w:rsid w:val="BBF74D85"/>
    <w:rsid w:val="BC7FB934"/>
    <w:rsid w:val="BE7DE25B"/>
    <w:rsid w:val="BFBFD780"/>
    <w:rsid w:val="C65B8971"/>
    <w:rsid w:val="C7AE8BE3"/>
    <w:rsid w:val="CBFA5B07"/>
    <w:rsid w:val="CDCE0BD9"/>
    <w:rsid w:val="CEFFA7F9"/>
    <w:rsid w:val="CF774BB3"/>
    <w:rsid w:val="CFA3F1EA"/>
    <w:rsid w:val="CFDD1DBD"/>
    <w:rsid w:val="D47DC95F"/>
    <w:rsid w:val="DA7FFA18"/>
    <w:rsid w:val="DBE5458A"/>
    <w:rsid w:val="DD9FAD06"/>
    <w:rsid w:val="DDEFCE88"/>
    <w:rsid w:val="DF3FA998"/>
    <w:rsid w:val="DFAB066D"/>
    <w:rsid w:val="E23F3C5B"/>
    <w:rsid w:val="E7CFECC3"/>
    <w:rsid w:val="E8FD5DA2"/>
    <w:rsid w:val="ED76E6FE"/>
    <w:rsid w:val="EFBBDC79"/>
    <w:rsid w:val="EFCF2CB7"/>
    <w:rsid w:val="EFCF5540"/>
    <w:rsid w:val="EFF3734F"/>
    <w:rsid w:val="EFFF7FDC"/>
    <w:rsid w:val="EFFFC41A"/>
    <w:rsid w:val="F3F70A4B"/>
    <w:rsid w:val="F77EFCDA"/>
    <w:rsid w:val="F7FCC9CD"/>
    <w:rsid w:val="F7FFF7E9"/>
    <w:rsid w:val="FCF35E0C"/>
    <w:rsid w:val="FCFF532A"/>
    <w:rsid w:val="FDBF1099"/>
    <w:rsid w:val="FE1FA58D"/>
    <w:rsid w:val="FE93BB27"/>
    <w:rsid w:val="FE9D7307"/>
    <w:rsid w:val="FE9EB62E"/>
    <w:rsid w:val="FEBF5C72"/>
    <w:rsid w:val="FF579F3C"/>
    <w:rsid w:val="FF6BD3F2"/>
    <w:rsid w:val="FF7B99D9"/>
    <w:rsid w:val="FFBDAB95"/>
    <w:rsid w:val="FFBDD93C"/>
    <w:rsid w:val="FFDB449D"/>
    <w:rsid w:val="FFF71D32"/>
    <w:rsid w:val="FFFA4F0F"/>
    <w:rsid w:val="FFFF62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paragraph" w:customStyle="1" w:styleId="9">
    <w:name w:val="ql-align-center"/>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0">
    <w:name w:val="页眉 Char"/>
    <w:basedOn w:val="7"/>
    <w:link w:val="4"/>
    <w:semiHidden/>
    <w:qFormat/>
    <w:uiPriority w:val="99"/>
    <w:rPr>
      <w:kern w:val="2"/>
      <w:sz w:val="18"/>
      <w:szCs w:val="18"/>
    </w:rPr>
  </w:style>
  <w:style w:type="character" w:customStyle="1" w:styleId="11">
    <w:name w:val="页脚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9775</Words>
  <Characters>605</Characters>
  <Lines>5</Lines>
  <Paragraphs>20</Paragraphs>
  <TotalTime>0</TotalTime>
  <ScaleCrop>false</ScaleCrop>
  <LinksUpToDate>false</LinksUpToDate>
  <CharactersWithSpaces>10360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2021-09-09T08:37:00Z</dcterms:created>
  <dc:creator>Lenovo</dc:creator>
  <cp:lastModifiedBy>scw</cp:lastModifiedBy>
  <cp:lastPrinted>2021-09-13T00:55:00Z</cp:lastPrinted>
  <dcterms:modified xsi:type="dcterms:W3CDTF">2021-11-12T14:49:54Z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F1FE35FFB623419985991311FBC38BE5</vt:lpwstr>
  </property>
</Properties>
</file>