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distribute"/>
        <w:rPr>
          <w:rFonts w:hint="default" w:ascii="Times New Roman" w:hAnsi="Times New Roman" w:eastAsia="方正小标宋简体" w:cs="Times New Roman"/>
          <w:b/>
          <w:color w:val="FF0000"/>
          <w:w w:val="80"/>
          <w:sz w:val="72"/>
          <w:szCs w:val="72"/>
        </w:rPr>
      </w:pPr>
    </w:p>
    <w:p>
      <w:pPr>
        <w:spacing w:line="360" w:lineRule="auto"/>
        <w:jc w:val="distribute"/>
        <w:rPr>
          <w:rFonts w:hint="default" w:ascii="Times New Roman" w:hAnsi="Times New Roman" w:eastAsia="方正小标宋简体" w:cs="Times New Roman"/>
          <w:b/>
          <w:color w:val="FF0000"/>
          <w:w w:val="80"/>
          <w:sz w:val="72"/>
          <w:szCs w:val="72"/>
        </w:rPr>
      </w:pPr>
    </w:p>
    <w:p>
      <w:pPr>
        <w:spacing w:line="360" w:lineRule="auto"/>
        <w:jc w:val="distribute"/>
        <w:rPr>
          <w:rFonts w:hint="default" w:ascii="Times New Roman" w:hAnsi="Times New Roman" w:eastAsia="仿宋_GB2312" w:cs="Times New Roman"/>
          <w:color w:val="FF0000"/>
          <w:w w:val="80"/>
          <w:sz w:val="72"/>
          <w:szCs w:val="72"/>
        </w:rPr>
      </w:pPr>
      <w:r>
        <w:rPr>
          <w:rFonts w:hint="default" w:ascii="Times New Roman" w:hAnsi="Times New Roman" w:eastAsia="方正小标宋简体" w:cs="Times New Roman"/>
          <w:b/>
          <w:color w:val="FF0000"/>
          <w:w w:val="80"/>
          <w:sz w:val="72"/>
          <w:szCs w:val="72"/>
        </w:rPr>
        <w:t>天津市药品监督管理局文件</w:t>
      </w:r>
    </w:p>
    <w:p>
      <w:pPr>
        <w:snapToGrid w:val="0"/>
        <w:spacing w:line="460" w:lineRule="exact"/>
        <w:jc w:val="center"/>
        <w:rPr>
          <w:rFonts w:hint="default" w:ascii="Times New Roman" w:hAnsi="Times New Roman" w:eastAsia="仿宋_GB2312" w:cs="Times New Roman"/>
          <w:sz w:val="32"/>
          <w:szCs w:val="32"/>
        </w:rPr>
      </w:pPr>
    </w:p>
    <w:p>
      <w:pPr>
        <w:snapToGrid w:val="0"/>
        <w:spacing w:line="560" w:lineRule="exact"/>
        <w:ind w:left="210" w:leftChars="100" w:right="210" w:rightChars="100"/>
        <w:jc w:val="center"/>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津药监</w:t>
      </w:r>
      <w:r>
        <w:rPr>
          <w:rFonts w:hint="eastAsia" w:ascii="Times New Roman" w:hAnsi="Times New Roman" w:eastAsia="仿宋_GB2312" w:cs="Times New Roman"/>
          <w:color w:val="000000"/>
          <w:sz w:val="32"/>
          <w:szCs w:val="32"/>
          <w:lang w:val="en-US" w:eastAsia="zh-CN"/>
        </w:rPr>
        <w:t>规</w:t>
      </w: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X号</w:t>
      </w:r>
    </w:p>
    <w:p>
      <w:pPr>
        <w:spacing w:before="312" w:beforeLines="100" w:line="62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color w:val="FF0000"/>
          <w:sz w:val="44"/>
          <w:szCs w:val="4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144145</wp:posOffset>
                </wp:positionV>
                <wp:extent cx="5615940" cy="0"/>
                <wp:effectExtent l="0" t="12700" r="10160" b="1270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1.35pt;height:0pt;width:442.2pt;z-index:251660288;mso-width-relative:page;mso-height-relative:page;" filled="f" stroked="t" coordsize="21600,21600" o:gfxdata="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KWAOnUAAAABgEAAA8AAAAAAAAAAQAgAAAAIgAAAGRycy9kb3ducmV2LnhtbFBLAQIU&#10;ABQAAAAIAIdO4kCMfgAe9wEAAOUDAAAOAAAAAAAAAAEAIAAAACMBAABkcnMvZTJvRG9jLnhtbFBL&#10;BQYAAAAABgAGAFkBAACMBQAAAAA=&#10;">
                <v:fill on="f" focussize="0,0"/>
                <v:stroke weight="2pt" color="#FF0000" joinstyle="round"/>
                <v:imagedata o:title=""/>
                <o:lock v:ext="edit" aspectratio="f"/>
              </v:line>
            </w:pict>
          </mc:Fallback>
        </mc:AlternateConten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0"/>
        <w:jc w:val="center"/>
        <w:textAlignment w:val="baseline"/>
        <w:rPr>
          <w:rFonts w:hint="eastAsia" w:ascii="Times New Roman" w:hAnsi="Times New Roman" w:eastAsia="方正小标宋简体" w:cs="Times New Roman"/>
          <w:i w:val="0"/>
          <w:iCs w:val="0"/>
          <w:caps w:val="0"/>
          <w:color w:val="auto"/>
          <w:spacing w:val="0"/>
          <w:sz w:val="44"/>
          <w:szCs w:val="44"/>
          <w:shd w:val="clear" w:fill="FFFFFF"/>
          <w:vertAlign w:val="baseline"/>
          <w:lang w:val="en-US" w:eastAsia="zh-CN"/>
        </w:rPr>
      </w:pPr>
      <w:r>
        <w:rPr>
          <w:rFonts w:hint="default" w:ascii="Times New Roman" w:hAnsi="Times New Roman" w:eastAsia="方正小标宋简体" w:cs="Times New Roman"/>
          <w:i w:val="0"/>
          <w:iCs w:val="0"/>
          <w:caps w:val="0"/>
          <w:color w:val="auto"/>
          <w:spacing w:val="0"/>
          <w:sz w:val="44"/>
          <w:szCs w:val="44"/>
          <w:shd w:val="clear" w:fill="FFFFFF"/>
          <w:vertAlign w:val="baseline"/>
          <w:lang w:val="en-US" w:eastAsia="zh-CN"/>
        </w:rPr>
        <w:t>天津市</w:t>
      </w:r>
      <w:r>
        <w:rPr>
          <w:rFonts w:hint="eastAsia" w:ascii="Times New Roman" w:hAnsi="Times New Roman" w:eastAsia="方正小标宋简体" w:cs="Times New Roman"/>
          <w:i w:val="0"/>
          <w:iCs w:val="0"/>
          <w:caps w:val="0"/>
          <w:color w:val="auto"/>
          <w:spacing w:val="0"/>
          <w:sz w:val="44"/>
          <w:szCs w:val="44"/>
          <w:shd w:val="clear" w:fill="FFFFFF"/>
          <w:vertAlign w:val="baseline"/>
          <w:lang w:val="en-US" w:eastAsia="zh-CN"/>
        </w:rPr>
        <w:t>药品监督管理局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0"/>
        <w:jc w:val="center"/>
        <w:textAlignment w:val="baseline"/>
        <w:rPr>
          <w:rFonts w:hint="eastAsia" w:ascii="Times New Roman" w:hAnsi="Times New Roman" w:eastAsia="方正小标宋简体" w:cs="Times New Roman"/>
          <w:i w:val="0"/>
          <w:iCs w:val="0"/>
          <w:caps w:val="0"/>
          <w:color w:val="auto"/>
          <w:spacing w:val="0"/>
          <w:sz w:val="44"/>
          <w:szCs w:val="44"/>
          <w:shd w:val="clear" w:fill="FFFFFF"/>
          <w:vertAlign w:val="baseline"/>
          <w:lang w:val="en-US" w:eastAsia="zh-CN"/>
        </w:rPr>
      </w:pPr>
      <w:r>
        <w:rPr>
          <w:rFonts w:hint="eastAsia" w:ascii="Times New Roman" w:hAnsi="Times New Roman" w:eastAsia="方正小标宋简体" w:cs="Times New Roman"/>
          <w:i w:val="0"/>
          <w:iCs w:val="0"/>
          <w:caps w:val="0"/>
          <w:color w:val="auto"/>
          <w:spacing w:val="0"/>
          <w:sz w:val="44"/>
          <w:szCs w:val="44"/>
          <w:shd w:val="clear" w:fill="FFFFFF"/>
          <w:vertAlign w:val="baseline"/>
          <w:lang w:val="en-US" w:eastAsia="zh-CN"/>
        </w:rPr>
        <w:t>关于已上市第二类医疗器械产品在津注册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0"/>
        <w:jc w:val="center"/>
        <w:textAlignment w:val="baseline"/>
        <w:rPr>
          <w:rFonts w:hint="default" w:ascii="Times New Roman" w:hAnsi="Times New Roman" w:eastAsia="方正小标宋简体" w:cs="Times New Roman"/>
          <w:i w:val="0"/>
          <w:iCs w:val="0"/>
          <w:caps w:val="0"/>
          <w:color w:val="auto"/>
          <w:spacing w:val="0"/>
          <w:sz w:val="44"/>
          <w:szCs w:val="44"/>
          <w:shd w:val="clear" w:fill="FFFFFF"/>
          <w:vertAlign w:val="baseline"/>
          <w:lang w:val="en-US"/>
        </w:rPr>
      </w:pPr>
      <w:r>
        <w:rPr>
          <w:rFonts w:hint="eastAsia" w:ascii="Times New Roman" w:hAnsi="Times New Roman" w:eastAsia="方正小标宋简体" w:cs="Times New Roman"/>
          <w:i w:val="0"/>
          <w:iCs w:val="0"/>
          <w:caps w:val="0"/>
          <w:color w:val="auto"/>
          <w:spacing w:val="0"/>
          <w:sz w:val="44"/>
          <w:szCs w:val="44"/>
          <w:shd w:val="clear" w:fill="FFFFFF"/>
          <w:vertAlign w:val="baseline"/>
          <w:lang w:val="en-US" w:eastAsia="zh-CN"/>
        </w:rPr>
        <w:t>有关事项的通知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0"/>
        <w:jc w:val="center"/>
        <w:textAlignment w:val="baseline"/>
        <w:rPr>
          <w:rFonts w:hint="default" w:ascii="Times New Roman" w:hAnsi="Times New Roman" w:eastAsia="楷体_GB2312" w:cs="Times New Roman"/>
          <w:i w:val="0"/>
          <w:iCs w:val="0"/>
          <w:caps w:val="0"/>
          <w:color w:val="auto"/>
          <w:spacing w:val="0"/>
          <w:sz w:val="32"/>
          <w:szCs w:val="32"/>
          <w:shd w:val="clear" w:fill="FFFFFF"/>
          <w:vertAlign w:val="baseline"/>
          <w:lang w:eastAsia="zh-CN"/>
        </w:rPr>
      </w:pPr>
      <w:r>
        <w:rPr>
          <w:rFonts w:hint="default" w:ascii="Times New Roman" w:hAnsi="Times New Roman" w:eastAsia="楷体_GB2312" w:cs="Times New Roman"/>
          <w:i w:val="0"/>
          <w:iCs w:val="0"/>
          <w:caps w:val="0"/>
          <w:color w:val="auto"/>
          <w:spacing w:val="0"/>
          <w:sz w:val="32"/>
          <w:szCs w:val="32"/>
          <w:shd w:val="clear" w:fill="FFFFFF"/>
          <w:vertAlign w:val="baseline"/>
          <w:lang w:eastAsia="zh-CN"/>
        </w:rPr>
        <w:t>（</w:t>
      </w:r>
      <w:r>
        <w:rPr>
          <w:rFonts w:hint="eastAsia" w:ascii="Times New Roman" w:hAnsi="Times New Roman" w:eastAsia="楷体_GB2312" w:cs="Times New Roman"/>
          <w:i w:val="0"/>
          <w:iCs w:val="0"/>
          <w:caps w:val="0"/>
          <w:color w:val="auto"/>
          <w:spacing w:val="0"/>
          <w:sz w:val="32"/>
          <w:szCs w:val="32"/>
          <w:shd w:val="clear" w:fill="FFFFFF"/>
          <w:vertAlign w:val="baseline"/>
          <w:lang w:val="en-US" w:eastAsia="zh-CN"/>
        </w:rPr>
        <w:t>征求意见稿</w:t>
      </w:r>
      <w:r>
        <w:rPr>
          <w:rFonts w:hint="default" w:ascii="Times New Roman" w:hAnsi="Times New Roman" w:eastAsia="楷体_GB2312" w:cs="Times New Roman"/>
          <w:i w:val="0"/>
          <w:iCs w:val="0"/>
          <w:caps w:val="0"/>
          <w:color w:val="auto"/>
          <w:spacing w:val="0"/>
          <w:sz w:val="32"/>
          <w:szCs w:val="32"/>
          <w:shd w:val="clear" w:fill="FFFFFF"/>
          <w:vertAlign w:val="baseline"/>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0"/>
        <w:jc w:val="center"/>
        <w:textAlignment w:val="baseline"/>
        <w:rPr>
          <w:rFonts w:hint="default" w:ascii="Times New Roman" w:hAnsi="Times New Roman" w:eastAsia="微软雅黑" w:cs="Times New Roman"/>
          <w:i w:val="0"/>
          <w:iCs w:val="0"/>
          <w:caps w:val="0"/>
          <w:color w:val="auto"/>
          <w:spacing w:val="0"/>
          <w:sz w:val="21"/>
          <w:szCs w:val="21"/>
        </w:rPr>
      </w:pPr>
    </w:p>
    <w:p>
      <w:pPr>
        <w:keepNext w:val="0"/>
        <w:keepLines w:val="0"/>
        <w:pageBreakBefore w:val="0"/>
        <w:widowControl w:val="0"/>
        <w:kinsoku/>
        <w:overflowPunct/>
        <w:topLinePunct w:val="0"/>
        <w:autoSpaceDE/>
        <w:autoSpaceDN/>
        <w:bidi w:val="0"/>
        <w:adjustRightInd w:val="0"/>
        <w:snapToGrid w:val="0"/>
        <w:spacing w:line="560" w:lineRule="exact"/>
        <w:textAlignment w:val="auto"/>
        <w:rPr>
          <w:rFonts w:hint="eastAsia" w:ascii="Times New Roman" w:hAnsi="Times New Roman" w:eastAsia="仿宋_GB2312"/>
          <w:bCs/>
          <w:sz w:val="32"/>
          <w:szCs w:val="32"/>
          <w:lang w:eastAsia="zh-CN"/>
        </w:rPr>
      </w:pPr>
      <w:r>
        <w:rPr>
          <w:rFonts w:hint="eastAsia" w:ascii="Times New Roman" w:hAnsi="Times New Roman" w:eastAsia="仿宋_GB2312"/>
          <w:bCs/>
          <w:sz w:val="32"/>
          <w:szCs w:val="32"/>
          <w:lang w:eastAsia="zh-CN"/>
        </w:rPr>
        <w:t>各有关单位：</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bCs/>
          <w:sz w:val="32"/>
          <w:szCs w:val="32"/>
        </w:rPr>
      </w:pPr>
      <w:r>
        <w:rPr>
          <w:rFonts w:hint="eastAsia" w:ascii="Times New Roman" w:hAnsi="Times New Roman" w:eastAsia="仿宋_GB2312"/>
          <w:bCs/>
          <w:sz w:val="32"/>
          <w:szCs w:val="32"/>
        </w:rPr>
        <w:t>为了</w:t>
      </w:r>
      <w:r>
        <w:rPr>
          <w:rFonts w:hint="eastAsia" w:ascii="Times New Roman" w:hAnsi="Times New Roman" w:eastAsia="仿宋_GB2312"/>
          <w:bCs/>
          <w:sz w:val="32"/>
          <w:szCs w:val="32"/>
          <w:lang w:val="en-US" w:eastAsia="zh-CN"/>
        </w:rPr>
        <w:t>贯彻落实《医疗器械监督管理条例》《医疗器械注册与备案管理办法》、《体外诊断试剂注册与备案管理办法》，为进一步</w:t>
      </w:r>
      <w:r>
        <w:rPr>
          <w:rFonts w:hint="eastAsia" w:ascii="Times New Roman" w:hAnsi="Times New Roman" w:eastAsia="仿宋_GB2312"/>
          <w:bCs/>
          <w:sz w:val="32"/>
          <w:szCs w:val="32"/>
          <w:lang w:eastAsia="zh-CN"/>
        </w:rPr>
        <w:t>优化营商环境，</w:t>
      </w:r>
      <w:r>
        <w:rPr>
          <w:rFonts w:hint="eastAsia" w:ascii="Times New Roman" w:hAnsi="Times New Roman" w:eastAsia="仿宋_GB2312"/>
          <w:bCs/>
          <w:sz w:val="32"/>
          <w:szCs w:val="32"/>
          <w:lang w:val="en-US" w:eastAsia="zh-CN"/>
        </w:rPr>
        <w:t>促进我市</w:t>
      </w:r>
      <w:r>
        <w:rPr>
          <w:rFonts w:hint="eastAsia" w:ascii="Times New Roman" w:hAnsi="Times New Roman" w:eastAsia="仿宋_GB2312"/>
          <w:bCs/>
          <w:sz w:val="32"/>
          <w:szCs w:val="32"/>
        </w:rPr>
        <w:t>医疗器械行业</w:t>
      </w:r>
      <w:r>
        <w:rPr>
          <w:rFonts w:hint="eastAsia" w:ascii="Times New Roman" w:hAnsi="Times New Roman" w:eastAsia="仿宋_GB2312"/>
          <w:bCs/>
          <w:sz w:val="32"/>
          <w:szCs w:val="32"/>
          <w:lang w:val="en-US" w:eastAsia="zh-CN"/>
        </w:rPr>
        <w:t>高质量</w:t>
      </w:r>
      <w:r>
        <w:rPr>
          <w:rFonts w:hint="eastAsia" w:ascii="Times New Roman" w:hAnsi="Times New Roman" w:eastAsia="仿宋_GB2312"/>
          <w:bCs/>
          <w:sz w:val="32"/>
          <w:szCs w:val="32"/>
        </w:rPr>
        <w:t>发展，</w:t>
      </w:r>
      <w:r>
        <w:rPr>
          <w:rFonts w:hint="eastAsia" w:ascii="Times New Roman" w:hAnsi="Times New Roman" w:eastAsia="仿宋_GB2312"/>
          <w:bCs/>
          <w:sz w:val="32"/>
          <w:szCs w:val="32"/>
          <w:lang w:val="en-US" w:eastAsia="zh-CN"/>
        </w:rPr>
        <w:t>按照</w:t>
      </w:r>
      <w:r>
        <w:rPr>
          <w:rFonts w:hint="eastAsia" w:ascii="Times New Roman" w:hAnsi="Times New Roman" w:eastAsia="仿宋_GB2312"/>
          <w:bCs/>
          <w:sz w:val="32"/>
          <w:szCs w:val="32"/>
          <w:lang w:eastAsia="zh-CN"/>
        </w:rPr>
        <w:t>《国家食品药品监督管理总局关于境内医疗器械生产企业跨省新开办企业时办理产品注册及生产许可有关事宜的公告》（2015年第203号）</w:t>
      </w:r>
      <w:r>
        <w:rPr>
          <w:rFonts w:hint="eastAsia" w:ascii="Times New Roman" w:hAnsi="Times New Roman" w:eastAsia="仿宋_GB2312"/>
          <w:bCs/>
          <w:sz w:val="32"/>
          <w:szCs w:val="32"/>
          <w:lang w:val="en-US" w:eastAsia="zh-CN"/>
        </w:rPr>
        <w:t>和</w:t>
      </w:r>
      <w:r>
        <w:rPr>
          <w:rFonts w:hint="eastAsia" w:ascii="Times New Roman" w:hAnsi="Times New Roman" w:eastAsia="仿宋_GB2312"/>
          <w:bCs/>
          <w:sz w:val="32"/>
          <w:szCs w:val="32"/>
        </w:rPr>
        <w:t>《国家药监局关于进口医疗器械产品在中国境内企业生产有关事项的公告》</w:t>
      </w:r>
      <w:r>
        <w:rPr>
          <w:rFonts w:ascii="Times New Roman" w:hAnsi="Times New Roman" w:eastAsia="仿宋_GB2312"/>
          <w:bCs/>
          <w:sz w:val="32"/>
          <w:szCs w:val="32"/>
        </w:rPr>
        <w:t>(2020</w:t>
      </w:r>
      <w:r>
        <w:rPr>
          <w:rFonts w:hint="eastAsia" w:ascii="Times New Roman" w:hAnsi="Times New Roman" w:eastAsia="仿宋_GB2312"/>
          <w:bCs/>
          <w:sz w:val="32"/>
          <w:szCs w:val="32"/>
        </w:rPr>
        <w:t>年第</w:t>
      </w:r>
      <w:r>
        <w:rPr>
          <w:rFonts w:ascii="Times New Roman" w:hAnsi="Times New Roman" w:eastAsia="仿宋_GB2312"/>
          <w:bCs/>
          <w:sz w:val="32"/>
          <w:szCs w:val="32"/>
        </w:rPr>
        <w:t>104</w:t>
      </w:r>
      <w:r>
        <w:rPr>
          <w:rFonts w:hint="eastAsia" w:ascii="Times New Roman" w:hAnsi="Times New Roman" w:eastAsia="仿宋_GB2312"/>
          <w:bCs/>
          <w:sz w:val="32"/>
          <w:szCs w:val="32"/>
        </w:rPr>
        <w:t>号</w:t>
      </w:r>
      <w:r>
        <w:rPr>
          <w:rFonts w:ascii="Times New Roman" w:hAnsi="Times New Roman" w:eastAsia="仿宋_GB2312"/>
          <w:bCs/>
          <w:sz w:val="32"/>
          <w:szCs w:val="32"/>
        </w:rPr>
        <w:t>)</w:t>
      </w:r>
      <w:r>
        <w:rPr>
          <w:rFonts w:hint="eastAsia" w:ascii="Times New Roman" w:hAnsi="Times New Roman" w:eastAsia="仿宋_GB2312"/>
          <w:bCs/>
          <w:sz w:val="32"/>
          <w:szCs w:val="32"/>
          <w:lang w:val="en-US" w:eastAsia="zh-CN"/>
        </w:rPr>
        <w:t>等文件</w:t>
      </w:r>
      <w:r>
        <w:rPr>
          <w:rFonts w:hint="eastAsia" w:ascii="Times New Roman" w:hAnsi="Times New Roman" w:eastAsia="仿宋_GB2312"/>
          <w:bCs/>
          <w:sz w:val="32"/>
          <w:szCs w:val="32"/>
          <w:lang w:eastAsia="zh-CN"/>
        </w:rPr>
        <w:t>要求，</w:t>
      </w:r>
      <w:r>
        <w:rPr>
          <w:rFonts w:hint="eastAsia" w:ascii="Times New Roman" w:hAnsi="Times New Roman" w:eastAsia="仿宋_GB2312"/>
          <w:bCs/>
          <w:sz w:val="32"/>
          <w:szCs w:val="32"/>
        </w:rPr>
        <w:t>加快</w:t>
      </w:r>
      <w:r>
        <w:rPr>
          <w:rFonts w:hint="eastAsia" w:ascii="Times New Roman" w:hAnsi="Times New Roman" w:eastAsia="仿宋_GB2312"/>
          <w:bCs/>
          <w:sz w:val="32"/>
          <w:szCs w:val="32"/>
          <w:lang w:val="en-US" w:eastAsia="zh-CN"/>
        </w:rPr>
        <w:t>已上市医疗器械产品在津注册申报</w:t>
      </w:r>
      <w:r>
        <w:rPr>
          <w:rFonts w:hint="eastAsia" w:ascii="Times New Roman" w:hAnsi="Times New Roman" w:eastAsia="仿宋_GB2312"/>
          <w:bCs/>
          <w:sz w:val="32"/>
          <w:szCs w:val="32"/>
        </w:rPr>
        <w:t>进程，</w:t>
      </w:r>
      <w:r>
        <w:rPr>
          <w:rFonts w:hint="eastAsia" w:ascii="Times New Roman" w:hAnsi="Times New Roman" w:eastAsia="仿宋_GB2312"/>
          <w:bCs/>
          <w:sz w:val="32"/>
          <w:szCs w:val="32"/>
          <w:lang w:eastAsia="zh-CN"/>
        </w:rPr>
        <w:t>现就有关事项通知如下：</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黑体" w:hAnsi="黑体" w:eastAsia="黑体"/>
          <w:bCs/>
          <w:sz w:val="32"/>
          <w:szCs w:val="32"/>
          <w:lang w:val="en-US" w:eastAsia="zh-CN"/>
        </w:rPr>
      </w:pPr>
      <w:r>
        <w:rPr>
          <w:rFonts w:hint="eastAsia" w:ascii="黑体" w:hAnsi="黑体" w:eastAsia="黑体"/>
          <w:bCs/>
          <w:sz w:val="32"/>
          <w:szCs w:val="32"/>
        </w:rPr>
        <w:t>一、</w:t>
      </w:r>
      <w:r>
        <w:rPr>
          <w:rFonts w:hint="eastAsia" w:ascii="黑体" w:hAnsi="黑体" w:eastAsia="黑体"/>
          <w:bCs/>
          <w:sz w:val="32"/>
          <w:szCs w:val="32"/>
          <w:lang w:val="en-US" w:eastAsia="zh-CN"/>
        </w:rPr>
        <w:t>适用范围</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bCs/>
          <w:sz w:val="32"/>
          <w:szCs w:val="32"/>
          <w:lang w:val="en-US" w:eastAsia="zh-CN"/>
        </w:rPr>
      </w:pPr>
      <w:r>
        <w:rPr>
          <w:rFonts w:hint="eastAsia" w:ascii="Times New Roman" w:hAnsi="Times New Roman" w:eastAsia="仿宋_GB2312"/>
          <w:bCs/>
          <w:sz w:val="32"/>
          <w:szCs w:val="32"/>
          <w:lang w:val="en-US" w:eastAsia="zh-CN"/>
        </w:rPr>
        <w:t>通过跨省兼并、重组或设立企业将产品迁入我市的境内医疗器械注册人，或者进口医疗器械注册人在我市设立的外商投资企业，将已取得境内或进口第二类医疗器械注册证的产品在我市申请注册，并符合以下条件的，适用于本通知规定：</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bCs/>
          <w:sz w:val="32"/>
          <w:szCs w:val="32"/>
          <w:lang w:val="en-US" w:eastAsia="zh-CN"/>
        </w:rPr>
      </w:pPr>
      <w:r>
        <w:rPr>
          <w:rFonts w:hint="eastAsia" w:ascii="Times New Roman" w:hAnsi="Times New Roman" w:eastAsia="仿宋_GB2312"/>
          <w:bCs/>
          <w:sz w:val="32"/>
          <w:szCs w:val="32"/>
          <w:lang w:val="en-US" w:eastAsia="zh-CN"/>
        </w:rPr>
        <w:t>（一）已取得的第二类医疗器械注册证和拟申报注册产品符合现行法规、规章及强制性标准要求；</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bCs/>
          <w:sz w:val="32"/>
          <w:szCs w:val="32"/>
          <w:lang w:val="en-US" w:eastAsia="zh-CN"/>
        </w:rPr>
      </w:pPr>
      <w:r>
        <w:rPr>
          <w:rFonts w:hint="eastAsia" w:ascii="Times New Roman" w:hAnsi="Times New Roman" w:eastAsia="仿宋_GB2312"/>
          <w:bCs/>
          <w:sz w:val="32"/>
          <w:szCs w:val="32"/>
          <w:lang w:val="en-US" w:eastAsia="zh-CN"/>
        </w:rPr>
        <w:t>（二）根据现行的医疗器械分类目录及有关分类界定文件，拟申报注册产品明确为第二类医疗器械；</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bCs/>
          <w:sz w:val="32"/>
          <w:szCs w:val="32"/>
          <w:lang w:val="en-US" w:eastAsia="zh-CN"/>
        </w:rPr>
      </w:pPr>
      <w:r>
        <w:rPr>
          <w:rFonts w:hint="eastAsia" w:ascii="Times New Roman" w:hAnsi="Times New Roman" w:eastAsia="仿宋_GB2312"/>
          <w:bCs/>
          <w:sz w:val="32"/>
          <w:szCs w:val="32"/>
          <w:lang w:val="en-US" w:eastAsia="zh-CN"/>
        </w:rPr>
        <w:t>（三）</w:t>
      </w:r>
      <w:r>
        <w:rPr>
          <w:rFonts w:hint="eastAsia" w:ascii="Times New Roman" w:hAnsi="Times New Roman" w:eastAsia="仿宋_GB2312"/>
          <w:bCs/>
          <w:sz w:val="32"/>
          <w:szCs w:val="32"/>
          <w:highlight w:val="none"/>
          <w:lang w:val="en-US" w:eastAsia="zh-CN"/>
        </w:rPr>
        <w:t>注册申请人为注册在本市能够承担相应法律责任的</w:t>
      </w:r>
      <w:r>
        <w:rPr>
          <w:rFonts w:hint="eastAsia" w:ascii="Times New Roman" w:hAnsi="Times New Roman" w:eastAsia="仿宋_GB2312"/>
          <w:bCs/>
          <w:sz w:val="32"/>
          <w:szCs w:val="32"/>
          <w:highlight w:val="none"/>
        </w:rPr>
        <w:t>企业或者研制机构</w:t>
      </w:r>
      <w:r>
        <w:rPr>
          <w:rFonts w:hint="eastAsia" w:ascii="Times New Roman" w:hAnsi="Times New Roman" w:eastAsia="仿宋_GB2312"/>
          <w:bCs/>
          <w:sz w:val="32"/>
          <w:szCs w:val="32"/>
          <w:highlight w:val="none"/>
          <w:lang w:val="en-US" w:eastAsia="zh-CN"/>
        </w:rPr>
        <w:t>，</w:t>
      </w:r>
      <w:r>
        <w:rPr>
          <w:rFonts w:hint="eastAsia" w:ascii="Times New Roman" w:hAnsi="Times New Roman" w:eastAsia="仿宋_GB2312"/>
          <w:bCs/>
          <w:sz w:val="32"/>
          <w:szCs w:val="32"/>
          <w:lang w:val="en-US" w:eastAsia="zh-CN"/>
        </w:rPr>
        <w:t>且注册人申请人及原注册人均未被列入严重违法失信名单；</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bCs/>
          <w:sz w:val="32"/>
          <w:szCs w:val="32"/>
          <w:lang w:val="en-US" w:eastAsia="zh-CN"/>
        </w:rPr>
      </w:pPr>
      <w:r>
        <w:rPr>
          <w:rFonts w:hint="eastAsia" w:ascii="Times New Roman" w:hAnsi="Times New Roman" w:eastAsia="仿宋_GB2312"/>
          <w:bCs/>
          <w:sz w:val="32"/>
          <w:szCs w:val="32"/>
          <w:lang w:val="en-US" w:eastAsia="zh-CN"/>
        </w:rPr>
        <w:t>（四）不存在《医疗器械监督管理条例》禁止的医疗器械注册证买卖、出租、出借、转让等行为。</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黑体" w:hAnsi="黑体" w:eastAsia="黑体"/>
          <w:bCs/>
          <w:sz w:val="32"/>
          <w:szCs w:val="32"/>
          <w:lang w:val="en-US" w:eastAsia="zh-CN"/>
        </w:rPr>
      </w:pPr>
      <w:r>
        <w:rPr>
          <w:rFonts w:hint="eastAsia" w:ascii="黑体" w:hAnsi="黑体" w:eastAsia="黑体"/>
          <w:bCs/>
          <w:sz w:val="32"/>
          <w:szCs w:val="32"/>
          <w:lang w:val="en-US" w:eastAsia="zh-CN"/>
        </w:rPr>
        <w:t>二、注册要求</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bCs/>
          <w:sz w:val="32"/>
          <w:szCs w:val="32"/>
          <w:lang w:val="en-US" w:eastAsia="zh-CN"/>
        </w:rPr>
      </w:pPr>
      <w:r>
        <w:rPr>
          <w:rFonts w:hint="eastAsia" w:ascii="Times New Roman" w:hAnsi="Times New Roman" w:eastAsia="仿宋_GB2312"/>
          <w:bCs/>
          <w:sz w:val="32"/>
          <w:szCs w:val="32"/>
          <w:lang w:val="en-US" w:eastAsia="zh-CN"/>
        </w:rPr>
        <w:t>（一）注册申请内容，除注册人名称、住所、生产地址外，原则上应当与所对应的原境内或者进口医疗器械注册证及其附件载明的相关事项保持一致。</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bCs/>
          <w:sz w:val="32"/>
          <w:szCs w:val="32"/>
          <w:lang w:val="en-US" w:eastAsia="zh-CN"/>
        </w:rPr>
      </w:pPr>
      <w:r>
        <w:rPr>
          <w:rFonts w:hint="eastAsia" w:ascii="Times New Roman" w:hAnsi="Times New Roman" w:eastAsia="仿宋_GB2312"/>
          <w:bCs/>
          <w:sz w:val="32"/>
          <w:szCs w:val="32"/>
          <w:lang w:val="en-US" w:eastAsia="zh-CN"/>
        </w:rPr>
        <w:t>（二）注册申请人按照《天津市药品监督管理局关于调整医疗器械及体外诊断试剂注册申报资料要求的通告》（2021年第3号）要求提交注册申报资料（申报资料具体要求见附件）；</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bCs/>
          <w:sz w:val="32"/>
          <w:szCs w:val="32"/>
          <w:lang w:val="en-US" w:eastAsia="zh-CN"/>
        </w:rPr>
      </w:pPr>
      <w:r>
        <w:rPr>
          <w:rFonts w:hint="eastAsia" w:ascii="Times New Roman" w:hAnsi="Times New Roman" w:eastAsia="仿宋_GB2312"/>
          <w:bCs/>
          <w:sz w:val="32"/>
          <w:szCs w:val="32"/>
          <w:lang w:val="en-US" w:eastAsia="zh-CN"/>
        </w:rPr>
        <w:t>其中，医疗器械产品的综述资料，非临床资料中的产品风险管理资料、研究资料，临床评价资料；体外诊断试剂产品的综述资料，非临床资料中的产品风险管理资料、分析性能研究资料、稳定性研究资料、阳性判断值或参考区间研究资料，</w:t>
      </w:r>
      <w:r>
        <w:rPr>
          <w:rFonts w:hint="eastAsia" w:ascii="Times New Roman" w:hAnsi="Times New Roman" w:eastAsia="仿宋_GB2312"/>
          <w:bCs/>
          <w:sz w:val="32"/>
          <w:szCs w:val="32"/>
          <w:highlight w:val="none"/>
          <w:lang w:val="en-US" w:eastAsia="zh-CN"/>
        </w:rPr>
        <w:t>临床评价资料</w:t>
      </w:r>
      <w:r>
        <w:rPr>
          <w:rFonts w:hint="eastAsia" w:ascii="Times New Roman" w:hAnsi="Times New Roman" w:eastAsia="仿宋_GB2312"/>
          <w:bCs/>
          <w:sz w:val="32"/>
          <w:szCs w:val="32"/>
          <w:lang w:val="en-US" w:eastAsia="zh-CN"/>
        </w:rPr>
        <w:t>，可提交原境内或进口医疗器械注册人的原注册申报资料。</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bCs/>
          <w:sz w:val="32"/>
          <w:szCs w:val="32"/>
          <w:lang w:val="en-US" w:eastAsia="zh-CN"/>
        </w:rPr>
      </w:pPr>
      <w:r>
        <w:rPr>
          <w:rFonts w:hint="eastAsia" w:ascii="Times New Roman" w:hAnsi="Times New Roman" w:eastAsia="仿宋_GB2312"/>
          <w:bCs/>
          <w:sz w:val="32"/>
          <w:szCs w:val="32"/>
          <w:lang w:val="en-US" w:eastAsia="zh-CN"/>
        </w:rPr>
        <w:t>（三）注册申请人和原医疗器械注册人应当确保上述资料与本次注册申请的相关性和支持性，原医疗器械注册人应授权同意相关资料用于注册申报。</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bCs/>
          <w:sz w:val="32"/>
          <w:szCs w:val="32"/>
          <w:lang w:val="en-US" w:eastAsia="zh-CN"/>
        </w:rPr>
      </w:pPr>
      <w:r>
        <w:rPr>
          <w:rFonts w:hint="eastAsia" w:ascii="Times New Roman" w:hAnsi="Times New Roman" w:eastAsia="仿宋_GB2312"/>
          <w:bCs/>
          <w:sz w:val="32"/>
          <w:szCs w:val="32"/>
          <w:lang w:val="en-US" w:eastAsia="zh-CN"/>
        </w:rPr>
        <w:t>（四）按照本通知进口医疗器械注册证要求提交注册申请并获得批准的，注册证备注栏中应当载明相关已获准注册的进口产品的医疗器械注册证号。</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default" w:ascii="黑体" w:hAnsi="黑体" w:eastAsia="黑体"/>
          <w:bCs/>
          <w:sz w:val="32"/>
          <w:szCs w:val="32"/>
          <w:lang w:val="en-US" w:eastAsia="zh-CN"/>
        </w:rPr>
      </w:pPr>
      <w:r>
        <w:rPr>
          <w:rFonts w:hint="eastAsia" w:ascii="黑体" w:hAnsi="黑体" w:eastAsia="黑体"/>
          <w:bCs/>
          <w:sz w:val="32"/>
          <w:szCs w:val="32"/>
          <w:lang w:val="en-US" w:eastAsia="zh-CN"/>
        </w:rPr>
        <w:t>三、工作流程</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bCs/>
          <w:sz w:val="32"/>
          <w:szCs w:val="32"/>
          <w:highlight w:val="none"/>
          <w:lang w:val="en-US" w:eastAsia="zh-CN"/>
        </w:rPr>
      </w:pPr>
      <w:r>
        <w:rPr>
          <w:rFonts w:hint="eastAsia" w:ascii="楷体_GB2312" w:hAnsi="楷体_GB2312" w:eastAsia="楷体_GB2312" w:cs="楷体_GB2312"/>
          <w:bCs/>
          <w:sz w:val="32"/>
          <w:szCs w:val="32"/>
          <w:highlight w:val="none"/>
          <w:lang w:val="en-US" w:eastAsia="zh-CN"/>
        </w:rPr>
        <w:t>（一）立卷审查。</w:t>
      </w:r>
      <w:r>
        <w:rPr>
          <w:rFonts w:hint="eastAsia" w:ascii="Times New Roman" w:hAnsi="Times New Roman" w:eastAsia="仿宋_GB2312"/>
          <w:bCs/>
          <w:sz w:val="32"/>
          <w:szCs w:val="32"/>
          <w:highlight w:val="none"/>
          <w:lang w:val="en-US" w:eastAsia="zh-CN"/>
        </w:rPr>
        <w:t>天津市药品监督管理局（以下简称市药监局）医疗器械注册管理处（以下简称器械注册处）会同</w:t>
      </w:r>
      <w:r>
        <w:rPr>
          <w:rFonts w:hint="eastAsia" w:ascii="Times New Roman" w:hAnsi="Times New Roman" w:eastAsia="仿宋_GB2312"/>
          <w:bCs/>
          <w:sz w:val="32"/>
          <w:szCs w:val="32"/>
          <w:lang w:val="en-US" w:eastAsia="zh-CN"/>
        </w:rPr>
        <w:t>市药监局驻市市政府服务中心窗口（以下简称窗口）依照企业申请，在受理前或受理环节中组织开展立卷审查，对注册申请人按本《通知》要求进入技术审评环节的合规性、一致性进行判断。</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bCs/>
          <w:sz w:val="32"/>
          <w:szCs w:val="32"/>
          <w:lang w:val="en-US" w:eastAsia="zh-CN"/>
        </w:rPr>
      </w:pPr>
      <w:r>
        <w:rPr>
          <w:rFonts w:hint="eastAsia" w:ascii="楷体_GB2312" w:hAnsi="楷体_GB2312" w:eastAsia="楷体_GB2312" w:cs="楷体_GB2312"/>
          <w:bCs/>
          <w:sz w:val="32"/>
          <w:szCs w:val="32"/>
          <w:lang w:val="en-US" w:eastAsia="zh-CN"/>
        </w:rPr>
        <w:t>（二）注册检验。</w:t>
      </w:r>
      <w:r>
        <w:rPr>
          <w:rFonts w:hint="eastAsia" w:ascii="Times New Roman" w:hAnsi="Times New Roman" w:eastAsia="仿宋_GB2312"/>
          <w:bCs/>
          <w:sz w:val="32"/>
          <w:szCs w:val="32"/>
          <w:lang w:val="en-US" w:eastAsia="zh-CN"/>
        </w:rPr>
        <w:t>注册申请人可以委托有资质的医疗器械检验机构出具的检验报告，也可以按照《国家药监局关于发布&lt;医疗器械注册自检管理规定&gt;的公告》（2021年第126号）出具自检报告。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baseline"/>
        <w:rPr>
          <w:rFonts w:hint="default" w:ascii="仿宋_GB2312" w:hAnsi="仿宋_GB2312" w:eastAsia="仿宋_GB2312" w:cs="仿宋_GB2312"/>
          <w:i w:val="0"/>
          <w:iCs w:val="0"/>
          <w:caps w:val="0"/>
          <w:color w:val="auto"/>
          <w:spacing w:val="0"/>
          <w:sz w:val="32"/>
          <w:szCs w:val="32"/>
          <w:shd w:val="clear" w:fill="FFFFFF"/>
          <w:lang w:eastAsia="zh-CN"/>
        </w:rPr>
      </w:pPr>
      <w:r>
        <w:rPr>
          <w:rFonts w:hint="eastAsia" w:ascii="Times New Roman" w:hAnsi="Times New Roman" w:eastAsia="仿宋_GB2312"/>
          <w:bCs/>
          <w:sz w:val="32"/>
          <w:szCs w:val="32"/>
          <w:lang w:val="en-US" w:eastAsia="zh-CN"/>
        </w:rPr>
        <w:t>通过立卷审查的注册申请人向天津市医疗器械质量监督检验中心（以下简称市检验中心）提交产品注册检验申请或补充检验申请的，市检验中心优先检验，及时出具检验报告。</w:t>
      </w:r>
      <w:r>
        <w:rPr>
          <w:rFonts w:hint="default" w:ascii="仿宋_GB2312" w:hAnsi="仿宋_GB2312" w:eastAsia="仿宋_GB2312" w:cs="仿宋_GB2312"/>
          <w:i w:val="0"/>
          <w:iCs w:val="0"/>
          <w:caps w:val="0"/>
          <w:color w:val="auto"/>
          <w:spacing w:val="0"/>
          <w:sz w:val="32"/>
          <w:szCs w:val="32"/>
          <w:shd w:val="clear" w:fill="FFFFFF"/>
          <w:lang w:eastAsia="zh-CN"/>
        </w:rPr>
        <w:t>检验检测一般在45个工作日内完成，特殊情况经检验机构负责人批准可延长。</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bCs/>
          <w:sz w:val="32"/>
          <w:szCs w:val="32"/>
          <w:lang w:val="en-US" w:eastAsia="zh-CN"/>
        </w:rPr>
      </w:pPr>
      <w:r>
        <w:rPr>
          <w:rFonts w:hint="eastAsia" w:ascii="楷体_GB2312" w:hAnsi="楷体_GB2312" w:eastAsia="楷体_GB2312" w:cs="楷体_GB2312"/>
          <w:bCs/>
          <w:sz w:val="32"/>
          <w:szCs w:val="32"/>
          <w:lang w:val="en-US" w:eastAsia="zh-CN"/>
        </w:rPr>
        <w:t>（三）注册受理。</w:t>
      </w:r>
      <w:r>
        <w:rPr>
          <w:rFonts w:hint="eastAsia" w:ascii="Times New Roman" w:hAnsi="Times New Roman" w:eastAsia="仿宋_GB2312"/>
          <w:bCs/>
          <w:sz w:val="32"/>
          <w:szCs w:val="32"/>
          <w:lang w:val="en-US" w:eastAsia="zh-CN"/>
        </w:rPr>
        <w:t>市药监局驻市市政府服务中心窗口（以下简称窗口）自收到申请3个工作日内对</w:t>
      </w:r>
      <w:r>
        <w:rPr>
          <w:rFonts w:hint="default" w:ascii="Times New Roman" w:hAnsi="Times New Roman" w:eastAsia="仿宋_GB2312"/>
          <w:bCs/>
          <w:sz w:val="32"/>
          <w:szCs w:val="32"/>
          <w:lang w:val="en-US" w:eastAsia="zh-CN"/>
        </w:rPr>
        <w:t>注册申请人提交的注册申报资料进行形式审查，对资料齐全、形式符合要求</w:t>
      </w:r>
      <w:r>
        <w:rPr>
          <w:rFonts w:hint="eastAsia" w:ascii="Times New Roman" w:hAnsi="Times New Roman" w:eastAsia="仿宋_GB2312"/>
          <w:bCs/>
          <w:sz w:val="32"/>
          <w:szCs w:val="32"/>
          <w:lang w:val="en-US" w:eastAsia="zh-CN"/>
        </w:rPr>
        <w:t>并通过立卷审查</w:t>
      </w:r>
      <w:r>
        <w:rPr>
          <w:rFonts w:hint="default" w:ascii="Times New Roman" w:hAnsi="Times New Roman" w:eastAsia="仿宋_GB2312"/>
          <w:bCs/>
          <w:sz w:val="32"/>
          <w:szCs w:val="32"/>
          <w:lang w:val="en-US" w:eastAsia="zh-CN"/>
        </w:rPr>
        <w:t>的应予受理，</w:t>
      </w:r>
      <w:r>
        <w:rPr>
          <w:rFonts w:hint="eastAsia" w:ascii="Times New Roman" w:hAnsi="Times New Roman" w:eastAsia="仿宋_GB2312"/>
          <w:bCs/>
          <w:sz w:val="32"/>
          <w:szCs w:val="32"/>
          <w:lang w:val="en-US" w:eastAsia="zh-CN"/>
        </w:rPr>
        <w:t>依实际情况</w:t>
      </w:r>
      <w:r>
        <w:rPr>
          <w:rFonts w:hint="default" w:ascii="Times New Roman" w:hAnsi="Times New Roman" w:eastAsia="仿宋_GB2312"/>
          <w:bCs/>
          <w:sz w:val="32"/>
          <w:szCs w:val="32"/>
          <w:lang w:val="en-US" w:eastAsia="zh-CN"/>
        </w:rPr>
        <w:t>将该注册事项标记为“境内已注册产品在</w:t>
      </w:r>
      <w:r>
        <w:rPr>
          <w:rFonts w:hint="eastAsia" w:ascii="Times New Roman" w:hAnsi="Times New Roman" w:eastAsia="仿宋_GB2312"/>
          <w:bCs/>
          <w:sz w:val="32"/>
          <w:szCs w:val="32"/>
          <w:lang w:val="en-US" w:eastAsia="zh-CN"/>
        </w:rPr>
        <w:t>津注册</w:t>
      </w:r>
      <w:r>
        <w:rPr>
          <w:rFonts w:hint="default" w:ascii="Times New Roman" w:hAnsi="Times New Roman" w:eastAsia="仿宋_GB2312"/>
          <w:bCs/>
          <w:sz w:val="32"/>
          <w:szCs w:val="32"/>
          <w:lang w:val="en-US" w:eastAsia="zh-CN"/>
        </w:rPr>
        <w:t>”</w:t>
      </w:r>
      <w:r>
        <w:rPr>
          <w:rFonts w:hint="eastAsia" w:ascii="Times New Roman" w:hAnsi="Times New Roman" w:eastAsia="仿宋_GB2312"/>
          <w:bCs/>
          <w:sz w:val="32"/>
          <w:szCs w:val="32"/>
          <w:lang w:val="en-US" w:eastAsia="zh-CN"/>
        </w:rPr>
        <w:t>或“进口已注册产品在津注册”，及时流转。</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bCs/>
          <w:sz w:val="32"/>
          <w:szCs w:val="32"/>
          <w:lang w:val="en-US" w:eastAsia="zh-CN"/>
        </w:rPr>
      </w:pPr>
      <w:r>
        <w:rPr>
          <w:rFonts w:hint="eastAsia" w:ascii="楷体_GB2312" w:hAnsi="楷体_GB2312" w:eastAsia="楷体_GB2312" w:cs="楷体_GB2312"/>
          <w:bCs/>
          <w:sz w:val="32"/>
          <w:szCs w:val="32"/>
          <w:lang w:val="en-US" w:eastAsia="zh-CN"/>
        </w:rPr>
        <w:t>（四）技术审评。</w:t>
      </w:r>
      <w:r>
        <w:rPr>
          <w:rFonts w:hint="eastAsia" w:ascii="Times New Roman" w:hAnsi="Times New Roman" w:eastAsia="仿宋_GB2312"/>
          <w:bCs/>
          <w:sz w:val="32"/>
          <w:szCs w:val="32"/>
          <w:lang w:val="en-US" w:eastAsia="zh-CN"/>
        </w:rPr>
        <w:t>天津市医疗器械审评查验中心（以下简称市器械审评查验中心）在5个工作日内完成技术审评。需要申请人补正资料的,应当自收到补正资料之日起5个工作日内完成技术审评（体系核查及专家会时间不计算在内），存在非实质性变化或注册申请人同时申报多个产品等特殊情况的，经市器械审评查验中心负责人批准可延长。</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bCs/>
          <w:sz w:val="32"/>
          <w:szCs w:val="32"/>
          <w:lang w:val="en-US" w:eastAsia="zh-CN"/>
        </w:rPr>
      </w:pPr>
      <w:r>
        <w:rPr>
          <w:rFonts w:hint="eastAsia" w:ascii="楷体_GB2312" w:hAnsi="楷体_GB2312" w:eastAsia="楷体_GB2312" w:cs="楷体_GB2312"/>
          <w:bCs/>
          <w:sz w:val="32"/>
          <w:szCs w:val="32"/>
          <w:lang w:val="en-US" w:eastAsia="zh-CN"/>
        </w:rPr>
        <w:t>（五）体系核查。</w:t>
      </w:r>
      <w:r>
        <w:rPr>
          <w:rFonts w:hint="eastAsia" w:ascii="Times New Roman" w:hAnsi="Times New Roman" w:eastAsia="仿宋_GB2312"/>
          <w:bCs/>
          <w:sz w:val="32"/>
          <w:szCs w:val="32"/>
          <w:lang w:val="en-US" w:eastAsia="zh-CN"/>
        </w:rPr>
        <w:t>市器械审评查验中心在5个工作日内组织开展现场核查。符合《关于减免第二类医疗器械注册体系核查现场检查有关事项的通知》（津药监械注〔2022〕6号）的，按规定程序减免体系核查现场检查。</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bCs/>
          <w:sz w:val="32"/>
          <w:szCs w:val="32"/>
          <w:lang w:val="en-US" w:eastAsia="zh-CN"/>
        </w:rPr>
      </w:pPr>
      <w:r>
        <w:rPr>
          <w:rFonts w:hint="eastAsia" w:ascii="Times New Roman" w:hAnsi="Times New Roman" w:eastAsia="仿宋_GB2312"/>
          <w:bCs/>
          <w:sz w:val="32"/>
          <w:szCs w:val="32"/>
          <w:lang w:val="en-US" w:eastAsia="zh-CN"/>
        </w:rPr>
        <w:t>注册申请人委托外省市医疗器械生产企业生产的，按照《国家药监局综合司关于加强医疗器械跨区域委托生产协同监管工作的意见》（药监综械管〔2022〕21号）和《京津冀医疗器械注册质量管理体系核查跨区域现场检查工作指导原则（试行）》（京药监发〔2023〕131号）等文件执行。</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bCs/>
          <w:sz w:val="32"/>
          <w:szCs w:val="32"/>
          <w:lang w:val="en-US" w:eastAsia="zh-CN"/>
        </w:rPr>
      </w:pPr>
      <w:r>
        <w:rPr>
          <w:rFonts w:hint="eastAsia" w:ascii="楷体_GB2312" w:hAnsi="楷体_GB2312" w:eastAsia="楷体_GB2312" w:cs="楷体_GB2312"/>
          <w:bCs/>
          <w:sz w:val="32"/>
          <w:szCs w:val="32"/>
          <w:lang w:val="en-US" w:eastAsia="zh-CN"/>
        </w:rPr>
        <w:t>（六）行政审批。</w:t>
      </w:r>
      <w:r>
        <w:rPr>
          <w:rFonts w:hint="eastAsia" w:ascii="Times New Roman" w:hAnsi="Times New Roman" w:eastAsia="仿宋_GB2312"/>
          <w:bCs/>
          <w:sz w:val="32"/>
          <w:szCs w:val="32"/>
          <w:lang w:val="en-US" w:eastAsia="zh-CN"/>
        </w:rPr>
        <w:t>市药监局在4个工作日内完成行政审批。</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bCs/>
          <w:sz w:val="32"/>
          <w:szCs w:val="32"/>
          <w:lang w:val="en-US" w:eastAsia="zh-CN"/>
        </w:rPr>
      </w:pPr>
      <w:r>
        <w:rPr>
          <w:rFonts w:hint="eastAsia" w:ascii="楷体_GB2312" w:hAnsi="楷体_GB2312" w:eastAsia="楷体_GB2312" w:cs="楷体_GB2312"/>
          <w:bCs/>
          <w:sz w:val="32"/>
          <w:szCs w:val="32"/>
          <w:lang w:val="en-US" w:eastAsia="zh-CN"/>
        </w:rPr>
        <w:t>（七）批件制作。</w:t>
      </w:r>
      <w:r>
        <w:rPr>
          <w:rFonts w:hint="eastAsia" w:ascii="Times New Roman" w:hAnsi="Times New Roman" w:eastAsia="仿宋_GB2312"/>
          <w:bCs/>
          <w:sz w:val="32"/>
          <w:szCs w:val="32"/>
          <w:lang w:val="en-US" w:eastAsia="zh-CN"/>
        </w:rPr>
        <w:t>市药监局窗口依照行政审批结论在3个工作日内完成批件制作。</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default" w:ascii="黑体" w:hAnsi="黑体" w:eastAsia="黑体"/>
          <w:bCs/>
          <w:sz w:val="32"/>
          <w:szCs w:val="32"/>
          <w:lang w:val="en-US" w:eastAsia="zh-CN"/>
        </w:rPr>
      </w:pPr>
      <w:r>
        <w:rPr>
          <w:rFonts w:hint="eastAsia" w:ascii="黑体" w:hAnsi="黑体" w:eastAsia="黑体"/>
          <w:bCs/>
          <w:sz w:val="32"/>
          <w:szCs w:val="32"/>
          <w:lang w:val="en-US" w:eastAsia="zh-CN"/>
        </w:rPr>
        <w:t>四、工作要求</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bCs/>
          <w:sz w:val="32"/>
          <w:szCs w:val="32"/>
          <w:lang w:val="en-US" w:eastAsia="zh-CN"/>
        </w:rPr>
      </w:pPr>
      <w:r>
        <w:rPr>
          <w:rFonts w:hint="eastAsia" w:ascii="Times New Roman" w:hAnsi="Times New Roman" w:eastAsia="仿宋_GB2312"/>
          <w:bCs/>
          <w:sz w:val="32"/>
          <w:szCs w:val="32"/>
          <w:lang w:val="en-US" w:eastAsia="zh-CN"/>
        </w:rPr>
        <w:t>（一）本市内属同一集团的企业，因兼并、重组或设立企业，重新申请第二类医疗器械注册的，参照本通知境内医疗器械注册证要求执行。</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bCs/>
          <w:sz w:val="32"/>
          <w:szCs w:val="32"/>
          <w:lang w:val="en-US" w:eastAsia="zh-CN"/>
        </w:rPr>
      </w:pPr>
      <w:r>
        <w:rPr>
          <w:rFonts w:hint="eastAsia" w:ascii="Times New Roman" w:hAnsi="Times New Roman" w:eastAsia="仿宋_GB2312"/>
          <w:bCs/>
          <w:sz w:val="32"/>
          <w:szCs w:val="32"/>
          <w:lang w:val="en-US" w:eastAsia="zh-CN"/>
        </w:rPr>
        <w:t>（二）中国境内企业投资的境外注册人在境内生产已获进口医疗器械注册证的第二类、第三类医疗器械产品的，参照本通知进口医疗器械注册证要求执行，由投资境外注册人的中国境内企业作为注册申请人申请该产品注册。</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bCs/>
          <w:sz w:val="32"/>
          <w:szCs w:val="32"/>
          <w:lang w:val="en-US" w:eastAsia="zh-CN"/>
        </w:rPr>
      </w:pPr>
      <w:r>
        <w:rPr>
          <w:rFonts w:hint="eastAsia" w:ascii="Times New Roman" w:hAnsi="Times New Roman" w:eastAsia="仿宋_GB2312"/>
          <w:bCs/>
          <w:sz w:val="32"/>
          <w:szCs w:val="32"/>
          <w:lang w:val="en-US" w:eastAsia="zh-CN"/>
        </w:rPr>
        <w:t>（三）香港、澳门、台湾地区第二类医疗器械产品有关事项参照本通知进口医疗器械注册证要求执行。</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bCs/>
          <w:sz w:val="32"/>
          <w:szCs w:val="32"/>
          <w:lang w:val="en-US" w:eastAsia="zh-CN"/>
        </w:rPr>
      </w:pPr>
      <w:r>
        <w:rPr>
          <w:rFonts w:hint="eastAsia" w:ascii="Times New Roman" w:hAnsi="Times New Roman" w:eastAsia="仿宋_GB2312"/>
          <w:bCs/>
          <w:sz w:val="32"/>
          <w:szCs w:val="32"/>
          <w:lang w:val="en-US" w:eastAsia="zh-CN"/>
        </w:rPr>
        <w:t>（四）立卷审查或审评审批中发现产品存在实质性变化的，按照常规程序开展审评审批。</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bCs/>
          <w:sz w:val="32"/>
          <w:szCs w:val="32"/>
          <w:lang w:val="en-US" w:eastAsia="zh-CN"/>
        </w:rPr>
      </w:pPr>
      <w:r>
        <w:rPr>
          <w:rFonts w:hint="eastAsia" w:ascii="Times New Roman" w:hAnsi="Times New Roman" w:eastAsia="仿宋_GB2312"/>
          <w:bCs/>
          <w:sz w:val="32"/>
          <w:szCs w:val="32"/>
          <w:lang w:val="en-US" w:eastAsia="zh-CN"/>
        </w:rPr>
        <w:t>（五）审批决定不予注册或者注册申请人自行撤审的，该产品再次申报注册时按照常规程序开展审评审批。</w:t>
      </w:r>
      <w:bookmarkStart w:id="0" w:name="_GoBack"/>
      <w:bookmarkEnd w:id="0"/>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bCs/>
          <w:sz w:val="32"/>
          <w:szCs w:val="32"/>
          <w:lang w:val="en-US" w:eastAsia="zh-CN"/>
        </w:rPr>
      </w:pPr>
      <w:r>
        <w:rPr>
          <w:rFonts w:hint="eastAsia" w:ascii="Times New Roman" w:hAnsi="Times New Roman" w:eastAsia="仿宋_GB2312"/>
          <w:bCs/>
          <w:sz w:val="32"/>
          <w:szCs w:val="32"/>
          <w:lang w:val="en-US" w:eastAsia="zh-CN"/>
        </w:rPr>
        <w:t>（六）本通知规定范围外的医疗器械注册人，将</w:t>
      </w:r>
      <w:r>
        <w:rPr>
          <w:rFonts w:hint="default" w:ascii="Times New Roman" w:hAnsi="Times New Roman" w:eastAsia="仿宋_GB2312"/>
          <w:bCs/>
          <w:sz w:val="32"/>
          <w:szCs w:val="32"/>
          <w:lang w:val="en-US" w:eastAsia="zh-CN"/>
        </w:rPr>
        <w:t>已取得进口第二类医疗器械注册证的产品</w:t>
      </w:r>
      <w:r>
        <w:rPr>
          <w:rFonts w:hint="eastAsia" w:ascii="Times New Roman" w:hAnsi="Times New Roman" w:eastAsia="仿宋_GB2312"/>
          <w:bCs/>
          <w:sz w:val="32"/>
          <w:szCs w:val="32"/>
          <w:lang w:val="en-US" w:eastAsia="zh-CN"/>
        </w:rPr>
        <w:t>或在境外已获准上市的第二类医疗器械产品在我市申请注册的，按照《天津市药品监督管理局关于印发天津市第二类医疗器械优先审批程序的通知》（津药监规〔2019〕3号）要求实施优先审批。</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bCs/>
          <w:sz w:val="32"/>
          <w:szCs w:val="32"/>
          <w:lang w:val="en-US" w:eastAsia="zh-CN"/>
        </w:rPr>
      </w:pPr>
      <w:r>
        <w:rPr>
          <w:rFonts w:hint="eastAsia" w:ascii="Times New Roman" w:hAnsi="Times New Roman" w:eastAsia="仿宋_GB2312"/>
          <w:bCs/>
          <w:sz w:val="32"/>
          <w:szCs w:val="32"/>
          <w:lang w:val="en-US" w:eastAsia="zh-CN"/>
        </w:rPr>
        <w:t>符合《食品药品监管总局关于发布接受医疗器械境外临床试验数据技术指导原则的通告》（2018年第13号）要求的，可以按要求提供申报产品境外临床试验数据。</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黑体" w:hAnsi="黑体" w:eastAsia="黑体"/>
          <w:bCs/>
          <w:sz w:val="32"/>
          <w:szCs w:val="32"/>
          <w:lang w:val="en-US" w:eastAsia="zh-CN"/>
        </w:rPr>
      </w:pPr>
      <w:r>
        <w:rPr>
          <w:rFonts w:hint="eastAsia" w:ascii="黑体" w:hAnsi="黑体" w:eastAsia="黑体"/>
          <w:bCs/>
          <w:sz w:val="32"/>
          <w:szCs w:val="32"/>
          <w:lang w:val="en-US" w:eastAsia="zh-CN"/>
        </w:rPr>
        <w:t>五、其他事项</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bCs/>
          <w:sz w:val="32"/>
          <w:szCs w:val="32"/>
          <w:lang w:val="en-US" w:eastAsia="zh-CN"/>
        </w:rPr>
      </w:pPr>
      <w:r>
        <w:rPr>
          <w:rFonts w:hint="eastAsia" w:ascii="Times New Roman" w:hAnsi="Times New Roman" w:eastAsia="仿宋_GB2312"/>
          <w:bCs/>
          <w:sz w:val="32"/>
          <w:szCs w:val="32"/>
          <w:lang w:val="en-US" w:eastAsia="zh-CN"/>
        </w:rPr>
        <w:t>（一）本通知规定与国家药监局后期出台政策不一致的，以国家药监局相关规定为准。</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bCs/>
          <w:sz w:val="32"/>
          <w:szCs w:val="32"/>
          <w:lang w:val="en-US" w:eastAsia="zh-CN"/>
        </w:rPr>
      </w:pPr>
      <w:r>
        <w:rPr>
          <w:rFonts w:hint="eastAsia" w:ascii="Times New Roman" w:hAnsi="Times New Roman" w:eastAsia="仿宋_GB2312"/>
          <w:bCs/>
          <w:sz w:val="32"/>
          <w:szCs w:val="32"/>
          <w:lang w:val="en-US" w:eastAsia="zh-CN"/>
        </w:rPr>
        <w:t>（二）本通知规定自发布之日起执行，有效期</w:t>
      </w:r>
      <w:r>
        <w:rPr>
          <w:rFonts w:hint="default" w:ascii="Times New Roman" w:hAnsi="Times New Roman" w:eastAsia="仿宋_GB2312"/>
          <w:bCs/>
          <w:sz w:val="32"/>
          <w:szCs w:val="32"/>
          <w:lang w:val="en-US" w:eastAsia="zh-CN"/>
        </w:rPr>
        <w:t>5</w:t>
      </w:r>
      <w:r>
        <w:rPr>
          <w:rFonts w:hint="eastAsia" w:ascii="Times New Roman" w:hAnsi="Times New Roman" w:eastAsia="仿宋_GB2312"/>
          <w:bCs/>
          <w:sz w:val="32"/>
          <w:szCs w:val="32"/>
          <w:lang w:val="en-US" w:eastAsia="zh-CN"/>
        </w:rPr>
        <w:t>年，原《天津市药品监督管理局关于简化外省市医疗器械企业产品迁入我市相关审批工作的通知》（津药监规〔2020〕1号）和《天津市药品监督管理局关于优化境外医疗器械产品迁入我市有关审批事项的通知（试行）》（津药监械注〔2022〕7号）废止。</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bCs/>
          <w:sz w:val="32"/>
          <w:szCs w:val="32"/>
          <w:lang w:val="en-US" w:eastAsia="zh-CN"/>
        </w:rPr>
      </w:pP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bCs/>
          <w:sz w:val="32"/>
          <w:szCs w:val="32"/>
          <w:lang w:val="en-US" w:eastAsia="zh-CN"/>
        </w:rPr>
      </w:pPr>
      <w:r>
        <w:rPr>
          <w:rFonts w:hint="eastAsia" w:ascii="Times New Roman" w:hAnsi="Times New Roman" w:eastAsia="仿宋_GB2312"/>
          <w:bCs/>
          <w:sz w:val="32"/>
          <w:szCs w:val="32"/>
          <w:lang w:val="en-US" w:eastAsia="zh-CN"/>
        </w:rPr>
        <w:t>附件：已上市第二类医疗器械产品在津注册申报资料要求</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bCs/>
          <w:sz w:val="32"/>
          <w:szCs w:val="32"/>
          <w:lang w:val="en-US" w:eastAsia="zh-CN"/>
        </w:rPr>
      </w:pP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bCs/>
          <w:sz w:val="32"/>
          <w:szCs w:val="32"/>
          <w:lang w:val="en-US" w:eastAsia="zh-CN"/>
        </w:rPr>
      </w:pP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jc w:val="right"/>
        <w:textAlignment w:val="auto"/>
        <w:rPr>
          <w:rFonts w:hint="eastAsia" w:ascii="Times New Roman" w:hAnsi="Times New Roman" w:eastAsia="仿宋_GB2312"/>
          <w:bCs/>
          <w:sz w:val="32"/>
          <w:szCs w:val="32"/>
          <w:lang w:val="en-US" w:eastAsia="zh-CN"/>
        </w:rPr>
      </w:pPr>
      <w:r>
        <w:rPr>
          <w:rFonts w:hint="eastAsia" w:ascii="Times New Roman" w:hAnsi="Times New Roman" w:eastAsia="仿宋_GB2312"/>
          <w:bCs/>
          <w:sz w:val="32"/>
          <w:szCs w:val="32"/>
          <w:lang w:val="en-US" w:eastAsia="zh-CN"/>
        </w:rPr>
        <w:t>天津市药品监督管理局</w:t>
      </w:r>
    </w:p>
    <w:p>
      <w:pPr>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jc w:val="right"/>
        <w:textAlignment w:val="auto"/>
        <w:rPr>
          <w:rFonts w:hint="eastAsia" w:ascii="Times New Roman" w:hAnsi="Times New Roman" w:eastAsia="仿宋_GB2312"/>
          <w:bCs/>
          <w:sz w:val="32"/>
          <w:szCs w:val="32"/>
          <w:lang w:val="en-US" w:eastAsia="zh-CN"/>
        </w:rPr>
      </w:pPr>
      <w:r>
        <w:rPr>
          <w:rFonts w:hint="eastAsia" w:ascii="Times New Roman" w:hAnsi="Times New Roman" w:eastAsia="仿宋_GB2312"/>
          <w:bCs/>
          <w:sz w:val="32"/>
          <w:szCs w:val="32"/>
          <w:lang w:val="en-US" w:eastAsia="zh-CN"/>
        </w:rPr>
        <w:t xml:space="preserve">2023年X月X日  </w:t>
      </w:r>
    </w:p>
    <w:p>
      <w:pPr>
        <w:rPr>
          <w:rFonts w:hint="eastAsia" w:ascii="Times New Roman" w:hAnsi="Times New Roman" w:eastAsia="仿宋_GB2312"/>
          <w:bCs/>
          <w:sz w:val="32"/>
          <w:szCs w:val="32"/>
          <w:lang w:val="en-US" w:eastAsia="zh-CN"/>
        </w:rPr>
      </w:pPr>
      <w:r>
        <w:rPr>
          <w:rFonts w:hint="eastAsia" w:ascii="Times New Roman" w:hAnsi="Times New Roman" w:eastAsia="仿宋_GB2312"/>
          <w:bCs/>
          <w:sz w:val="32"/>
          <w:szCs w:val="32"/>
          <w:lang w:val="en-US" w:eastAsia="zh-CN"/>
        </w:rPr>
        <w:br w:type="page"/>
      </w:r>
    </w:p>
    <w:p>
      <w:pPr>
        <w:keepNext w:val="0"/>
        <w:keepLines w:val="0"/>
        <w:pageBreakBefore w:val="0"/>
        <w:widowControl w:val="0"/>
        <w:kinsoku/>
        <w:wordWrap w:val="0"/>
        <w:overflowPunct/>
        <w:topLinePunct w:val="0"/>
        <w:autoSpaceDE/>
        <w:autoSpaceDN/>
        <w:bidi w:val="0"/>
        <w:adjustRightInd w:val="0"/>
        <w:snapToGrid w:val="0"/>
        <w:spacing w:line="560" w:lineRule="exact"/>
        <w:jc w:val="both"/>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附件</w:t>
      </w:r>
    </w:p>
    <w:p>
      <w:pPr>
        <w:keepNext w:val="0"/>
        <w:keepLines w:val="0"/>
        <w:pageBreakBefore w:val="0"/>
        <w:widowControl w:val="0"/>
        <w:kinsoku/>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已上市第二类医疗器械产品在津注册</w:t>
      </w:r>
    </w:p>
    <w:p>
      <w:pPr>
        <w:keepNext w:val="0"/>
        <w:keepLines w:val="0"/>
        <w:pageBreakBefore w:val="0"/>
        <w:widowControl w:val="0"/>
        <w:kinsoku/>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申报资料要求</w:t>
      </w:r>
    </w:p>
    <w:p>
      <w:pPr>
        <w:keepNext w:val="0"/>
        <w:keepLines w:val="0"/>
        <w:pageBreakBefore w:val="0"/>
        <w:widowControl w:val="0"/>
        <w:kinsoku/>
        <w:overflowPunct/>
        <w:topLinePunct w:val="0"/>
        <w:autoSpaceDE/>
        <w:autoSpaceDN/>
        <w:bidi w:val="0"/>
        <w:adjustRightInd w:val="0"/>
        <w:snapToGrid w:val="0"/>
        <w:spacing w:line="560" w:lineRule="exact"/>
        <w:textAlignment w:val="auto"/>
        <w:rPr>
          <w:rFonts w:hint="eastAsia" w:ascii="Times New Roman" w:hAnsi="Times New Roman" w:eastAsia="仿宋_GB2312"/>
          <w:bCs/>
          <w:sz w:val="32"/>
          <w:szCs w:val="32"/>
          <w:lang w:val="en-US" w:eastAsia="zh-CN"/>
        </w:rPr>
      </w:pP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bCs/>
          <w:sz w:val="32"/>
          <w:szCs w:val="32"/>
          <w:lang w:val="en-US" w:eastAsia="zh-CN"/>
        </w:rPr>
      </w:pPr>
      <w:r>
        <w:rPr>
          <w:rFonts w:hint="eastAsia" w:ascii="Times New Roman" w:hAnsi="Times New Roman" w:eastAsia="仿宋_GB2312"/>
          <w:bCs/>
          <w:sz w:val="32"/>
          <w:szCs w:val="32"/>
          <w:lang w:val="en-US" w:eastAsia="zh-CN"/>
        </w:rPr>
        <w:t>一、</w:t>
      </w:r>
      <w:r>
        <w:rPr>
          <w:rFonts w:hint="default" w:ascii="Times New Roman" w:hAnsi="Times New Roman" w:eastAsia="仿宋_GB2312"/>
          <w:bCs/>
          <w:sz w:val="32"/>
          <w:szCs w:val="32"/>
          <w:lang w:val="en-US" w:eastAsia="zh-CN"/>
        </w:rPr>
        <w:t>注册申请人</w:t>
      </w:r>
      <w:r>
        <w:rPr>
          <w:rFonts w:hint="eastAsia" w:ascii="Times New Roman" w:hAnsi="Times New Roman" w:eastAsia="仿宋_GB2312"/>
          <w:bCs/>
          <w:sz w:val="32"/>
          <w:szCs w:val="32"/>
          <w:lang w:val="en-US" w:eastAsia="zh-CN"/>
        </w:rPr>
        <w:t>应当</w:t>
      </w:r>
      <w:r>
        <w:rPr>
          <w:rFonts w:hint="default" w:ascii="Times New Roman" w:hAnsi="Times New Roman" w:eastAsia="仿宋_GB2312"/>
          <w:bCs/>
          <w:sz w:val="32"/>
          <w:szCs w:val="32"/>
          <w:lang w:val="en-US" w:eastAsia="zh-CN"/>
        </w:rPr>
        <w:t>按照</w:t>
      </w:r>
      <w:r>
        <w:rPr>
          <w:rFonts w:hint="eastAsia" w:ascii="Times New Roman" w:hAnsi="Times New Roman" w:eastAsia="仿宋_GB2312"/>
          <w:bCs/>
          <w:sz w:val="32"/>
          <w:szCs w:val="32"/>
          <w:lang w:val="en-US" w:eastAsia="zh-CN"/>
        </w:rPr>
        <w:t>国家药品监督管理局</w:t>
      </w:r>
      <w:r>
        <w:rPr>
          <w:rFonts w:hint="default" w:ascii="Times New Roman" w:hAnsi="Times New Roman" w:eastAsia="仿宋_GB2312"/>
          <w:bCs/>
          <w:sz w:val="32"/>
          <w:szCs w:val="32"/>
          <w:lang w:val="en-US" w:eastAsia="zh-CN"/>
        </w:rPr>
        <w:t>《关于公布医疗器械注册申报资料要求和批准证明文件格式的公告》（2021年第121号公告）</w:t>
      </w:r>
      <w:r>
        <w:rPr>
          <w:rFonts w:hint="eastAsia" w:ascii="Times New Roman" w:hAnsi="Times New Roman" w:eastAsia="仿宋_GB2312"/>
          <w:bCs/>
          <w:sz w:val="32"/>
          <w:szCs w:val="32"/>
          <w:lang w:val="en-US" w:eastAsia="zh-CN"/>
        </w:rPr>
        <w:t>、</w:t>
      </w:r>
      <w:r>
        <w:rPr>
          <w:rFonts w:hint="default" w:ascii="Times New Roman" w:hAnsi="Times New Roman" w:eastAsia="仿宋_GB2312"/>
          <w:bCs/>
          <w:sz w:val="32"/>
          <w:szCs w:val="32"/>
          <w:lang w:val="en-US" w:eastAsia="zh-CN"/>
        </w:rPr>
        <w:t>《关于公布体外诊断试剂注册申报资料要求和批准证明文件格式的公告》（2021年第122号公告）</w:t>
      </w:r>
      <w:r>
        <w:rPr>
          <w:rFonts w:hint="eastAsia" w:ascii="Times New Roman" w:hAnsi="Times New Roman" w:eastAsia="仿宋_GB2312"/>
          <w:bCs/>
          <w:sz w:val="32"/>
          <w:szCs w:val="32"/>
          <w:lang w:val="en-US" w:eastAsia="zh-CN"/>
        </w:rPr>
        <w:t>和《天津市药品监督管理局关于调整医疗器械及体外诊断试剂注册申报资料要求的通告》（2021年第3号）</w:t>
      </w:r>
      <w:r>
        <w:rPr>
          <w:rFonts w:hint="default" w:ascii="Times New Roman" w:hAnsi="Times New Roman" w:eastAsia="仿宋_GB2312"/>
          <w:bCs/>
          <w:sz w:val="32"/>
          <w:szCs w:val="32"/>
          <w:lang w:val="en-US" w:eastAsia="zh-CN"/>
        </w:rPr>
        <w:t>等要求提交注册申报资料</w:t>
      </w:r>
      <w:r>
        <w:rPr>
          <w:rFonts w:hint="eastAsia" w:ascii="Times New Roman" w:hAnsi="Times New Roman" w:eastAsia="仿宋_GB2312"/>
          <w:bCs/>
          <w:sz w:val="32"/>
          <w:szCs w:val="32"/>
          <w:lang w:val="en-US" w:eastAsia="zh-CN"/>
        </w:rPr>
        <w:t>。</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bCs/>
          <w:sz w:val="32"/>
          <w:szCs w:val="32"/>
          <w:lang w:val="en-US" w:eastAsia="zh-CN"/>
        </w:rPr>
      </w:pPr>
      <w:r>
        <w:rPr>
          <w:rFonts w:hint="eastAsia" w:ascii="Times New Roman" w:hAnsi="Times New Roman" w:eastAsia="仿宋_GB2312"/>
          <w:bCs/>
          <w:sz w:val="32"/>
          <w:szCs w:val="32"/>
          <w:lang w:val="en-US" w:eastAsia="zh-CN"/>
        </w:rPr>
        <w:t>二、除前款要求外，注册申请人应按照如下要求提交相应注册申报资料：</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Cs/>
          <w:sz w:val="32"/>
          <w:szCs w:val="32"/>
          <w:lang w:val="en-US" w:eastAsia="zh-CN"/>
        </w:rPr>
      </w:pPr>
      <w:r>
        <w:rPr>
          <w:rFonts w:hint="eastAsia" w:ascii="楷体_GB2312" w:hAnsi="楷体_GB2312" w:eastAsia="楷体_GB2312" w:cs="楷体_GB2312"/>
          <w:bCs/>
          <w:sz w:val="32"/>
          <w:szCs w:val="32"/>
          <w:lang w:val="en-US" w:eastAsia="zh-CN"/>
        </w:rPr>
        <w:t>（一）“1.监管文件”目录下“关联文件”要求</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bCs/>
          <w:sz w:val="32"/>
          <w:szCs w:val="32"/>
          <w:lang w:val="en-US" w:eastAsia="zh-CN"/>
        </w:rPr>
      </w:pPr>
      <w:r>
        <w:rPr>
          <w:rFonts w:hint="eastAsia" w:ascii="Times New Roman" w:hAnsi="Times New Roman" w:eastAsia="仿宋_GB2312"/>
          <w:bCs/>
          <w:sz w:val="32"/>
          <w:szCs w:val="32"/>
          <w:lang w:val="en-US" w:eastAsia="zh-CN"/>
        </w:rPr>
        <w:t>1.注册申请人与原境内或进口医疗器械注册人的关系（包括法律责任）说明文件，应当附相关协议、质量责任、股权证明等文件。（由注册申请人提供）</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bCs/>
          <w:sz w:val="32"/>
          <w:szCs w:val="32"/>
          <w:lang w:val="en-US" w:eastAsia="zh-CN"/>
        </w:rPr>
      </w:pPr>
      <w:r>
        <w:rPr>
          <w:rFonts w:hint="eastAsia" w:ascii="Times New Roman" w:hAnsi="Times New Roman" w:eastAsia="仿宋_GB2312"/>
          <w:bCs/>
          <w:sz w:val="32"/>
          <w:szCs w:val="32"/>
          <w:lang w:val="en-US" w:eastAsia="zh-CN"/>
        </w:rPr>
        <w:t>2.原境内或进口医疗器械注册人同意注册申报的声明或授权文件。声明同意境内xx注册人进行xx产品注册申报，授权注册申请人使用相应进口产品注册申报资料，确保与此次注册申请的相关性和支持性，提供使用相应产品注册申报资料的清单。</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bCs/>
          <w:sz w:val="32"/>
          <w:szCs w:val="32"/>
          <w:lang w:val="en-US" w:eastAsia="zh-CN"/>
        </w:rPr>
      </w:pPr>
      <w:r>
        <w:rPr>
          <w:rFonts w:hint="eastAsia" w:ascii="Times New Roman" w:hAnsi="Times New Roman" w:eastAsia="仿宋_GB2312"/>
          <w:bCs/>
          <w:sz w:val="32"/>
          <w:szCs w:val="32"/>
          <w:lang w:val="en-US" w:eastAsia="zh-CN"/>
        </w:rPr>
        <w:t>3.已取得的原第二类医疗器械注册证、上一注册周期变更注册或备案文件、说明书、技术要求等，并提交原第二类医疗器械产品历年来强制性标准与注册指导原则发布与执行情况等。</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Cs/>
          <w:sz w:val="32"/>
          <w:szCs w:val="32"/>
          <w:lang w:val="en-US" w:eastAsia="zh-CN"/>
        </w:rPr>
      </w:pPr>
      <w:r>
        <w:rPr>
          <w:rFonts w:hint="eastAsia" w:ascii="楷体_GB2312" w:hAnsi="楷体_GB2312" w:eastAsia="楷体_GB2312" w:cs="楷体_GB2312"/>
          <w:bCs/>
          <w:sz w:val="32"/>
          <w:szCs w:val="32"/>
          <w:lang w:val="en-US" w:eastAsia="zh-CN"/>
        </w:rPr>
        <w:t>（二）“1.监管文件”目录下“申报前与监管机构的联系情况和沟通记录”要求</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bCs/>
          <w:sz w:val="32"/>
          <w:szCs w:val="32"/>
          <w:lang w:val="en-US" w:eastAsia="zh-CN"/>
        </w:rPr>
      </w:pPr>
      <w:r>
        <w:rPr>
          <w:rFonts w:hint="eastAsia" w:ascii="Times New Roman" w:hAnsi="Times New Roman" w:eastAsia="仿宋_GB2312"/>
          <w:bCs/>
          <w:sz w:val="32"/>
          <w:szCs w:val="32"/>
          <w:lang w:val="en-US" w:eastAsia="zh-CN"/>
        </w:rPr>
        <w:t>注册申请人开展立卷审查情况（如适用）。</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default" w:ascii="楷体_GB2312" w:hAnsi="楷体_GB2312" w:eastAsia="楷体_GB2312" w:cs="楷体_GB2312"/>
          <w:bCs/>
          <w:sz w:val="32"/>
          <w:szCs w:val="32"/>
          <w:lang w:val="en-US" w:eastAsia="zh-CN"/>
        </w:rPr>
      </w:pPr>
      <w:r>
        <w:rPr>
          <w:rFonts w:hint="eastAsia" w:ascii="楷体_GB2312" w:hAnsi="楷体_GB2312" w:eastAsia="楷体_GB2312" w:cs="楷体_GB2312"/>
          <w:bCs/>
          <w:sz w:val="32"/>
          <w:szCs w:val="32"/>
          <w:lang w:val="en-US" w:eastAsia="zh-CN"/>
        </w:rPr>
        <w:t>（三）“1.监管文件”目录下“符合性声明”要求</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bCs/>
          <w:sz w:val="32"/>
          <w:szCs w:val="32"/>
          <w:lang w:val="en-US" w:eastAsia="zh-CN"/>
        </w:rPr>
      </w:pPr>
      <w:r>
        <w:rPr>
          <w:rFonts w:hint="eastAsia" w:ascii="Times New Roman" w:hAnsi="Times New Roman" w:eastAsia="仿宋_GB2312"/>
          <w:bCs/>
          <w:sz w:val="32"/>
          <w:szCs w:val="32"/>
          <w:lang w:val="en-US" w:eastAsia="zh-CN"/>
        </w:rPr>
        <w:t>注册申请人和原医疗器械注册人出具的资料真实性承诺。</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Cs/>
          <w:sz w:val="32"/>
          <w:szCs w:val="32"/>
          <w:lang w:val="en-US" w:eastAsia="zh-CN"/>
        </w:rPr>
      </w:pPr>
      <w:r>
        <w:rPr>
          <w:rFonts w:hint="eastAsia" w:ascii="楷体_GB2312" w:hAnsi="楷体_GB2312" w:eastAsia="楷体_GB2312" w:cs="楷体_GB2312"/>
          <w:bCs/>
          <w:sz w:val="32"/>
          <w:szCs w:val="32"/>
          <w:lang w:val="en-US" w:eastAsia="zh-CN"/>
        </w:rPr>
        <w:t>（四）“6.质量管理体系文件”目录下“综述”要求</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bCs/>
          <w:sz w:val="32"/>
          <w:szCs w:val="32"/>
          <w:lang w:val="en-US" w:eastAsia="zh-CN"/>
        </w:rPr>
      </w:pPr>
      <w:r>
        <w:rPr>
          <w:rFonts w:hint="default" w:ascii="Times New Roman" w:hAnsi="Times New Roman" w:eastAsia="仿宋_GB2312"/>
          <w:bCs/>
          <w:sz w:val="32"/>
          <w:szCs w:val="32"/>
          <w:lang w:val="en-US" w:eastAsia="zh-CN"/>
        </w:rPr>
        <w:t>申请注册产品与</w:t>
      </w:r>
      <w:r>
        <w:rPr>
          <w:rFonts w:hint="eastAsia" w:ascii="Times New Roman" w:hAnsi="Times New Roman" w:eastAsia="仿宋_GB2312"/>
          <w:bCs/>
          <w:sz w:val="32"/>
          <w:szCs w:val="32"/>
          <w:lang w:val="en-US" w:eastAsia="zh-CN"/>
        </w:rPr>
        <w:t>原境内或</w:t>
      </w:r>
      <w:r>
        <w:rPr>
          <w:rFonts w:hint="default" w:ascii="Times New Roman" w:hAnsi="Times New Roman" w:eastAsia="仿宋_GB2312"/>
          <w:bCs/>
          <w:sz w:val="32"/>
          <w:szCs w:val="32"/>
          <w:lang w:val="en-US" w:eastAsia="zh-CN"/>
        </w:rPr>
        <w:t>进口产品生产质量管理体系等同性的声明。（注册申请人和</w:t>
      </w:r>
      <w:r>
        <w:rPr>
          <w:rFonts w:hint="eastAsia" w:ascii="Times New Roman" w:hAnsi="Times New Roman" w:eastAsia="仿宋_GB2312"/>
          <w:bCs/>
          <w:sz w:val="32"/>
          <w:szCs w:val="32"/>
          <w:lang w:val="en-US" w:eastAsia="zh-CN"/>
        </w:rPr>
        <w:t>原境内或</w:t>
      </w:r>
      <w:r>
        <w:rPr>
          <w:rFonts w:hint="default" w:ascii="Times New Roman" w:hAnsi="Times New Roman" w:eastAsia="仿宋_GB2312"/>
          <w:bCs/>
          <w:sz w:val="32"/>
          <w:szCs w:val="32"/>
          <w:lang w:val="en-US" w:eastAsia="zh-CN"/>
        </w:rPr>
        <w:t>进口医疗器械注册人分别出具）</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bCs/>
          <w:sz w:val="32"/>
          <w:szCs w:val="32"/>
          <w:lang w:val="en-US" w:eastAsia="zh-CN"/>
        </w:rPr>
      </w:pPr>
      <w:r>
        <w:rPr>
          <w:rFonts w:hint="eastAsia" w:ascii="Times New Roman" w:hAnsi="Times New Roman" w:eastAsia="仿宋_GB2312"/>
          <w:bCs/>
          <w:sz w:val="32"/>
          <w:szCs w:val="32"/>
          <w:lang w:val="en-US" w:eastAsia="zh-CN"/>
        </w:rPr>
        <w:t>三、提交原境内或进口医疗器械注册人的原注册申报资料的，应当在“2.综述资料”目录下“其他需说明的内容”中予以明示。</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bCs/>
          <w:sz w:val="32"/>
          <w:szCs w:val="32"/>
          <w:lang w:val="en-US" w:eastAsia="zh-CN"/>
        </w:rPr>
      </w:pPr>
      <w:r>
        <w:rPr>
          <w:rFonts w:hint="eastAsia" w:ascii="Times New Roman" w:hAnsi="Times New Roman" w:eastAsia="仿宋_GB2312"/>
          <w:bCs/>
          <w:sz w:val="32"/>
          <w:szCs w:val="32"/>
          <w:lang w:val="en-US" w:eastAsia="zh-CN"/>
        </w:rPr>
        <w:t>四、</w:t>
      </w:r>
      <w:r>
        <w:rPr>
          <w:rFonts w:hint="default" w:ascii="Times New Roman" w:hAnsi="Times New Roman" w:eastAsia="仿宋_GB2312"/>
          <w:bCs/>
          <w:sz w:val="32"/>
          <w:szCs w:val="32"/>
          <w:lang w:val="en-US" w:eastAsia="zh-CN"/>
        </w:rPr>
        <w:t>各项文件除关联文件外，均应当以中文形式提供。如证明性文件为外文形式，还应当提供中文译本并由代理人签章。根据外文资料翻译的申报资料，应当同时提供原文。</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bCs/>
          <w:sz w:val="32"/>
          <w:szCs w:val="32"/>
          <w:lang w:val="en-US" w:eastAsia="zh-CN"/>
        </w:rPr>
      </w:pPr>
    </w:p>
    <w:p/>
    <w:sectPr>
      <w:footerReference r:id="rId3" w:type="default"/>
      <w:pgSz w:w="11906" w:h="16838"/>
      <w:pgMar w:top="1440" w:right="1701" w:bottom="1440" w:left="170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xODZjOWZlMzE5YWQ3OWRiZTgwODQzYWE1NGJlMmEifQ=="/>
  </w:docVars>
  <w:rsids>
    <w:rsidRoot w:val="0F5838A0"/>
    <w:rsid w:val="0F5838A0"/>
    <w:rsid w:val="1C45336E"/>
    <w:rsid w:val="1F301408"/>
    <w:rsid w:val="28BA3E25"/>
    <w:rsid w:val="48C4659A"/>
    <w:rsid w:val="4CE30971"/>
    <w:rsid w:val="696D7917"/>
    <w:rsid w:val="6DF901E4"/>
    <w:rsid w:val="71851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3421</Words>
  <Characters>3495</Characters>
  <Lines>0</Lines>
  <Paragraphs>0</Paragraphs>
  <TotalTime>8</TotalTime>
  <ScaleCrop>false</ScaleCrop>
  <LinksUpToDate>false</LinksUpToDate>
  <CharactersWithSpaces>3497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2023-06-13T07:45:00Z</dcterms:created>
  <dc:creator>Huiun</dc:creator>
  <cp:lastModifiedBy>Huiun</cp:lastModifiedBy>
  <cp:lastPrinted>2023-06-14T07:53:00Z</cp:lastPrinted>
  <dcterms:modified xsi:type="dcterms:W3CDTF">2023-06-14T09:10:03Z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0ABD5625F4A1473798134AB15DEB3A25_11</vt:lpwstr>
  </property>
</Properties>
</file>