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A498D">
      <w:pPr>
        <w:spacing w:line="66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天津市医疗机构中药制剂质量标准制定</w:t>
      </w:r>
    </w:p>
    <w:p w14:paraId="0DBBA4BF">
      <w:pPr>
        <w:spacing w:line="66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技术指导原则</w:t>
      </w:r>
    </w:p>
    <w:p w14:paraId="2E28F466">
      <w:pPr>
        <w:jc w:val="center"/>
        <w:rPr>
          <w:rFonts w:ascii="仿宋_GB2312" w:eastAsia="仿宋_GB2312"/>
          <w:color w:val="auto"/>
          <w:sz w:val="32"/>
          <w:szCs w:val="32"/>
        </w:rPr>
      </w:pPr>
      <w:r>
        <w:rPr>
          <w:rFonts w:hint="eastAsia" w:ascii="仿宋_GB2312" w:eastAsia="仿宋_GB2312"/>
          <w:color w:val="auto"/>
          <w:sz w:val="32"/>
          <w:szCs w:val="32"/>
        </w:rPr>
        <w:t>（征求意见稿）</w:t>
      </w:r>
    </w:p>
    <w:p w14:paraId="3F88E272">
      <w:pPr>
        <w:rPr>
          <w:rFonts w:ascii="仿宋_GB2312" w:eastAsia="仿宋_GB2312"/>
          <w:color w:val="auto"/>
          <w:sz w:val="32"/>
          <w:szCs w:val="32"/>
        </w:rPr>
      </w:pPr>
    </w:p>
    <w:p w14:paraId="5C996E64">
      <w:pPr>
        <w:ind w:firstLine="640" w:firstLineChars="200"/>
        <w:rPr>
          <w:rFonts w:ascii="仿宋_GB2312" w:eastAsia="仿宋_GB2312"/>
          <w:color w:val="auto"/>
          <w:sz w:val="32"/>
          <w:szCs w:val="32"/>
        </w:rPr>
      </w:pPr>
      <w:r>
        <w:rPr>
          <w:rFonts w:hint="eastAsia" w:ascii="仿宋_GB2312" w:eastAsia="仿宋_GB2312"/>
          <w:color w:val="auto"/>
          <w:sz w:val="32"/>
          <w:szCs w:val="32"/>
        </w:rPr>
        <w:t>为加强我市医疗机构中药制剂的管理，规范其质量标准的制定，提升医疗机构中药制剂管理的科学性和规范性，现依据《医疗机构</w:t>
      </w:r>
      <w:r>
        <w:rPr>
          <w:rFonts w:hint="eastAsia" w:ascii="仿宋_GB2312" w:eastAsia="仿宋_GB2312"/>
          <w:color w:val="auto"/>
          <w:sz w:val="32"/>
          <w:szCs w:val="32"/>
        </w:rPr>
        <w:t>制剂注册</w:t>
      </w:r>
      <w:r>
        <w:rPr>
          <w:rFonts w:hint="eastAsia" w:ascii="仿宋_GB2312" w:eastAsia="仿宋_GB2312"/>
          <w:color w:val="auto"/>
          <w:sz w:val="32"/>
          <w:szCs w:val="32"/>
        </w:rPr>
        <w:t>管理办法》（试行）（局令第20号）、《天津市医疗机构</w:t>
      </w:r>
      <w:r>
        <w:rPr>
          <w:rFonts w:hint="eastAsia" w:ascii="仿宋_GB2312" w:eastAsia="仿宋_GB2312"/>
          <w:color w:val="auto"/>
          <w:sz w:val="32"/>
          <w:szCs w:val="32"/>
        </w:rPr>
        <w:t>制剂注册</w:t>
      </w:r>
      <w:r>
        <w:rPr>
          <w:rFonts w:hint="eastAsia" w:ascii="仿宋_GB2312" w:eastAsia="仿宋_GB2312"/>
          <w:color w:val="auto"/>
          <w:sz w:val="32"/>
          <w:szCs w:val="32"/>
        </w:rPr>
        <w:t>管理办法实施细则》（津药监规〔2024〕6号）、</w:t>
      </w:r>
      <w:r>
        <w:rPr>
          <w:rFonts w:hint="eastAsia" w:ascii="仿宋_GB2312" w:eastAsia="仿宋_GB2312"/>
          <w:color w:val="auto"/>
          <w:sz w:val="32"/>
          <w:szCs w:val="32"/>
        </w:rPr>
        <w:t>《天津市医疗机构应用传统工艺配制中药制剂备案管理实施细则》（津药监规〔2022〕1号）等有关要求，参照国家药品监督管理局颁布的相关技术指导原则和《中国药典》2025年版要求，制</w:t>
      </w:r>
      <w:r>
        <w:rPr>
          <w:rFonts w:hint="eastAsia" w:ascii="仿宋_GB2312" w:eastAsia="仿宋_GB2312"/>
          <w:color w:val="auto"/>
          <w:sz w:val="32"/>
          <w:szCs w:val="32"/>
          <w:lang w:eastAsia="zh-CN"/>
        </w:rPr>
        <w:t>定</w:t>
      </w:r>
      <w:bookmarkStart w:id="5" w:name="_GoBack"/>
      <w:bookmarkEnd w:id="5"/>
      <w:r>
        <w:rPr>
          <w:rFonts w:hint="eastAsia" w:ascii="仿宋_GB2312" w:eastAsia="仿宋_GB2312"/>
          <w:color w:val="auto"/>
          <w:sz w:val="32"/>
          <w:szCs w:val="32"/>
        </w:rPr>
        <w:t>本技术指导原则。</w:t>
      </w:r>
    </w:p>
    <w:p w14:paraId="4014877E">
      <w:pPr>
        <w:ind w:firstLine="640" w:firstLineChars="200"/>
        <w:rPr>
          <w:rFonts w:ascii="仿宋_GB2312" w:eastAsia="仿宋_GB2312"/>
          <w:color w:val="auto"/>
          <w:sz w:val="32"/>
          <w:szCs w:val="32"/>
        </w:rPr>
      </w:pPr>
      <w:r>
        <w:rPr>
          <w:rFonts w:hint="eastAsia" w:ascii="仿宋_GB2312" w:eastAsia="仿宋_GB2312"/>
          <w:color w:val="auto"/>
          <w:sz w:val="32"/>
          <w:szCs w:val="32"/>
        </w:rPr>
        <w:t>本指导原则中提出的要求代表当前阶段对相应中药制剂研究的基本认知和技术考量。医疗机构在具体研究中，应在满足法规强制性要求的前提下，结合制剂的具体特性，秉承科学精神，选择适宜的研究方法。本指导原则为试行版，将根据科学技术的进步和监管实践的发展适时修订。本指导原则适用于医疗机构进行中药制剂的质量研究，主要内容包括质量研究的基本原则和质量研究的主要内容。</w:t>
      </w:r>
    </w:p>
    <w:p w14:paraId="14B75462">
      <w:pPr>
        <w:ind w:firstLine="640" w:firstLineChars="200"/>
        <w:rPr>
          <w:rFonts w:ascii="黑体" w:hAnsi="黑体" w:eastAsia="黑体"/>
          <w:color w:val="auto"/>
          <w:sz w:val="32"/>
          <w:szCs w:val="32"/>
        </w:rPr>
      </w:pPr>
      <w:r>
        <w:rPr>
          <w:rFonts w:hint="eastAsia" w:ascii="黑体" w:hAnsi="黑体" w:eastAsia="黑体"/>
          <w:color w:val="auto"/>
          <w:sz w:val="32"/>
          <w:szCs w:val="32"/>
        </w:rPr>
        <w:t>一、质量标准研究的基本原则</w:t>
      </w:r>
    </w:p>
    <w:p w14:paraId="69757512">
      <w:pPr>
        <w:ind w:firstLine="640" w:firstLineChars="200"/>
        <w:rPr>
          <w:rFonts w:ascii="仿宋_GB2312" w:eastAsia="仿宋_GB2312"/>
          <w:color w:val="auto"/>
          <w:sz w:val="32"/>
          <w:szCs w:val="32"/>
        </w:rPr>
      </w:pPr>
      <w:r>
        <w:rPr>
          <w:rFonts w:hint="eastAsia" w:ascii="仿宋_GB2312" w:eastAsia="仿宋_GB2312"/>
          <w:color w:val="auto"/>
          <w:sz w:val="32"/>
          <w:szCs w:val="32"/>
        </w:rPr>
        <w:t>医疗机构中药制剂质量标准的建立，应遵循以下基本原则，以确保制剂质量的</w:t>
      </w:r>
      <w:r>
        <w:rPr>
          <w:rFonts w:hint="eastAsia" w:ascii="仿宋_GB2312" w:eastAsia="仿宋_GB2312"/>
          <w:color w:val="auto"/>
          <w:sz w:val="32"/>
          <w:szCs w:val="32"/>
        </w:rPr>
        <w:t>安全性、有效性及可控性</w:t>
      </w:r>
      <w:r>
        <w:rPr>
          <w:rFonts w:hint="eastAsia" w:ascii="仿宋_GB2312" w:eastAsia="仿宋_GB2312"/>
          <w:color w:val="auto"/>
          <w:sz w:val="32"/>
          <w:szCs w:val="32"/>
        </w:rPr>
        <w:t>，并保障标准的科学、规范与可行。</w:t>
      </w:r>
    </w:p>
    <w:p w14:paraId="2B7BEBDA">
      <w:pPr>
        <w:ind w:firstLine="643" w:firstLineChars="200"/>
        <w:rPr>
          <w:rFonts w:ascii="楷体_GB2312" w:eastAsia="楷体_GB2312"/>
          <w:b/>
          <w:color w:val="auto"/>
          <w:sz w:val="32"/>
          <w:szCs w:val="32"/>
        </w:rPr>
      </w:pPr>
      <w:r>
        <w:rPr>
          <w:rFonts w:hint="eastAsia" w:ascii="楷体_GB2312" w:eastAsia="楷体_GB2312"/>
          <w:b/>
          <w:color w:val="auto"/>
          <w:sz w:val="32"/>
          <w:szCs w:val="32"/>
        </w:rPr>
        <w:t>（一）安全性原则</w:t>
      </w:r>
    </w:p>
    <w:p w14:paraId="0F4FF544">
      <w:pPr>
        <w:ind w:firstLine="640" w:firstLineChars="200"/>
        <w:rPr>
          <w:rFonts w:ascii="仿宋_GB2312" w:eastAsia="仿宋_GB2312"/>
          <w:color w:val="auto"/>
          <w:sz w:val="32"/>
          <w:szCs w:val="32"/>
        </w:rPr>
      </w:pPr>
      <w:r>
        <w:rPr>
          <w:rFonts w:hint="eastAsia" w:ascii="仿宋_GB2312" w:eastAsia="仿宋_GB2312"/>
          <w:color w:val="auto"/>
          <w:sz w:val="32"/>
          <w:szCs w:val="32"/>
        </w:rPr>
        <w:t>安全性是制剂研发的首要前提。质量标准必须能有效控制可能引入的安全风险。</w:t>
      </w:r>
    </w:p>
    <w:p w14:paraId="5F6B0250">
      <w:pPr>
        <w:ind w:firstLine="643" w:firstLineChars="200"/>
        <w:rPr>
          <w:rFonts w:ascii="仿宋_GB2312" w:eastAsia="仿宋_GB2312"/>
          <w:color w:val="auto"/>
          <w:sz w:val="32"/>
          <w:szCs w:val="32"/>
        </w:rPr>
      </w:pPr>
      <w:r>
        <w:rPr>
          <w:rFonts w:hint="eastAsia" w:ascii="仿宋_GB2312" w:eastAsia="仿宋_GB2312"/>
          <w:b/>
          <w:color w:val="auto"/>
          <w:sz w:val="32"/>
          <w:szCs w:val="32"/>
        </w:rPr>
        <w:t>1.整体要求：</w:t>
      </w:r>
      <w:r>
        <w:rPr>
          <w:rFonts w:hint="eastAsia" w:ascii="仿宋_GB2312" w:eastAsia="仿宋_GB2312"/>
          <w:color w:val="auto"/>
          <w:sz w:val="32"/>
          <w:szCs w:val="32"/>
        </w:rPr>
        <w:t>申报医疗机构中药制剂必须以满足临床需要为目的，应当是市场上没有供应的品种。处方中的药味应符合现行版《中国药典》要求，或</w:t>
      </w:r>
      <w:r>
        <w:rPr>
          <w:rFonts w:hint="eastAsia" w:ascii="仿宋_GB2312" w:eastAsia="仿宋_GB2312"/>
          <w:color w:val="auto"/>
          <w:sz w:val="32"/>
          <w:szCs w:val="32"/>
        </w:rPr>
        <w:t>地方中药饮片</w:t>
      </w:r>
      <w:r>
        <w:rPr>
          <w:rFonts w:hint="eastAsia" w:ascii="仿宋_GB2312" w:eastAsia="仿宋_GB2312"/>
          <w:color w:val="auto"/>
          <w:sz w:val="32"/>
          <w:szCs w:val="32"/>
        </w:rPr>
        <w:t>炮制规范</w:t>
      </w:r>
      <w:r>
        <w:rPr>
          <w:rFonts w:hint="eastAsia" w:ascii="仿宋_GB2312" w:eastAsia="仿宋_GB2312"/>
          <w:color w:val="auto"/>
          <w:sz w:val="32"/>
          <w:szCs w:val="32"/>
        </w:rPr>
        <w:t>（申报传统工艺备案事项，仅为天津市中药饮片炮制规范）</w:t>
      </w:r>
      <w:r>
        <w:rPr>
          <w:rFonts w:hint="eastAsia" w:ascii="仿宋_GB2312" w:eastAsia="仿宋_GB2312"/>
          <w:color w:val="auto"/>
          <w:sz w:val="32"/>
          <w:szCs w:val="32"/>
        </w:rPr>
        <w:t>的内容</w:t>
      </w:r>
      <w:r>
        <w:rPr>
          <w:rFonts w:hint="eastAsia" w:ascii="仿宋_GB2312" w:eastAsia="仿宋_GB2312"/>
          <w:color w:val="auto"/>
          <w:sz w:val="32"/>
          <w:szCs w:val="32"/>
        </w:rPr>
        <w:t>。</w:t>
      </w:r>
      <w:r>
        <w:rPr>
          <w:rFonts w:hint="eastAsia" w:ascii="仿宋_GB2312" w:eastAsia="仿宋_GB2312"/>
          <w:color w:val="auto"/>
          <w:sz w:val="32"/>
          <w:szCs w:val="32"/>
        </w:rPr>
        <w:t>若申报注册事项涉及</w:t>
      </w:r>
      <w:r>
        <w:rPr>
          <w:rFonts w:hint="eastAsia" w:ascii="仿宋_GB2312" w:eastAsia="仿宋_GB2312"/>
          <w:color w:val="auto"/>
          <w:sz w:val="32"/>
          <w:szCs w:val="32"/>
        </w:rPr>
        <w:t>外购提取物的，除提供提取物的制备方法和质量标准外，还应提供其来源的相关证明性文件；实施药品批准文号管理的</w:t>
      </w:r>
      <w:r>
        <w:rPr>
          <w:rFonts w:hint="eastAsia" w:ascii="仿宋_GB2312" w:eastAsia="仿宋_GB2312"/>
          <w:color w:val="auto"/>
          <w:sz w:val="32"/>
          <w:szCs w:val="32"/>
        </w:rPr>
        <w:t>中药饮片或提取物</w:t>
      </w:r>
      <w:r>
        <w:rPr>
          <w:rFonts w:hint="eastAsia" w:ascii="仿宋_GB2312" w:eastAsia="仿宋_GB2312"/>
          <w:color w:val="auto"/>
          <w:sz w:val="32"/>
          <w:szCs w:val="32"/>
        </w:rPr>
        <w:t>，必须具有药品批准文号，并提供其批准证明文件和质量标准。辅料、添加剂、防腐剂亦应有相应的标准。</w:t>
      </w:r>
    </w:p>
    <w:p w14:paraId="62854E23">
      <w:pPr>
        <w:ind w:firstLine="643" w:firstLineChars="200"/>
        <w:rPr>
          <w:rFonts w:ascii="仿宋_GB2312" w:eastAsia="仿宋_GB2312"/>
          <w:color w:val="auto"/>
          <w:sz w:val="32"/>
          <w:szCs w:val="32"/>
        </w:rPr>
      </w:pPr>
      <w:r>
        <w:rPr>
          <w:rFonts w:hint="eastAsia" w:ascii="仿宋_GB2312" w:eastAsia="仿宋_GB2312"/>
          <w:b/>
          <w:color w:val="auto"/>
          <w:sz w:val="32"/>
          <w:szCs w:val="32"/>
        </w:rPr>
        <w:t>2.处方与工艺安全：</w:t>
      </w:r>
      <w:r>
        <w:rPr>
          <w:rFonts w:hint="eastAsia" w:ascii="仿宋_GB2312" w:eastAsia="仿宋_GB2312"/>
          <w:color w:val="auto"/>
          <w:sz w:val="32"/>
          <w:szCs w:val="32"/>
        </w:rPr>
        <w:t>医疗机构中药制剂不得涉及中药注射剂、中药与化学药组成的复方制剂、麻醉药品、精神药品、医疗用毒性药品、放射性药品等。处方、工艺及原辅料来源应固定，以确保</w:t>
      </w:r>
      <w:r>
        <w:rPr>
          <w:rFonts w:hint="eastAsia" w:ascii="仿宋_GB2312" w:eastAsia="仿宋_GB2312"/>
          <w:color w:val="auto"/>
          <w:sz w:val="32"/>
          <w:szCs w:val="32"/>
        </w:rPr>
        <w:t>制剂质量稳定与临床使用安全。</w:t>
      </w:r>
    </w:p>
    <w:p w14:paraId="5A1BA954">
      <w:pPr>
        <w:ind w:firstLine="643" w:firstLineChars="200"/>
        <w:rPr>
          <w:rFonts w:ascii="仿宋_GB2312" w:hAnsi="宋体" w:eastAsia="仿宋_GB2312"/>
          <w:color w:val="auto"/>
          <w:sz w:val="32"/>
          <w:szCs w:val="32"/>
        </w:rPr>
      </w:pPr>
      <w:r>
        <w:rPr>
          <w:rFonts w:hint="eastAsia" w:ascii="仿宋_GB2312" w:eastAsia="仿宋_GB2312"/>
          <w:b/>
          <w:color w:val="auto"/>
          <w:sz w:val="32"/>
          <w:szCs w:val="32"/>
        </w:rPr>
        <w:t>3.毒性药材控制：</w:t>
      </w:r>
      <w:r>
        <w:rPr>
          <w:rFonts w:hint="eastAsia" w:ascii="仿宋_GB2312" w:eastAsia="仿宋_GB2312"/>
          <w:color w:val="auto"/>
          <w:sz w:val="32"/>
          <w:szCs w:val="32"/>
        </w:rPr>
        <w:t>处方中若含有毒性药材（系指历版中国药典，部颁标准，进口药材标准，省、自治区、直辖市的中药材标准中标注为大毒（或剧毒）和有毒的药材），</w:t>
      </w:r>
      <w:r>
        <w:rPr>
          <w:rFonts w:hint="eastAsia" w:ascii="仿宋_GB2312" w:eastAsia="仿宋_GB2312"/>
          <w:color w:val="auto"/>
          <w:sz w:val="32"/>
          <w:szCs w:val="32"/>
        </w:rPr>
        <w:t>应</w:t>
      </w:r>
      <w:r>
        <w:rPr>
          <w:rFonts w:hint="eastAsia" w:ascii="仿宋_GB2312" w:eastAsia="仿宋_GB2312"/>
          <w:color w:val="auto"/>
          <w:sz w:val="32"/>
          <w:szCs w:val="32"/>
        </w:rPr>
        <w:t>针对其毒性成分建立专属性的限量检查方法，并规定合理的限度。</w:t>
      </w:r>
      <w:r>
        <w:rPr>
          <w:rFonts w:hint="eastAsia" w:ascii="仿宋_GB2312" w:hAnsi="宋体" w:eastAsia="仿宋_GB2312"/>
          <w:color w:val="auto"/>
          <w:sz w:val="32"/>
          <w:szCs w:val="32"/>
        </w:rPr>
        <w:t>毒性药材的日用量应根据处方量和制成总量、用量等进行计算，且不得超过法定标准规定。</w:t>
      </w:r>
    </w:p>
    <w:p w14:paraId="44018824">
      <w:pPr>
        <w:ind w:firstLine="643" w:firstLineChars="200"/>
        <w:rPr>
          <w:rFonts w:ascii="仿宋_GB2312" w:eastAsia="仿宋_GB2312"/>
          <w:color w:val="auto"/>
          <w:sz w:val="32"/>
          <w:szCs w:val="32"/>
        </w:rPr>
      </w:pPr>
      <w:r>
        <w:rPr>
          <w:rFonts w:hint="eastAsia" w:ascii="仿宋_GB2312" w:eastAsia="仿宋_GB2312"/>
          <w:b/>
          <w:color w:val="auto"/>
          <w:sz w:val="32"/>
          <w:szCs w:val="32"/>
        </w:rPr>
        <w:t>4.外源性污染物控制：</w:t>
      </w:r>
      <w:r>
        <w:rPr>
          <w:rFonts w:hint="eastAsia" w:ascii="仿宋_GB2312" w:eastAsia="仿宋_GB2312"/>
          <w:color w:val="auto"/>
          <w:sz w:val="32"/>
          <w:szCs w:val="32"/>
        </w:rPr>
        <w:t>应根据药材来源及制剂工艺特点，对可能存在的农药残留、重金属及有害元素、真菌毒素等外源性污染物进行研究。必要时，应建立相应的检测方法和限度标准。</w:t>
      </w:r>
    </w:p>
    <w:p w14:paraId="3E4F8834">
      <w:pPr>
        <w:ind w:firstLine="643" w:firstLineChars="200"/>
        <w:rPr>
          <w:rFonts w:ascii="楷体_GB2312" w:eastAsia="楷体_GB2312"/>
          <w:b/>
          <w:color w:val="auto"/>
          <w:sz w:val="32"/>
          <w:szCs w:val="32"/>
        </w:rPr>
      </w:pPr>
      <w:r>
        <w:rPr>
          <w:rFonts w:hint="eastAsia" w:ascii="楷体_GB2312" w:eastAsia="楷体_GB2312"/>
          <w:b/>
          <w:color w:val="auto"/>
          <w:sz w:val="32"/>
          <w:szCs w:val="32"/>
        </w:rPr>
        <w:t>（二）科学性原则</w:t>
      </w:r>
    </w:p>
    <w:p w14:paraId="7317F208">
      <w:pPr>
        <w:ind w:firstLine="640" w:firstLineChars="200"/>
        <w:rPr>
          <w:rFonts w:ascii="仿宋_GB2312" w:eastAsia="仿宋_GB2312"/>
          <w:color w:val="auto"/>
          <w:sz w:val="32"/>
          <w:szCs w:val="32"/>
        </w:rPr>
      </w:pPr>
      <w:r>
        <w:rPr>
          <w:rFonts w:hint="eastAsia" w:ascii="仿宋_GB2312" w:eastAsia="仿宋_GB2312"/>
          <w:color w:val="auto"/>
          <w:sz w:val="32"/>
          <w:szCs w:val="32"/>
        </w:rPr>
        <w:t>质量标准应能客观、真实地反映产品的内在质量，所采用的方法和技术应具有充分的科学依据。</w:t>
      </w:r>
    </w:p>
    <w:p w14:paraId="2C228544">
      <w:pPr>
        <w:ind w:firstLine="643" w:firstLineChars="200"/>
        <w:rPr>
          <w:rFonts w:ascii="仿宋_GB2312" w:eastAsia="仿宋_GB2312"/>
          <w:color w:val="auto"/>
          <w:sz w:val="32"/>
          <w:szCs w:val="32"/>
        </w:rPr>
      </w:pPr>
      <w:r>
        <w:rPr>
          <w:rFonts w:hint="eastAsia" w:ascii="仿宋_GB2312" w:eastAsia="仿宋_GB2312"/>
          <w:b/>
          <w:color w:val="auto"/>
          <w:sz w:val="32"/>
          <w:szCs w:val="32"/>
        </w:rPr>
        <w:t>1.指标关联性：</w:t>
      </w:r>
      <w:r>
        <w:rPr>
          <w:rFonts w:hint="eastAsia" w:ascii="仿宋_GB2312" w:eastAsia="仿宋_GB2312"/>
          <w:color w:val="auto"/>
          <w:sz w:val="32"/>
          <w:szCs w:val="32"/>
        </w:rPr>
        <w:t>质控指标的选择应优先与</w:t>
      </w:r>
      <w:r>
        <w:rPr>
          <w:rFonts w:hint="eastAsia" w:ascii="仿宋_GB2312" w:eastAsia="仿宋_GB2312"/>
          <w:color w:val="auto"/>
          <w:sz w:val="32"/>
          <w:szCs w:val="32"/>
        </w:rPr>
        <w:t>制剂</w:t>
      </w:r>
      <w:r>
        <w:rPr>
          <w:rFonts w:hint="eastAsia" w:ascii="仿宋_GB2312" w:eastAsia="仿宋_GB2312"/>
          <w:color w:val="auto"/>
          <w:sz w:val="32"/>
          <w:szCs w:val="32"/>
        </w:rPr>
        <w:t>的安全性和有效性相关联，首选君药、贵细药、毒性药中的有效成分、指标成分或毒性成分</w:t>
      </w:r>
      <w:r>
        <w:rPr>
          <w:rFonts w:hint="eastAsia" w:ascii="仿宋_GB2312" w:eastAsia="仿宋_GB2312"/>
          <w:color w:val="auto"/>
          <w:sz w:val="32"/>
          <w:szCs w:val="32"/>
        </w:rPr>
        <w:t>等</w:t>
      </w:r>
      <w:r>
        <w:rPr>
          <w:rFonts w:hint="eastAsia" w:ascii="仿宋_GB2312" w:eastAsia="仿宋_GB2312"/>
          <w:color w:val="auto"/>
          <w:sz w:val="32"/>
          <w:szCs w:val="32"/>
        </w:rPr>
        <w:t>。鼓励建立多成分含量测定或指纹/特征图谱等能反映中药整体质量的控制方法。</w:t>
      </w:r>
    </w:p>
    <w:p w14:paraId="50DF79A0">
      <w:pPr>
        <w:ind w:firstLine="643" w:firstLineChars="200"/>
        <w:rPr>
          <w:rFonts w:ascii="仿宋_GB2312" w:eastAsia="仿宋_GB2312"/>
          <w:color w:val="auto"/>
          <w:sz w:val="32"/>
          <w:szCs w:val="32"/>
        </w:rPr>
      </w:pPr>
      <w:r>
        <w:rPr>
          <w:rFonts w:hint="eastAsia" w:ascii="仿宋_GB2312" w:eastAsia="仿宋_GB2312"/>
          <w:b/>
          <w:color w:val="auto"/>
          <w:sz w:val="32"/>
          <w:szCs w:val="32"/>
        </w:rPr>
        <w:t>2.方法先进性：</w:t>
      </w:r>
      <w:r>
        <w:rPr>
          <w:rFonts w:hint="eastAsia" w:ascii="仿宋_GB2312" w:eastAsia="仿宋_GB2312"/>
          <w:color w:val="auto"/>
          <w:sz w:val="32"/>
          <w:szCs w:val="32"/>
        </w:rPr>
        <w:t>在满足专属性、灵敏度和</w:t>
      </w:r>
      <w:r>
        <w:rPr>
          <w:rFonts w:hint="eastAsia" w:ascii="仿宋_GB2312" w:eastAsia="仿宋_GB2312"/>
          <w:color w:val="auto"/>
          <w:sz w:val="32"/>
          <w:szCs w:val="32"/>
        </w:rPr>
        <w:t>准确度</w:t>
      </w:r>
      <w:r>
        <w:rPr>
          <w:rFonts w:hint="eastAsia" w:ascii="仿宋_GB2312" w:eastAsia="仿宋_GB2312"/>
          <w:color w:val="auto"/>
          <w:sz w:val="32"/>
          <w:szCs w:val="32"/>
        </w:rPr>
        <w:t>的前提下，鼓励采用现代分析技术。检测方法必须经过完整的方法学验证，证明其适用于样品的检测要求，通常要有方法选择的依据，包括但不限于文献依据、理论依据或实验研究依据等；鉴别项应首选专属性强的方法；含量测定应按现行版《中国药典》通用技术要求“分析方法验证指导原则”进行验证。</w:t>
      </w:r>
    </w:p>
    <w:p w14:paraId="20C3962E">
      <w:pPr>
        <w:ind w:firstLine="643" w:firstLineChars="200"/>
        <w:rPr>
          <w:rFonts w:ascii="仿宋_GB2312" w:eastAsia="仿宋_GB2312"/>
          <w:color w:val="auto"/>
          <w:sz w:val="32"/>
          <w:szCs w:val="32"/>
        </w:rPr>
      </w:pPr>
      <w:r>
        <w:rPr>
          <w:rFonts w:hint="eastAsia" w:ascii="仿宋_GB2312" w:eastAsia="仿宋_GB2312"/>
          <w:b/>
          <w:color w:val="auto"/>
          <w:sz w:val="32"/>
          <w:szCs w:val="32"/>
        </w:rPr>
        <w:t>3.数据充分性：</w:t>
      </w:r>
      <w:r>
        <w:rPr>
          <w:rFonts w:hint="eastAsia" w:ascii="仿宋_GB2312" w:eastAsia="仿宋_GB2312"/>
          <w:color w:val="auto"/>
          <w:sz w:val="32"/>
          <w:szCs w:val="32"/>
        </w:rPr>
        <w:t>质量研究必须在处方、工艺确定，中试规模以上样品制备成功的基础上，并结合多批生产数据的积累，进行科学的统计分析，使限度规定既能保障质量，又符合生产实际。标准中各项目的设置与方法建立，应有充分的文献、理论</w:t>
      </w:r>
      <w:r>
        <w:rPr>
          <w:rFonts w:hint="eastAsia" w:ascii="仿宋_GB2312" w:eastAsia="仿宋_GB2312"/>
          <w:color w:val="auto"/>
          <w:sz w:val="32"/>
          <w:szCs w:val="32"/>
        </w:rPr>
        <w:t>和</w:t>
      </w:r>
      <w:r>
        <w:rPr>
          <w:rFonts w:hint="eastAsia" w:ascii="仿宋_GB2312" w:eastAsia="仿宋_GB2312"/>
          <w:color w:val="auto"/>
          <w:sz w:val="32"/>
          <w:szCs w:val="32"/>
        </w:rPr>
        <w:t>实验研究依据。</w:t>
      </w:r>
    </w:p>
    <w:p w14:paraId="050C7540">
      <w:pPr>
        <w:ind w:firstLine="643" w:firstLineChars="200"/>
        <w:rPr>
          <w:rFonts w:ascii="楷体_GB2312" w:eastAsia="楷体_GB2312"/>
          <w:b/>
          <w:color w:val="auto"/>
          <w:sz w:val="32"/>
          <w:szCs w:val="32"/>
        </w:rPr>
      </w:pPr>
      <w:r>
        <w:rPr>
          <w:rFonts w:hint="eastAsia" w:ascii="楷体_GB2312" w:eastAsia="楷体_GB2312"/>
          <w:b/>
          <w:color w:val="auto"/>
          <w:sz w:val="32"/>
          <w:szCs w:val="32"/>
        </w:rPr>
        <w:t>（三）规范性原则</w:t>
      </w:r>
    </w:p>
    <w:p w14:paraId="0286B121">
      <w:pPr>
        <w:ind w:firstLine="640" w:firstLineChars="200"/>
        <w:rPr>
          <w:rFonts w:ascii="仿宋_GB2312" w:eastAsia="仿宋_GB2312"/>
          <w:color w:val="auto"/>
          <w:sz w:val="32"/>
          <w:szCs w:val="32"/>
        </w:rPr>
      </w:pPr>
      <w:r>
        <w:rPr>
          <w:rFonts w:hint="eastAsia" w:ascii="仿宋_GB2312" w:eastAsia="仿宋_GB2312"/>
          <w:color w:val="auto"/>
          <w:sz w:val="32"/>
          <w:szCs w:val="32"/>
        </w:rPr>
        <w:t>质量标准的制定应遵循国家药品标准的通用规范，确保标准的统一、严谨和</w:t>
      </w:r>
      <w:r>
        <w:rPr>
          <w:rFonts w:hint="eastAsia" w:ascii="仿宋_GB2312" w:eastAsia="仿宋_GB2312"/>
          <w:color w:val="auto"/>
          <w:sz w:val="32"/>
          <w:szCs w:val="32"/>
        </w:rPr>
        <w:t>规范</w:t>
      </w:r>
      <w:r>
        <w:rPr>
          <w:rFonts w:hint="eastAsia" w:ascii="仿宋_GB2312" w:eastAsia="仿宋_GB2312"/>
          <w:color w:val="auto"/>
          <w:sz w:val="32"/>
          <w:szCs w:val="32"/>
        </w:rPr>
        <w:t>。</w:t>
      </w:r>
    </w:p>
    <w:p w14:paraId="71DC52FC">
      <w:pPr>
        <w:ind w:firstLine="643" w:firstLineChars="200"/>
        <w:rPr>
          <w:rFonts w:ascii="仿宋_GB2312" w:eastAsia="仿宋_GB2312"/>
          <w:color w:val="auto"/>
          <w:sz w:val="32"/>
          <w:szCs w:val="32"/>
        </w:rPr>
      </w:pPr>
      <w:r>
        <w:rPr>
          <w:rFonts w:hint="eastAsia" w:ascii="仿宋_GB2312" w:eastAsia="仿宋_GB2312"/>
          <w:b/>
          <w:color w:val="auto"/>
          <w:sz w:val="32"/>
          <w:szCs w:val="32"/>
        </w:rPr>
        <w:t>1.药典遵循：</w:t>
      </w:r>
      <w:r>
        <w:rPr>
          <w:rFonts w:hint="eastAsia" w:ascii="仿宋_GB2312" w:eastAsia="仿宋_GB2312"/>
          <w:color w:val="auto"/>
          <w:sz w:val="32"/>
          <w:szCs w:val="32"/>
        </w:rPr>
        <w:t>质量标准的体例、格式、术语、计量单位、符号等必须符合</w:t>
      </w:r>
      <w:bookmarkStart w:id="0" w:name="OLE_LINK3"/>
      <w:bookmarkStart w:id="1" w:name="OLE_LINK2"/>
      <w:r>
        <w:rPr>
          <w:rFonts w:hint="eastAsia" w:ascii="仿宋_GB2312" w:eastAsia="仿宋_GB2312"/>
          <w:color w:val="auto"/>
          <w:sz w:val="32"/>
          <w:szCs w:val="32"/>
        </w:rPr>
        <w:t>现行版</w:t>
      </w:r>
      <w:bookmarkEnd w:id="0"/>
      <w:bookmarkEnd w:id="1"/>
      <w:r>
        <w:rPr>
          <w:rFonts w:hint="eastAsia" w:ascii="仿宋_GB2312" w:eastAsia="仿宋_GB2312"/>
          <w:color w:val="auto"/>
          <w:sz w:val="32"/>
          <w:szCs w:val="32"/>
        </w:rPr>
        <w:t>《中国药典》的通用技术要求。常规检查项目应优先采用</w:t>
      </w:r>
      <w:r>
        <w:rPr>
          <w:rFonts w:hint="eastAsia" w:ascii="仿宋_GB2312" w:eastAsia="仿宋_GB2312"/>
          <w:color w:val="auto"/>
          <w:sz w:val="32"/>
          <w:szCs w:val="32"/>
        </w:rPr>
        <w:t>现行版</w:t>
      </w:r>
      <w:r>
        <w:rPr>
          <w:rFonts w:hint="eastAsia" w:ascii="仿宋_GB2312" w:eastAsia="仿宋_GB2312"/>
          <w:color w:val="auto"/>
          <w:sz w:val="32"/>
          <w:szCs w:val="32"/>
        </w:rPr>
        <w:t>《中国药典》收载的方法。</w:t>
      </w:r>
    </w:p>
    <w:p w14:paraId="491BF0EA">
      <w:pPr>
        <w:ind w:firstLine="643" w:firstLineChars="200"/>
        <w:rPr>
          <w:rFonts w:ascii="仿宋_GB2312" w:eastAsia="仿宋_GB2312"/>
          <w:color w:val="auto"/>
          <w:sz w:val="32"/>
          <w:szCs w:val="32"/>
        </w:rPr>
      </w:pPr>
      <w:r>
        <w:rPr>
          <w:rFonts w:hint="eastAsia" w:ascii="仿宋_GB2312" w:eastAsia="仿宋_GB2312"/>
          <w:b/>
          <w:color w:val="auto"/>
          <w:sz w:val="32"/>
          <w:szCs w:val="32"/>
        </w:rPr>
        <w:t>2.用语准确：</w:t>
      </w:r>
      <w:r>
        <w:rPr>
          <w:rFonts w:hint="eastAsia" w:ascii="仿宋_GB2312" w:eastAsia="仿宋_GB2312"/>
          <w:color w:val="auto"/>
          <w:sz w:val="32"/>
          <w:szCs w:val="32"/>
        </w:rPr>
        <w:t>质量标准</w:t>
      </w:r>
      <w:r>
        <w:rPr>
          <w:rFonts w:hint="eastAsia" w:ascii="仿宋_GB2312" w:eastAsia="仿宋_GB2312"/>
          <w:color w:val="auto"/>
          <w:sz w:val="32"/>
          <w:szCs w:val="32"/>
        </w:rPr>
        <w:t>正文的文字表述应准确、严谨、简明，避免产生歧义。结果判断应明确、客观，不含模糊性表述。</w:t>
      </w:r>
    </w:p>
    <w:p w14:paraId="1CD3B380">
      <w:pPr>
        <w:ind w:firstLine="643" w:firstLineChars="200"/>
        <w:rPr>
          <w:rFonts w:ascii="仿宋_GB2312" w:eastAsia="仿宋_GB2312"/>
          <w:color w:val="auto"/>
          <w:sz w:val="32"/>
          <w:szCs w:val="32"/>
        </w:rPr>
      </w:pPr>
      <w:r>
        <w:rPr>
          <w:rFonts w:hint="eastAsia" w:ascii="仿宋_GB2312" w:eastAsia="仿宋_GB2312"/>
          <w:b/>
          <w:color w:val="auto"/>
          <w:sz w:val="32"/>
          <w:szCs w:val="32"/>
        </w:rPr>
        <w:t>3.物质规范：</w:t>
      </w:r>
      <w:r>
        <w:rPr>
          <w:rFonts w:hint="eastAsia" w:ascii="仿宋_GB2312" w:eastAsia="仿宋_GB2312"/>
          <w:color w:val="auto"/>
          <w:sz w:val="32"/>
          <w:szCs w:val="32"/>
        </w:rPr>
        <w:t>检测所用对照品、对照药材、对照提取物应优先使用国家法定机构提供的标准物质，并在申报资料中注明其来源、批号等信息。</w:t>
      </w:r>
    </w:p>
    <w:p w14:paraId="53A6AFE2">
      <w:pPr>
        <w:ind w:firstLine="643" w:firstLineChars="200"/>
        <w:rPr>
          <w:rFonts w:ascii="仿宋_GB2312" w:eastAsia="仿宋_GB2312"/>
          <w:color w:val="auto"/>
          <w:sz w:val="32"/>
          <w:szCs w:val="32"/>
        </w:rPr>
      </w:pPr>
      <w:r>
        <w:rPr>
          <w:rFonts w:hint="eastAsia" w:ascii="仿宋_GB2312" w:eastAsia="仿宋_GB2312"/>
          <w:b/>
          <w:color w:val="auto"/>
          <w:sz w:val="32"/>
          <w:szCs w:val="32"/>
        </w:rPr>
        <w:t>4.试剂与溶液规范：</w:t>
      </w:r>
      <w:r>
        <w:rPr>
          <w:rFonts w:hint="eastAsia" w:ascii="仿宋_GB2312" w:eastAsia="仿宋_GB2312"/>
          <w:color w:val="auto"/>
          <w:sz w:val="32"/>
          <w:szCs w:val="32"/>
        </w:rPr>
        <w:t>检测方法中所用试液、缓冲液、滴定液等应尽可能采用</w:t>
      </w:r>
      <w:r>
        <w:rPr>
          <w:rFonts w:hint="eastAsia" w:ascii="仿宋_GB2312" w:eastAsia="仿宋_GB2312"/>
          <w:color w:val="auto"/>
          <w:sz w:val="32"/>
          <w:szCs w:val="32"/>
        </w:rPr>
        <w:t>现行版</w:t>
      </w:r>
      <w:r>
        <w:rPr>
          <w:rFonts w:hint="eastAsia" w:ascii="仿宋_GB2312" w:eastAsia="仿宋_GB2312"/>
          <w:color w:val="auto"/>
          <w:sz w:val="32"/>
          <w:szCs w:val="32"/>
        </w:rPr>
        <w:t>《中国药典》已收载的品种和浓度，不得任意更改。若需自行配制，应在标准正文中注明方法。</w:t>
      </w:r>
    </w:p>
    <w:p w14:paraId="267956AA">
      <w:pPr>
        <w:ind w:firstLine="643" w:firstLineChars="200"/>
        <w:rPr>
          <w:rFonts w:ascii="楷体_GB2312" w:eastAsia="楷体_GB2312"/>
          <w:b/>
          <w:color w:val="auto"/>
          <w:sz w:val="32"/>
          <w:szCs w:val="32"/>
        </w:rPr>
      </w:pPr>
      <w:r>
        <w:rPr>
          <w:rFonts w:hint="eastAsia" w:ascii="楷体_GB2312" w:eastAsia="楷体_GB2312"/>
          <w:b/>
          <w:color w:val="auto"/>
          <w:sz w:val="32"/>
          <w:szCs w:val="32"/>
        </w:rPr>
        <w:t>（四）实用性原则</w:t>
      </w:r>
    </w:p>
    <w:p w14:paraId="7D5F54D9">
      <w:pPr>
        <w:ind w:firstLine="640" w:firstLineChars="200"/>
        <w:rPr>
          <w:rFonts w:ascii="仿宋_GB2312" w:eastAsia="仿宋_GB2312"/>
          <w:color w:val="auto"/>
          <w:sz w:val="32"/>
          <w:szCs w:val="32"/>
        </w:rPr>
      </w:pPr>
      <w:r>
        <w:rPr>
          <w:rFonts w:hint="eastAsia" w:ascii="仿宋_GB2312" w:eastAsia="仿宋_GB2312"/>
          <w:color w:val="auto"/>
          <w:sz w:val="32"/>
          <w:szCs w:val="32"/>
        </w:rPr>
        <w:t>质量标准在确保有效控制质量的前提下，</w:t>
      </w:r>
      <w:r>
        <w:rPr>
          <w:rFonts w:hint="eastAsia" w:ascii="仿宋_GB2312" w:eastAsia="仿宋_GB2312"/>
          <w:color w:val="auto"/>
          <w:sz w:val="32"/>
          <w:szCs w:val="32"/>
        </w:rPr>
        <w:t>应考虑医疗机构的检测条件，</w:t>
      </w:r>
      <w:r>
        <w:rPr>
          <w:rFonts w:hint="eastAsia" w:ascii="仿宋_GB2312" w:eastAsia="仿宋_GB2312"/>
          <w:color w:val="auto"/>
          <w:sz w:val="32"/>
          <w:szCs w:val="32"/>
        </w:rPr>
        <w:t>力求简便、经济、可行。</w:t>
      </w:r>
    </w:p>
    <w:p w14:paraId="10662D52">
      <w:pPr>
        <w:ind w:firstLine="643" w:firstLineChars="200"/>
        <w:rPr>
          <w:rFonts w:ascii="仿宋_GB2312" w:eastAsia="仿宋_GB2312"/>
          <w:color w:val="auto"/>
          <w:sz w:val="32"/>
          <w:szCs w:val="32"/>
        </w:rPr>
      </w:pPr>
      <w:r>
        <w:rPr>
          <w:rFonts w:hint="eastAsia" w:ascii="仿宋_GB2312" w:eastAsia="仿宋_GB2312"/>
          <w:b/>
          <w:color w:val="auto"/>
          <w:sz w:val="32"/>
          <w:szCs w:val="32"/>
        </w:rPr>
        <w:t>1.方法可行：</w:t>
      </w:r>
      <w:r>
        <w:rPr>
          <w:rFonts w:hint="eastAsia" w:ascii="仿宋_GB2312" w:eastAsia="仿宋_GB2312"/>
          <w:color w:val="auto"/>
          <w:sz w:val="32"/>
          <w:szCs w:val="32"/>
        </w:rPr>
        <w:t>建立的检测方法应具有良好的重现性和可操作性，</w:t>
      </w:r>
      <w:r>
        <w:rPr>
          <w:rFonts w:hint="eastAsia" w:ascii="仿宋_GB2312" w:eastAsia="仿宋_GB2312"/>
          <w:color w:val="auto"/>
          <w:sz w:val="32"/>
          <w:szCs w:val="32"/>
        </w:rPr>
        <w:t>避免使用对环境不友好的试剂与设备</w:t>
      </w:r>
      <w:r>
        <w:rPr>
          <w:rFonts w:hint="eastAsia" w:ascii="仿宋_GB2312" w:eastAsia="仿宋_GB2312"/>
          <w:color w:val="auto"/>
          <w:sz w:val="32"/>
          <w:szCs w:val="32"/>
        </w:rPr>
        <w:t>。在保证数据准确性的前提下，</w:t>
      </w:r>
      <w:r>
        <w:rPr>
          <w:rFonts w:hint="eastAsia" w:ascii="仿宋_GB2312" w:eastAsia="仿宋_GB2312"/>
          <w:color w:val="auto"/>
          <w:sz w:val="32"/>
          <w:szCs w:val="32"/>
        </w:rPr>
        <w:t>倡导绿色低碳的标准发展理念，提倡使用低成本、低能耗、低排放、高效便捷的检测方法。</w:t>
      </w:r>
    </w:p>
    <w:p w14:paraId="29406AC9">
      <w:pPr>
        <w:ind w:firstLine="643" w:firstLineChars="200"/>
        <w:rPr>
          <w:rFonts w:ascii="仿宋_GB2312" w:eastAsia="仿宋_GB2312"/>
          <w:color w:val="auto"/>
          <w:sz w:val="32"/>
          <w:szCs w:val="32"/>
        </w:rPr>
      </w:pPr>
      <w:r>
        <w:rPr>
          <w:rFonts w:hint="eastAsia" w:ascii="仿宋_GB2312" w:eastAsia="仿宋_GB2312"/>
          <w:b/>
          <w:color w:val="auto"/>
          <w:sz w:val="32"/>
          <w:szCs w:val="32"/>
        </w:rPr>
        <w:t>2.限度合理：</w:t>
      </w:r>
      <w:r>
        <w:rPr>
          <w:rFonts w:hint="eastAsia" w:ascii="仿宋_GB2312" w:eastAsia="仿宋_GB2312"/>
          <w:color w:val="auto"/>
          <w:sz w:val="32"/>
          <w:szCs w:val="32"/>
        </w:rPr>
        <w:t>各项指标的限度规定应切合实际，既能反映制剂在配制、贮藏和使用过程中必须达到的基本要求，</w:t>
      </w:r>
      <w:r>
        <w:rPr>
          <w:rFonts w:hint="eastAsia" w:ascii="仿宋_GB2312" w:eastAsia="仿宋_GB2312"/>
          <w:color w:val="auto"/>
          <w:sz w:val="32"/>
          <w:szCs w:val="32"/>
        </w:rPr>
        <w:t>又能充分地反映产品的特性及质量变化的情况。</w:t>
      </w:r>
    </w:p>
    <w:p w14:paraId="54F02FA2">
      <w:pPr>
        <w:ind w:firstLine="640" w:firstLineChars="200"/>
        <w:rPr>
          <w:rFonts w:ascii="仿宋_GB2312" w:eastAsia="仿宋_GB2312"/>
          <w:color w:val="auto"/>
          <w:sz w:val="32"/>
          <w:szCs w:val="32"/>
        </w:rPr>
      </w:pPr>
      <w:r>
        <w:rPr>
          <w:rFonts w:hint="eastAsia" w:ascii="仿宋_GB2312" w:eastAsia="仿宋_GB2312"/>
          <w:color w:val="auto"/>
          <w:sz w:val="32"/>
          <w:szCs w:val="32"/>
        </w:rPr>
        <w:t>3.质量可控：</w:t>
      </w:r>
      <w:r>
        <w:rPr>
          <w:rFonts w:ascii="仿宋_GB2312" w:eastAsia="仿宋_GB2312"/>
          <w:color w:val="auto"/>
          <w:sz w:val="32"/>
          <w:szCs w:val="32"/>
        </w:rPr>
        <w:t>中药</w:t>
      </w:r>
      <w:r>
        <w:rPr>
          <w:rFonts w:hint="eastAsia" w:ascii="仿宋_GB2312" w:eastAsia="仿宋_GB2312"/>
          <w:color w:val="auto"/>
          <w:sz w:val="32"/>
          <w:szCs w:val="32"/>
        </w:rPr>
        <w:t>制剂</w:t>
      </w:r>
      <w:r>
        <w:rPr>
          <w:rFonts w:ascii="仿宋_GB2312" w:eastAsia="仿宋_GB2312"/>
          <w:color w:val="auto"/>
          <w:sz w:val="32"/>
          <w:szCs w:val="32"/>
        </w:rPr>
        <w:t>质量标准应能指导中药制剂配制、控制中药制剂质量，以保证中药制剂的安全性、有效性和</w:t>
      </w:r>
      <w:r>
        <w:rPr>
          <w:rFonts w:hint="eastAsia" w:ascii="仿宋_GB2312" w:eastAsia="仿宋_GB2312"/>
          <w:color w:val="auto"/>
          <w:sz w:val="32"/>
          <w:szCs w:val="32"/>
        </w:rPr>
        <w:t>质量</w:t>
      </w:r>
      <w:r>
        <w:rPr>
          <w:rFonts w:ascii="仿宋_GB2312" w:eastAsia="仿宋_GB2312"/>
          <w:color w:val="auto"/>
          <w:sz w:val="32"/>
          <w:szCs w:val="32"/>
        </w:rPr>
        <w:t>均一性。</w:t>
      </w:r>
      <w:r>
        <w:rPr>
          <w:rFonts w:hint="eastAsia" w:ascii="仿宋_GB2312" w:eastAsia="仿宋_GB2312"/>
          <w:color w:val="auto"/>
          <w:sz w:val="32"/>
          <w:szCs w:val="32"/>
        </w:rPr>
        <w:t>质量研究内容应尽可能全面，既要考虑一般性要求，又要考虑针对性要求；</w:t>
      </w:r>
      <w:r>
        <w:rPr>
          <w:rFonts w:ascii="仿宋_GB2312" w:eastAsia="仿宋_GB2312"/>
          <w:color w:val="auto"/>
          <w:sz w:val="32"/>
          <w:szCs w:val="32"/>
        </w:rPr>
        <w:t>应优先考虑</w:t>
      </w:r>
      <w:r>
        <w:rPr>
          <w:rFonts w:hint="eastAsia" w:ascii="仿宋_GB2312" w:eastAsia="仿宋_GB2312"/>
          <w:color w:val="auto"/>
          <w:sz w:val="32"/>
          <w:szCs w:val="32"/>
        </w:rPr>
        <w:t>制剂</w:t>
      </w:r>
      <w:r>
        <w:rPr>
          <w:rFonts w:ascii="仿宋_GB2312" w:eastAsia="仿宋_GB2312"/>
          <w:color w:val="auto"/>
          <w:sz w:val="32"/>
          <w:szCs w:val="32"/>
        </w:rPr>
        <w:t>的安全性和有效性。将合理的质控指标、科学的质控方法、适度的质控要求结合起来，从整体上、多角度较全面地反映中药</w:t>
      </w:r>
      <w:r>
        <w:rPr>
          <w:rFonts w:hint="eastAsia" w:ascii="仿宋_GB2312" w:eastAsia="仿宋_GB2312"/>
          <w:color w:val="auto"/>
          <w:sz w:val="32"/>
          <w:szCs w:val="32"/>
        </w:rPr>
        <w:t>制剂</w:t>
      </w:r>
      <w:r>
        <w:rPr>
          <w:rFonts w:ascii="仿宋_GB2312" w:eastAsia="仿宋_GB2312"/>
          <w:color w:val="auto"/>
          <w:sz w:val="32"/>
          <w:szCs w:val="32"/>
        </w:rPr>
        <w:t>的质量。</w:t>
      </w:r>
    </w:p>
    <w:p w14:paraId="62540895">
      <w:pPr>
        <w:ind w:firstLine="640" w:firstLineChars="200"/>
        <w:rPr>
          <w:rFonts w:ascii="黑体" w:hAnsi="黑体" w:eastAsia="黑体"/>
          <w:color w:val="auto"/>
          <w:sz w:val="32"/>
          <w:szCs w:val="32"/>
        </w:rPr>
      </w:pPr>
      <w:r>
        <w:rPr>
          <w:rFonts w:hint="eastAsia" w:ascii="黑体" w:hAnsi="黑体" w:eastAsia="黑体"/>
          <w:color w:val="auto"/>
          <w:sz w:val="32"/>
          <w:szCs w:val="32"/>
        </w:rPr>
        <w:t>二、质量研究的主要内容</w:t>
      </w:r>
    </w:p>
    <w:p w14:paraId="6A87283B">
      <w:pPr>
        <w:ind w:firstLine="643" w:firstLineChars="200"/>
        <w:rPr>
          <w:rFonts w:ascii="楷体_GB2312" w:eastAsia="楷体_GB2312"/>
          <w:b/>
          <w:color w:val="auto"/>
          <w:sz w:val="32"/>
          <w:szCs w:val="32"/>
        </w:rPr>
      </w:pPr>
      <w:r>
        <w:rPr>
          <w:rFonts w:hint="eastAsia" w:ascii="楷体_GB2312" w:eastAsia="楷体_GB2312"/>
          <w:b/>
          <w:color w:val="auto"/>
          <w:sz w:val="32"/>
          <w:szCs w:val="32"/>
        </w:rPr>
        <w:t>（一）质量研究用样品</w:t>
      </w:r>
    </w:p>
    <w:p w14:paraId="441EDD9E">
      <w:pPr>
        <w:ind w:firstLine="640" w:firstLineChars="200"/>
        <w:rPr>
          <w:rFonts w:ascii="仿宋_GB2312" w:eastAsia="仿宋_GB2312"/>
          <w:color w:val="auto"/>
          <w:sz w:val="32"/>
          <w:szCs w:val="32"/>
        </w:rPr>
      </w:pPr>
      <w:r>
        <w:rPr>
          <w:rFonts w:hint="eastAsia" w:ascii="仿宋_GB2312" w:eastAsia="仿宋_GB2312"/>
          <w:color w:val="auto"/>
          <w:sz w:val="32"/>
          <w:szCs w:val="32"/>
        </w:rPr>
        <w:t>医疗机构中药制剂质量研究必须在处方确定、理化性质研究基本明确、原辅料来源明确、制备工艺稳定的基础上进行，</w:t>
      </w:r>
      <w:r>
        <w:rPr>
          <w:rFonts w:hint="eastAsia" w:ascii="仿宋_GB2312" w:eastAsia="仿宋_GB2312"/>
          <w:color w:val="auto"/>
          <w:sz w:val="32"/>
          <w:szCs w:val="32"/>
        </w:rPr>
        <w:t>提交申请时</w:t>
      </w:r>
      <w:r>
        <w:rPr>
          <w:rFonts w:hint="eastAsia" w:ascii="仿宋_GB2312" w:eastAsia="仿宋_GB2312"/>
          <w:color w:val="auto"/>
          <w:sz w:val="32"/>
          <w:szCs w:val="32"/>
        </w:rPr>
        <w:t>，质量研究至少要涵盖</w:t>
      </w:r>
      <w:r>
        <w:rPr>
          <w:rFonts w:hint="eastAsia" w:ascii="仿宋_GB2312" w:eastAsia="仿宋_GB2312"/>
          <w:color w:val="auto"/>
          <w:sz w:val="32"/>
          <w:szCs w:val="32"/>
        </w:rPr>
        <w:t>连续</w:t>
      </w:r>
      <w:r>
        <w:rPr>
          <w:rFonts w:hint="eastAsia" w:ascii="仿宋_GB2312" w:eastAsia="仿宋_GB2312"/>
          <w:color w:val="auto"/>
          <w:sz w:val="32"/>
          <w:szCs w:val="32"/>
        </w:rPr>
        <w:t>3批中试以上规模样品的研究。</w:t>
      </w:r>
    </w:p>
    <w:p w14:paraId="2AEF1401">
      <w:pPr>
        <w:ind w:firstLine="643" w:firstLineChars="200"/>
        <w:rPr>
          <w:rFonts w:ascii="楷体_GB2312" w:eastAsia="楷体_GB2312"/>
          <w:b/>
          <w:color w:val="auto"/>
          <w:sz w:val="32"/>
          <w:szCs w:val="32"/>
        </w:rPr>
      </w:pPr>
      <w:r>
        <w:rPr>
          <w:rFonts w:hint="eastAsia" w:ascii="楷体_GB2312" w:eastAsia="楷体_GB2312"/>
          <w:b/>
          <w:color w:val="auto"/>
          <w:sz w:val="32"/>
          <w:szCs w:val="32"/>
        </w:rPr>
        <w:t>（二）质量研究的一般内容</w:t>
      </w:r>
    </w:p>
    <w:p w14:paraId="70E8A125">
      <w:pPr>
        <w:ind w:firstLine="640" w:firstLineChars="200"/>
        <w:rPr>
          <w:rFonts w:ascii="仿宋_GB2312" w:eastAsia="仿宋_GB2312"/>
          <w:color w:val="auto"/>
          <w:sz w:val="32"/>
          <w:szCs w:val="32"/>
        </w:rPr>
      </w:pPr>
      <w:r>
        <w:rPr>
          <w:rFonts w:hint="eastAsia" w:ascii="仿宋_GB2312" w:eastAsia="仿宋_GB2312"/>
          <w:color w:val="auto"/>
          <w:sz w:val="32"/>
          <w:szCs w:val="32"/>
        </w:rPr>
        <w:t>质量研究通常应结合医疗机构中药制剂的处方工艺研究及不同剂型的质量要求进行。最终确定的质量标准的各项指标应以样品进行非临床和临床试验的研究数据为依据，结合多批</w:t>
      </w:r>
      <w:r>
        <w:rPr>
          <w:rFonts w:hint="eastAsia" w:ascii="仿宋_GB2312" w:eastAsia="仿宋_GB2312"/>
          <w:color w:val="auto"/>
          <w:sz w:val="32"/>
          <w:szCs w:val="32"/>
        </w:rPr>
        <w:t>中试以上</w:t>
      </w:r>
      <w:r>
        <w:rPr>
          <w:rFonts w:hint="eastAsia" w:ascii="仿宋_GB2312" w:eastAsia="仿宋_GB2312"/>
          <w:color w:val="auto"/>
          <w:sz w:val="32"/>
          <w:szCs w:val="32"/>
        </w:rPr>
        <w:t>规模样品的数据积累制定。中药复方制剂所含成分复杂，应在质量标准中建立多种方法的质控项目，如性状、鉴别、检查、浸出物、指纹/特征图谱、多个单一成分或</w:t>
      </w:r>
      <w:r>
        <w:rPr>
          <w:rFonts w:hint="eastAsia" w:ascii="仿宋_GB2312" w:eastAsia="仿宋_GB2312"/>
          <w:color w:val="auto"/>
          <w:sz w:val="32"/>
          <w:szCs w:val="32"/>
        </w:rPr>
        <w:t>大类成分的含量测定</w:t>
      </w:r>
      <w:r>
        <w:rPr>
          <w:rFonts w:hint="eastAsia" w:ascii="仿宋_GB2312" w:eastAsia="仿宋_GB2312"/>
          <w:color w:val="auto"/>
          <w:sz w:val="32"/>
          <w:szCs w:val="32"/>
        </w:rPr>
        <w:t>等。如有自行提取的提取物，应在制剂质量标准后附其质量标准，质控项目包括性状、鉴别、检查、指纹/特征图谱、含量测定等。</w:t>
      </w:r>
    </w:p>
    <w:p w14:paraId="06B581CC">
      <w:pPr>
        <w:ind w:firstLine="643" w:firstLineChars="200"/>
        <w:rPr>
          <w:rFonts w:ascii="仿宋_GB2312" w:eastAsia="仿宋_GB2312"/>
          <w:b/>
          <w:color w:val="auto"/>
          <w:sz w:val="32"/>
          <w:szCs w:val="32"/>
        </w:rPr>
      </w:pPr>
      <w:r>
        <w:rPr>
          <w:rFonts w:hint="eastAsia" w:ascii="仿宋_GB2312" w:eastAsia="仿宋_GB2312"/>
          <w:b/>
          <w:color w:val="auto"/>
          <w:sz w:val="32"/>
          <w:szCs w:val="32"/>
        </w:rPr>
        <w:t>1. 性状</w:t>
      </w:r>
    </w:p>
    <w:p w14:paraId="0A80F4F8">
      <w:pPr>
        <w:ind w:firstLine="640" w:firstLineChars="200"/>
        <w:rPr>
          <w:rFonts w:ascii="仿宋_GB2312" w:eastAsia="仿宋_GB2312"/>
          <w:color w:val="auto"/>
          <w:sz w:val="32"/>
          <w:szCs w:val="32"/>
        </w:rPr>
      </w:pPr>
      <w:r>
        <w:rPr>
          <w:rFonts w:hint="eastAsia" w:ascii="仿宋_GB2312" w:eastAsia="仿宋_GB2312"/>
          <w:color w:val="auto"/>
          <w:sz w:val="32"/>
          <w:szCs w:val="32"/>
        </w:rPr>
        <w:t>制剂的性状是考察样品的外形、颜色和嗅味，应根据至少3批中试以上规模样品结果并结合稳定性试验结果确定。先描述制剂的剂型或形态，再依次书写制剂的颜色、形态、嗅、味及其特异性或变化状况。具体可参照</w:t>
      </w:r>
      <w:r>
        <w:rPr>
          <w:rFonts w:hint="eastAsia" w:ascii="仿宋_GB2312" w:eastAsia="仿宋_GB2312"/>
          <w:color w:val="auto"/>
          <w:sz w:val="32"/>
          <w:szCs w:val="32"/>
        </w:rPr>
        <w:t>现行版</w:t>
      </w:r>
      <w:r>
        <w:rPr>
          <w:rFonts w:hint="eastAsia" w:ascii="仿宋_GB2312" w:eastAsia="仿宋_GB2312"/>
          <w:color w:val="auto"/>
          <w:sz w:val="32"/>
          <w:szCs w:val="32"/>
        </w:rPr>
        <w:t>《中国药典》制定，如：片剂或丸剂有包衣的应包括去除包衣后对片芯或丸芯的描述；胶囊剂应除去囊壳后就内容物进行描述。具毒性的中药</w:t>
      </w:r>
      <w:bookmarkStart w:id="2" w:name="OLE_LINK13"/>
      <w:bookmarkStart w:id="3" w:name="OLE_LINK14"/>
      <w:r>
        <w:rPr>
          <w:rFonts w:hint="eastAsia" w:ascii="仿宋_GB2312" w:eastAsia="仿宋_GB2312"/>
          <w:color w:val="auto"/>
          <w:sz w:val="32"/>
          <w:szCs w:val="32"/>
        </w:rPr>
        <w:t>制剂</w:t>
      </w:r>
      <w:bookmarkEnd w:id="2"/>
      <w:bookmarkEnd w:id="3"/>
      <w:r>
        <w:rPr>
          <w:rFonts w:hint="eastAsia" w:ascii="仿宋_GB2312" w:eastAsia="仿宋_GB2312"/>
          <w:color w:val="auto"/>
          <w:sz w:val="32"/>
          <w:szCs w:val="32"/>
        </w:rPr>
        <w:t>、外用</w:t>
      </w:r>
      <w:r>
        <w:rPr>
          <w:rFonts w:hint="eastAsia" w:ascii="仿宋_GB2312" w:eastAsia="仿宋_GB2312"/>
          <w:color w:val="auto"/>
          <w:sz w:val="32"/>
          <w:szCs w:val="32"/>
        </w:rPr>
        <w:t>制剂</w:t>
      </w:r>
      <w:r>
        <w:rPr>
          <w:rFonts w:hint="eastAsia" w:ascii="仿宋_GB2312" w:eastAsia="仿宋_GB2312"/>
          <w:color w:val="auto"/>
          <w:sz w:val="32"/>
          <w:szCs w:val="32"/>
        </w:rPr>
        <w:t>一般不描述味觉。色泽的描述可规定一定的范围。复合色的描述应为辅色在前，主色在后，如黄棕色，以棕色为主。</w:t>
      </w:r>
    </w:p>
    <w:p w14:paraId="54B744B4">
      <w:pPr>
        <w:ind w:firstLine="643" w:firstLineChars="200"/>
        <w:rPr>
          <w:rFonts w:ascii="仿宋_GB2312" w:eastAsia="仿宋_GB2312"/>
          <w:b/>
          <w:color w:val="auto"/>
          <w:sz w:val="32"/>
          <w:szCs w:val="32"/>
        </w:rPr>
      </w:pPr>
      <w:r>
        <w:rPr>
          <w:rFonts w:hint="eastAsia" w:ascii="仿宋_GB2312" w:eastAsia="仿宋_GB2312"/>
          <w:b/>
          <w:color w:val="auto"/>
          <w:sz w:val="32"/>
          <w:szCs w:val="32"/>
        </w:rPr>
        <w:t>2. 鉴别</w:t>
      </w:r>
    </w:p>
    <w:p w14:paraId="6406B82C">
      <w:pPr>
        <w:ind w:firstLine="640" w:firstLineChars="200"/>
        <w:rPr>
          <w:rFonts w:ascii="仿宋_GB2312" w:eastAsia="仿宋_GB2312"/>
          <w:color w:val="auto"/>
          <w:sz w:val="32"/>
          <w:szCs w:val="32"/>
        </w:rPr>
      </w:pPr>
      <w:r>
        <w:rPr>
          <w:rFonts w:hint="eastAsia" w:ascii="仿宋_GB2312" w:eastAsia="仿宋_GB2312"/>
          <w:color w:val="auto"/>
          <w:sz w:val="32"/>
          <w:szCs w:val="32"/>
        </w:rPr>
        <w:t>（1）鉴别应能区分可能共存的物质或结构相似的化合物。</w:t>
      </w:r>
    </w:p>
    <w:p w14:paraId="20860D80">
      <w:pPr>
        <w:adjustRightInd w:val="0"/>
        <w:snapToGrid w:val="0"/>
        <w:spacing w:line="360" w:lineRule="auto"/>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（2）可根据处方构成及研究资料确定建立对应</w:t>
      </w:r>
      <w:r>
        <w:rPr>
          <w:rFonts w:hint="eastAsia" w:ascii="仿宋_GB2312" w:hAnsi="Times New Roman" w:eastAsia="仿宋_GB2312" w:cs="Times New Roman"/>
          <w:color w:val="auto"/>
          <w:sz w:val="32"/>
          <w:szCs w:val="32"/>
        </w:rPr>
        <w:t>的</w:t>
      </w:r>
      <w:r>
        <w:rPr>
          <w:rFonts w:hint="eastAsia" w:ascii="仿宋_GB2312" w:hAnsi="宋体" w:eastAsia="仿宋_GB2312" w:cs="Times New Roman"/>
          <w:color w:val="auto"/>
          <w:sz w:val="32"/>
          <w:szCs w:val="32"/>
        </w:rPr>
        <w:t>鉴别项目，原则上处方各药味均应进行试验研究，根据试验情况，选择列入质量标准中。首选君药、贵细药、毒性药。因鉴别特性不明显，或处方中用量较小而不能检出者应予阐明，再选其他药味鉴别。重现性好确能反应组方药味特性</w:t>
      </w:r>
      <w:r>
        <w:rPr>
          <w:rFonts w:hint="eastAsia" w:ascii="仿宋_GB2312" w:hAnsi="Times New Roman" w:eastAsia="仿宋_GB2312" w:cs="Times New Roman"/>
          <w:color w:val="auto"/>
          <w:sz w:val="32"/>
          <w:szCs w:val="32"/>
        </w:rPr>
        <w:t>的特征</w:t>
      </w:r>
      <w:r>
        <w:rPr>
          <w:rFonts w:hint="eastAsia" w:ascii="仿宋_GB2312" w:hAnsi="宋体" w:eastAsia="仿宋_GB2312" w:cs="Times New Roman"/>
          <w:color w:val="auto"/>
          <w:sz w:val="32"/>
          <w:szCs w:val="32"/>
        </w:rPr>
        <w:t>色谱或指纹图谱鉴别也可选用。</w:t>
      </w:r>
    </w:p>
    <w:p w14:paraId="66996040">
      <w:pPr>
        <w:ind w:firstLine="640" w:firstLineChars="200"/>
        <w:rPr>
          <w:rFonts w:ascii="仿宋_GB2312" w:eastAsia="仿宋_GB2312"/>
          <w:color w:val="auto"/>
          <w:sz w:val="32"/>
          <w:szCs w:val="32"/>
        </w:rPr>
      </w:pPr>
      <w:r>
        <w:rPr>
          <w:rFonts w:hint="eastAsia" w:ascii="仿宋_GB2312" w:eastAsia="仿宋_GB2312"/>
          <w:color w:val="auto"/>
          <w:sz w:val="32"/>
          <w:szCs w:val="32"/>
        </w:rPr>
        <w:t>（3）制剂中若有直接入药的生药粉，一般应建立显微鉴别方法。</w:t>
      </w:r>
    </w:p>
    <w:p w14:paraId="619ACE1E">
      <w:pPr>
        <w:ind w:firstLine="640" w:firstLineChars="200"/>
        <w:rPr>
          <w:rFonts w:ascii="仿宋_GB2312" w:eastAsia="仿宋_GB2312"/>
          <w:color w:val="auto"/>
          <w:sz w:val="32"/>
          <w:szCs w:val="32"/>
        </w:rPr>
      </w:pPr>
      <w:r>
        <w:rPr>
          <w:rFonts w:hint="eastAsia" w:ascii="仿宋_GB2312" w:eastAsia="仿宋_GB2312"/>
          <w:color w:val="auto"/>
          <w:sz w:val="32"/>
          <w:szCs w:val="32"/>
        </w:rPr>
        <w:t>（4）化学反应鉴别法一般适用于制剂中含有矿物类药味以及有类似结构特征的大类化学成分的鉴别，包括显色反应、沉淀反应、盐类的离子反应等。</w:t>
      </w:r>
    </w:p>
    <w:p w14:paraId="35F8E82F">
      <w:pPr>
        <w:ind w:firstLine="640" w:firstLineChars="200"/>
        <w:rPr>
          <w:rFonts w:ascii="仿宋_GB2312" w:eastAsia="仿宋_GB2312"/>
          <w:color w:val="auto"/>
          <w:sz w:val="32"/>
          <w:szCs w:val="32"/>
        </w:rPr>
      </w:pPr>
      <w:r>
        <w:rPr>
          <w:rFonts w:hint="eastAsia" w:ascii="仿宋_GB2312" w:eastAsia="仿宋_GB2312"/>
          <w:color w:val="auto"/>
          <w:sz w:val="32"/>
          <w:szCs w:val="32"/>
        </w:rPr>
        <w:t>（5）色谱法一般为首选方法，主要包括薄层色谱法、气相色谱法、高效液相色谱法等。可采用薄层色谱法的比移值和显色特征（特征斑点的个数、颜色、紫外吸收/荧光显色等特征），气相色谱法、高效液相色谱法的保留时间等进行鉴别。</w:t>
      </w:r>
    </w:p>
    <w:p w14:paraId="2EF1BC64">
      <w:pPr>
        <w:ind w:firstLine="640" w:firstLineChars="200"/>
        <w:rPr>
          <w:rFonts w:ascii="仿宋_GB2312" w:eastAsia="仿宋_GB2312"/>
          <w:color w:val="auto"/>
          <w:sz w:val="32"/>
          <w:szCs w:val="32"/>
        </w:rPr>
      </w:pPr>
      <w:r>
        <w:rPr>
          <w:rFonts w:hint="eastAsia" w:ascii="仿宋_GB2312" w:eastAsia="仿宋_GB2312"/>
          <w:color w:val="auto"/>
          <w:sz w:val="32"/>
          <w:szCs w:val="32"/>
        </w:rPr>
        <w:t>（6）光谱法主要包括红外吸收光谱法和紫外-可见吸收光谱法。紫外-可见吸收光谱法应规定在指定溶剂中的最大吸收波长，必要时规定最小吸收波长；或规定几个最大吸收波长处的吸光度比值，或特定波长处的吸光度。</w:t>
      </w:r>
    </w:p>
    <w:p w14:paraId="7A7008C7">
      <w:pPr>
        <w:ind w:firstLine="640" w:firstLineChars="200"/>
        <w:rPr>
          <w:rFonts w:ascii="仿宋_GB2312" w:eastAsia="仿宋_GB2312"/>
          <w:color w:val="auto"/>
          <w:sz w:val="32"/>
          <w:szCs w:val="32"/>
        </w:rPr>
      </w:pPr>
      <w:r>
        <w:rPr>
          <w:rFonts w:hint="eastAsia" w:ascii="仿宋_GB2312" w:eastAsia="仿宋_GB2312"/>
          <w:color w:val="auto"/>
          <w:sz w:val="32"/>
          <w:szCs w:val="32"/>
        </w:rPr>
        <w:t>（7）若处方中含有动物来源的药味并且在制剂中仅其蛋白质、多肽等生物大分子成份具备识别特征，应研究建立相应的特异性检验检测方法。</w:t>
      </w:r>
    </w:p>
    <w:p w14:paraId="4ED16B4D">
      <w:pPr>
        <w:ind w:firstLine="643" w:firstLineChars="200"/>
        <w:rPr>
          <w:rFonts w:ascii="仿宋_GB2312" w:eastAsia="仿宋_GB2312"/>
          <w:b/>
          <w:color w:val="auto"/>
          <w:sz w:val="32"/>
          <w:szCs w:val="32"/>
        </w:rPr>
      </w:pPr>
      <w:r>
        <w:rPr>
          <w:rFonts w:hint="eastAsia" w:ascii="仿宋_GB2312" w:eastAsia="仿宋_GB2312"/>
          <w:b/>
          <w:color w:val="auto"/>
          <w:sz w:val="32"/>
          <w:szCs w:val="32"/>
        </w:rPr>
        <w:t>3. 检查</w:t>
      </w:r>
    </w:p>
    <w:p w14:paraId="251D552F">
      <w:pPr>
        <w:ind w:firstLine="640" w:firstLineChars="200"/>
        <w:rPr>
          <w:rFonts w:ascii="仿宋_GB2312" w:eastAsia="仿宋_GB2312"/>
          <w:color w:val="auto"/>
          <w:sz w:val="32"/>
          <w:szCs w:val="32"/>
        </w:rPr>
      </w:pPr>
      <w:r>
        <w:rPr>
          <w:rFonts w:hint="eastAsia" w:ascii="仿宋_GB2312" w:eastAsia="仿宋_GB2312"/>
          <w:color w:val="auto"/>
          <w:sz w:val="32"/>
          <w:szCs w:val="32"/>
        </w:rPr>
        <w:t>（1）各种制剂需进行的检查项目，除应符合</w:t>
      </w:r>
      <w:r>
        <w:rPr>
          <w:rFonts w:hint="eastAsia" w:ascii="仿宋_GB2312" w:eastAsia="仿宋_GB2312"/>
          <w:color w:val="auto"/>
          <w:sz w:val="32"/>
          <w:szCs w:val="32"/>
        </w:rPr>
        <w:t>现行版</w:t>
      </w:r>
      <w:r>
        <w:rPr>
          <w:rFonts w:hint="eastAsia" w:ascii="仿宋_GB2312" w:eastAsia="仿宋_GB2312"/>
          <w:color w:val="auto"/>
          <w:sz w:val="32"/>
          <w:szCs w:val="32"/>
        </w:rPr>
        <w:t>《中国药典》四部制剂通则的相应规定外，还应根据剂型特点及临床用药需要建立反映制剂特性的检查方法。</w:t>
      </w:r>
    </w:p>
    <w:p w14:paraId="2FC6704C">
      <w:pPr>
        <w:ind w:firstLine="640" w:firstLineChars="200"/>
        <w:rPr>
          <w:rFonts w:ascii="仿宋_GB2312" w:eastAsia="仿宋_GB2312"/>
          <w:color w:val="auto"/>
          <w:sz w:val="32"/>
          <w:szCs w:val="32"/>
        </w:rPr>
      </w:pPr>
      <w:r>
        <w:rPr>
          <w:rFonts w:hint="eastAsia" w:ascii="仿宋_GB2312" w:eastAsia="仿宋_GB2312"/>
          <w:color w:val="auto"/>
          <w:sz w:val="32"/>
          <w:szCs w:val="32"/>
        </w:rPr>
        <w:t>（2）处方中含有国务院《医疗用毒性药品管理办法》（1988年）颁布的28种毒性药材和各版《中国药典》、部颁标准、进口药材标准、地方药材标准中标注为大毒（或剧毒）的</w:t>
      </w:r>
      <w:r>
        <w:rPr>
          <w:rFonts w:hint="eastAsia" w:ascii="仿宋_GB2312" w:eastAsia="仿宋_GB2312"/>
          <w:color w:val="auto"/>
          <w:sz w:val="32"/>
          <w:szCs w:val="32"/>
        </w:rPr>
        <w:t>饮片</w:t>
      </w:r>
      <w:r>
        <w:rPr>
          <w:rFonts w:hint="eastAsia" w:ascii="仿宋_GB2312" w:eastAsia="仿宋_GB2312"/>
          <w:color w:val="auto"/>
          <w:sz w:val="32"/>
          <w:szCs w:val="32"/>
        </w:rPr>
        <w:t>，应针对该药味建立有关毒性成份的限量检查方法，其限度可根据相应的毒理学或文献研究资料合理制定。</w:t>
      </w:r>
    </w:p>
    <w:p w14:paraId="53886712">
      <w:pPr>
        <w:ind w:firstLine="640" w:firstLineChars="200"/>
        <w:rPr>
          <w:rFonts w:ascii="仿宋_GB2312" w:eastAsia="仿宋_GB2312"/>
          <w:color w:val="auto"/>
          <w:sz w:val="32"/>
          <w:szCs w:val="32"/>
        </w:rPr>
      </w:pPr>
      <w:r>
        <w:rPr>
          <w:rFonts w:hint="eastAsia" w:ascii="仿宋_GB2312" w:eastAsia="仿宋_GB2312"/>
          <w:color w:val="auto"/>
          <w:sz w:val="32"/>
          <w:szCs w:val="32"/>
        </w:rPr>
        <w:t>（3）若处方中含有易被农药、生物毒素、重金属及有害元素污染的</w:t>
      </w:r>
      <w:bookmarkStart w:id="4" w:name="OLE_LINK1"/>
      <w:r>
        <w:rPr>
          <w:rFonts w:hint="eastAsia" w:ascii="仿宋_GB2312" w:eastAsia="仿宋_GB2312"/>
          <w:color w:val="auto"/>
          <w:sz w:val="32"/>
          <w:szCs w:val="32"/>
        </w:rPr>
        <w:t>中药饮片</w:t>
      </w:r>
      <w:bookmarkEnd w:id="4"/>
      <w:r>
        <w:rPr>
          <w:rFonts w:hint="eastAsia" w:ascii="仿宋_GB2312" w:eastAsia="仿宋_GB2312"/>
          <w:color w:val="auto"/>
          <w:sz w:val="32"/>
          <w:szCs w:val="32"/>
        </w:rPr>
        <w:t>，制剂质量标准中应根据品种情况，研究建立相关的检测方法和限度。若在</w:t>
      </w:r>
      <w:r>
        <w:rPr>
          <w:rFonts w:hint="eastAsia" w:ascii="仿宋_GB2312" w:eastAsia="仿宋_GB2312"/>
          <w:color w:val="auto"/>
          <w:sz w:val="32"/>
          <w:szCs w:val="32"/>
        </w:rPr>
        <w:t>中药饮片</w:t>
      </w:r>
      <w:r>
        <w:rPr>
          <w:rFonts w:hint="eastAsia" w:ascii="仿宋_GB2312" w:eastAsia="仿宋_GB2312"/>
          <w:color w:val="auto"/>
          <w:sz w:val="32"/>
          <w:szCs w:val="32"/>
        </w:rPr>
        <w:t>质量标准中已经建立了相关的检查项并加以控制，在制剂质量标准中一般不再要求。</w:t>
      </w:r>
    </w:p>
    <w:p w14:paraId="32C56EC8">
      <w:pPr>
        <w:ind w:firstLine="640" w:firstLineChars="200"/>
        <w:rPr>
          <w:rFonts w:ascii="仿宋_GB2312" w:eastAsia="仿宋_GB2312"/>
          <w:color w:val="auto"/>
          <w:sz w:val="32"/>
          <w:szCs w:val="32"/>
        </w:rPr>
      </w:pPr>
      <w:r>
        <w:rPr>
          <w:rFonts w:hint="eastAsia" w:ascii="仿宋_GB2312" w:eastAsia="仿宋_GB2312"/>
          <w:color w:val="auto"/>
          <w:sz w:val="32"/>
          <w:szCs w:val="32"/>
        </w:rPr>
        <w:t>（4）含矿物类饮片的制剂，应进行重金属、砷盐检查，并详细说明限度确定的依据。</w:t>
      </w:r>
    </w:p>
    <w:p w14:paraId="2CFC19DF">
      <w:pPr>
        <w:ind w:firstLine="640" w:firstLineChars="200"/>
        <w:rPr>
          <w:rFonts w:ascii="仿宋_GB2312" w:eastAsia="仿宋_GB2312"/>
          <w:color w:val="auto"/>
          <w:sz w:val="32"/>
          <w:szCs w:val="32"/>
        </w:rPr>
      </w:pPr>
      <w:r>
        <w:rPr>
          <w:rFonts w:hint="eastAsia" w:ascii="仿宋_GB2312" w:eastAsia="仿宋_GB2312"/>
          <w:color w:val="auto"/>
          <w:sz w:val="32"/>
          <w:szCs w:val="32"/>
        </w:rPr>
        <w:t>（5）制剂应参照</w:t>
      </w:r>
      <w:r>
        <w:rPr>
          <w:rFonts w:hint="eastAsia" w:ascii="仿宋_GB2312" w:eastAsia="仿宋_GB2312"/>
          <w:color w:val="auto"/>
          <w:sz w:val="32"/>
          <w:szCs w:val="32"/>
        </w:rPr>
        <w:t>现行版</w:t>
      </w:r>
      <w:r>
        <w:rPr>
          <w:rFonts w:hint="eastAsia" w:ascii="仿宋_GB2312" w:eastAsia="仿宋_GB2312"/>
          <w:color w:val="auto"/>
          <w:sz w:val="32"/>
          <w:szCs w:val="32"/>
        </w:rPr>
        <w:t>《中国药典》四部制剂通则具体剂型项下要求，进行无菌检查或微生物限度检查，检查方法纳入质量标准正文。</w:t>
      </w:r>
    </w:p>
    <w:p w14:paraId="40A5FEBB">
      <w:pPr>
        <w:ind w:firstLine="643" w:firstLineChars="200"/>
        <w:rPr>
          <w:rFonts w:ascii="仿宋_GB2312" w:eastAsia="仿宋_GB2312"/>
          <w:b/>
          <w:color w:val="auto"/>
          <w:sz w:val="32"/>
          <w:szCs w:val="32"/>
        </w:rPr>
      </w:pPr>
      <w:r>
        <w:rPr>
          <w:rFonts w:hint="eastAsia" w:ascii="仿宋_GB2312" w:eastAsia="仿宋_GB2312"/>
          <w:b/>
          <w:color w:val="auto"/>
          <w:sz w:val="32"/>
          <w:szCs w:val="32"/>
        </w:rPr>
        <w:t>4. 浸出物</w:t>
      </w:r>
    </w:p>
    <w:p w14:paraId="21DCF2EE">
      <w:pPr>
        <w:ind w:firstLine="640" w:firstLineChars="200"/>
        <w:rPr>
          <w:rFonts w:ascii="仿宋_GB2312" w:eastAsia="仿宋_GB2312"/>
          <w:color w:val="auto"/>
          <w:sz w:val="32"/>
          <w:szCs w:val="32"/>
        </w:rPr>
      </w:pPr>
      <w:r>
        <w:rPr>
          <w:rFonts w:hint="eastAsia" w:ascii="仿宋_GB2312" w:eastAsia="仿宋_GB2312"/>
          <w:color w:val="auto"/>
          <w:sz w:val="32"/>
          <w:szCs w:val="32"/>
        </w:rPr>
        <w:t>浸出物的检测方法可根据制剂所含主要成份的理化性质选择适宜的溶剂（不限于一种），基于不同的溶剂可将浸出物分为水溶性浸出物、醇溶性浸出物、乙酸乙酯浸出物及醚浸出物等。</w:t>
      </w:r>
    </w:p>
    <w:p w14:paraId="3A1E71B3">
      <w:pPr>
        <w:ind w:firstLine="643" w:firstLineChars="200"/>
        <w:rPr>
          <w:rFonts w:ascii="仿宋_GB2312" w:eastAsia="仿宋_GB2312"/>
          <w:b/>
          <w:color w:val="auto"/>
          <w:sz w:val="32"/>
          <w:szCs w:val="32"/>
        </w:rPr>
      </w:pPr>
      <w:r>
        <w:rPr>
          <w:rFonts w:hint="eastAsia" w:ascii="仿宋_GB2312" w:eastAsia="仿宋_GB2312"/>
          <w:b/>
          <w:color w:val="auto"/>
          <w:sz w:val="32"/>
          <w:szCs w:val="32"/>
        </w:rPr>
        <w:t>5. 指纹/特征图谱</w:t>
      </w:r>
    </w:p>
    <w:p w14:paraId="00CA11A1">
      <w:pPr>
        <w:ind w:firstLine="640" w:firstLineChars="200"/>
        <w:rPr>
          <w:rFonts w:ascii="仿宋_GB2312" w:eastAsia="仿宋_GB2312"/>
          <w:color w:val="auto"/>
          <w:sz w:val="32"/>
          <w:szCs w:val="32"/>
        </w:rPr>
      </w:pPr>
      <w:r>
        <w:rPr>
          <w:rFonts w:hint="eastAsia" w:ascii="仿宋_GB2312" w:eastAsia="仿宋_GB2312"/>
          <w:color w:val="auto"/>
          <w:sz w:val="32"/>
          <w:szCs w:val="32"/>
        </w:rPr>
        <w:t>鼓励有条件的医疗机构进行指纹/特征图谱研究并建立相应的标准。内容一般包括建立分析方法、色谱峰的指认、建立对照图谱、数据分析与评价等过程。</w:t>
      </w:r>
    </w:p>
    <w:p w14:paraId="2017288E">
      <w:pPr>
        <w:ind w:firstLine="643" w:firstLineChars="200"/>
        <w:rPr>
          <w:rFonts w:ascii="仿宋_GB2312" w:eastAsia="仿宋_GB2312"/>
          <w:b/>
          <w:color w:val="auto"/>
          <w:sz w:val="32"/>
          <w:szCs w:val="32"/>
        </w:rPr>
      </w:pPr>
      <w:r>
        <w:rPr>
          <w:rFonts w:hint="eastAsia" w:ascii="仿宋_GB2312" w:eastAsia="仿宋_GB2312"/>
          <w:b/>
          <w:color w:val="auto"/>
          <w:sz w:val="32"/>
          <w:szCs w:val="32"/>
        </w:rPr>
        <w:t>6. 含量测定</w:t>
      </w:r>
    </w:p>
    <w:p w14:paraId="5BFDFD06">
      <w:pPr>
        <w:ind w:firstLine="640" w:firstLineChars="200"/>
        <w:rPr>
          <w:rFonts w:ascii="仿宋_GB2312" w:eastAsia="仿宋_GB2312"/>
          <w:color w:val="auto"/>
          <w:sz w:val="32"/>
          <w:szCs w:val="32"/>
        </w:rPr>
      </w:pPr>
      <w:r>
        <w:rPr>
          <w:rFonts w:hint="eastAsia" w:ascii="仿宋_GB2312" w:eastAsia="仿宋_GB2312"/>
          <w:color w:val="auto"/>
          <w:sz w:val="32"/>
          <w:szCs w:val="32"/>
        </w:rPr>
        <w:t>（1）应研究并建立尽可能多的处方药味的含量测定方法，应首选与</w:t>
      </w:r>
      <w:r>
        <w:rPr>
          <w:rFonts w:hint="eastAsia" w:ascii="仿宋_GB2312" w:eastAsia="仿宋_GB2312"/>
          <w:color w:val="auto"/>
          <w:sz w:val="32"/>
          <w:szCs w:val="32"/>
        </w:rPr>
        <w:t>制剂</w:t>
      </w:r>
      <w:r>
        <w:rPr>
          <w:rFonts w:hint="eastAsia" w:ascii="仿宋_GB2312" w:eastAsia="仿宋_GB2312"/>
          <w:color w:val="auto"/>
          <w:sz w:val="32"/>
          <w:szCs w:val="32"/>
        </w:rPr>
        <w:t>安全性、有效性相关联的化学成分，一般优先选择有效/活性成分、毒性成分、君药所含指标成分等为含量测定指标。</w:t>
      </w:r>
    </w:p>
    <w:p w14:paraId="11746E62">
      <w:pPr>
        <w:ind w:firstLine="640" w:firstLineChars="200"/>
        <w:rPr>
          <w:rFonts w:ascii="仿宋_GB2312" w:eastAsia="仿宋_GB2312"/>
          <w:color w:val="auto"/>
          <w:sz w:val="32"/>
          <w:szCs w:val="32"/>
        </w:rPr>
      </w:pPr>
      <w:r>
        <w:rPr>
          <w:rFonts w:hint="eastAsia" w:ascii="仿宋_GB2312" w:eastAsia="仿宋_GB2312"/>
          <w:color w:val="auto"/>
          <w:sz w:val="32"/>
          <w:szCs w:val="32"/>
        </w:rPr>
        <w:t>（2）若制法中包含多条工艺路线，应针对每条工艺路线研究建立相关有效/活性成分或指标成分的含量测定方法；如有提取挥发油的工艺，应进行挥发油总量或相应指标成份的含量测定方法研究，视情况列入标准；含热敏感成分的，建立其含量测定方法可反映</w:t>
      </w:r>
      <w:r>
        <w:rPr>
          <w:rFonts w:hint="eastAsia" w:ascii="仿宋_GB2312" w:eastAsia="仿宋_GB2312"/>
          <w:color w:val="auto"/>
          <w:sz w:val="32"/>
          <w:szCs w:val="32"/>
        </w:rPr>
        <w:t>配制</w:t>
      </w:r>
      <w:r>
        <w:rPr>
          <w:rFonts w:hint="eastAsia" w:ascii="仿宋_GB2312" w:eastAsia="仿宋_GB2312"/>
          <w:color w:val="auto"/>
          <w:sz w:val="32"/>
          <w:szCs w:val="32"/>
        </w:rPr>
        <w:t>过程中物料的受热程度及稳定性；活性成分含量低于0.02%，应增加有效组分的含量测定，如总黄酮、总生物碱、总皂苷等。</w:t>
      </w:r>
      <w:r>
        <w:rPr>
          <w:rFonts w:hint="eastAsia" w:ascii="仿宋_GB2312" w:eastAsia="仿宋_GB2312"/>
          <w:color w:val="auto"/>
          <w:sz w:val="32"/>
          <w:szCs w:val="32"/>
        </w:rPr>
        <w:t>一般应选择样品中原型成份作为含量测定指标</w:t>
      </w:r>
      <w:r>
        <w:rPr>
          <w:rFonts w:hint="eastAsia" w:ascii="仿宋_GB2312" w:eastAsia="仿宋_GB2312"/>
          <w:color w:val="auto"/>
          <w:sz w:val="32"/>
          <w:szCs w:val="32"/>
        </w:rPr>
        <w:t>，避免选择水解、降解等产物或无专属性的指标成份及微量成份作为指标。</w:t>
      </w:r>
    </w:p>
    <w:p w14:paraId="16E5C2D5">
      <w:pPr>
        <w:ind w:firstLine="640" w:firstLineChars="200"/>
        <w:rPr>
          <w:rFonts w:ascii="仿宋_GB2312" w:eastAsia="仿宋_GB2312"/>
          <w:color w:val="auto"/>
          <w:sz w:val="32"/>
          <w:szCs w:val="32"/>
        </w:rPr>
      </w:pPr>
      <w:r>
        <w:rPr>
          <w:rFonts w:hint="eastAsia" w:ascii="仿宋_GB2312" w:eastAsia="仿宋_GB2312"/>
          <w:color w:val="auto"/>
          <w:sz w:val="32"/>
          <w:szCs w:val="32"/>
        </w:rPr>
        <w:t>（3）含量限度指标应参考相关药材或饮片标准，并建议根据</w:t>
      </w:r>
      <w:r>
        <w:rPr>
          <w:rFonts w:hint="eastAsia" w:ascii="仿宋_GB2312" w:eastAsia="仿宋_GB2312"/>
          <w:color w:val="auto"/>
          <w:sz w:val="32"/>
          <w:szCs w:val="32"/>
        </w:rPr>
        <w:t>多批</w:t>
      </w:r>
      <w:r>
        <w:rPr>
          <w:rFonts w:hint="eastAsia" w:ascii="仿宋_GB2312" w:eastAsia="仿宋_GB2312"/>
          <w:color w:val="auto"/>
          <w:sz w:val="32"/>
          <w:szCs w:val="32"/>
        </w:rPr>
        <w:t>以上样品（其中中试以上规模至少3批）的实测数据制定，如检测方法与药典规定不同的或药典药材中无相应含量测定项的应提供至少3批以上的原料药材含量数据，以便计算转移率。原粉入药的转移率一般要求在90%以上。一般规定低限，或制订限度范围。毒性成分的含量一般应规定低限和高限。</w:t>
      </w:r>
    </w:p>
    <w:p w14:paraId="343E9C7A">
      <w:pPr>
        <w:ind w:firstLine="643" w:firstLineChars="200"/>
        <w:rPr>
          <w:rFonts w:ascii="楷体_GB2312" w:eastAsia="楷体_GB2312"/>
          <w:b/>
          <w:color w:val="auto"/>
          <w:sz w:val="32"/>
          <w:szCs w:val="32"/>
        </w:rPr>
      </w:pPr>
      <w:r>
        <w:rPr>
          <w:rFonts w:hint="eastAsia" w:ascii="楷体_GB2312" w:eastAsia="楷体_GB2312"/>
          <w:b/>
          <w:color w:val="auto"/>
          <w:sz w:val="32"/>
          <w:szCs w:val="32"/>
        </w:rPr>
        <w:t>（三）方法学研究</w:t>
      </w:r>
    </w:p>
    <w:p w14:paraId="1FFEA471">
      <w:pPr>
        <w:ind w:firstLine="640" w:firstLineChars="200"/>
        <w:rPr>
          <w:rFonts w:ascii="仿宋_GB2312" w:eastAsia="仿宋_GB2312"/>
          <w:color w:val="auto"/>
          <w:sz w:val="32"/>
          <w:szCs w:val="32"/>
        </w:rPr>
      </w:pPr>
      <w:r>
        <w:rPr>
          <w:rFonts w:hint="eastAsia" w:ascii="仿宋_GB2312" w:eastAsia="仿宋_GB2312"/>
          <w:color w:val="auto"/>
          <w:sz w:val="32"/>
          <w:szCs w:val="32"/>
        </w:rPr>
        <w:t>质量研究用分析方法通常应根据研究项目的目的进行选择。方法的选择要有依据，包括文献依据、理论依据及试验依据。常规项目通常可采用</w:t>
      </w:r>
      <w:r>
        <w:rPr>
          <w:rFonts w:hint="eastAsia" w:ascii="仿宋_GB2312" w:eastAsia="仿宋_GB2312"/>
          <w:color w:val="auto"/>
          <w:sz w:val="32"/>
          <w:szCs w:val="32"/>
        </w:rPr>
        <w:t>现行版</w:t>
      </w:r>
      <w:r>
        <w:rPr>
          <w:rFonts w:hint="eastAsia" w:ascii="仿宋_GB2312" w:eastAsia="仿宋_GB2312"/>
          <w:color w:val="auto"/>
          <w:sz w:val="32"/>
          <w:szCs w:val="32"/>
        </w:rPr>
        <w:t>《中国药典》收载的方法。</w:t>
      </w:r>
    </w:p>
    <w:p w14:paraId="73D01D59">
      <w:pPr>
        <w:ind w:firstLine="640" w:firstLineChars="200"/>
        <w:rPr>
          <w:rFonts w:ascii="仿宋_GB2312" w:eastAsia="仿宋_GB2312"/>
          <w:color w:val="auto"/>
          <w:sz w:val="32"/>
          <w:szCs w:val="32"/>
        </w:rPr>
      </w:pPr>
      <w:r>
        <w:rPr>
          <w:rFonts w:hint="eastAsia" w:ascii="仿宋_GB2312" w:eastAsia="仿宋_GB2312"/>
          <w:color w:val="auto"/>
          <w:sz w:val="32"/>
          <w:szCs w:val="32"/>
        </w:rPr>
        <w:t>选择的分析方法应根据研究项目的要求，结合所采用分析方法的特点，进行相应的方法学验证，以保证所用方法的科学性、准确性和可行性。</w:t>
      </w:r>
      <w:r>
        <w:rPr>
          <w:rFonts w:hint="eastAsia" w:ascii="仿宋_GB2312" w:eastAsia="仿宋_GB2312"/>
          <w:color w:val="auto"/>
          <w:sz w:val="32"/>
          <w:szCs w:val="32"/>
        </w:rPr>
        <w:t>具体内容可参照现行版《中国药典》四部通则“分析方法验证指导原则”。</w:t>
      </w:r>
    </w:p>
    <w:p w14:paraId="6134A5F1">
      <w:pPr>
        <w:ind w:firstLine="643" w:firstLineChars="200"/>
        <w:rPr>
          <w:rFonts w:ascii="仿宋_GB2312" w:eastAsia="仿宋_GB2312"/>
          <w:b/>
          <w:color w:val="auto"/>
          <w:sz w:val="32"/>
          <w:szCs w:val="32"/>
        </w:rPr>
      </w:pPr>
      <w:r>
        <w:rPr>
          <w:rFonts w:hint="eastAsia" w:ascii="仿宋_GB2312" w:eastAsia="仿宋_GB2312"/>
          <w:b/>
          <w:color w:val="auto"/>
          <w:sz w:val="32"/>
          <w:szCs w:val="32"/>
        </w:rPr>
        <w:t>1. 鉴别</w:t>
      </w:r>
    </w:p>
    <w:p w14:paraId="1F0AF01C">
      <w:pPr>
        <w:ind w:firstLine="640" w:firstLineChars="200"/>
        <w:rPr>
          <w:rFonts w:ascii="仿宋_GB2312" w:eastAsia="仿宋_GB2312"/>
          <w:color w:val="auto"/>
          <w:sz w:val="32"/>
          <w:szCs w:val="32"/>
        </w:rPr>
      </w:pPr>
      <w:r>
        <w:rPr>
          <w:rFonts w:hint="eastAsia" w:ascii="仿宋_GB2312" w:eastAsia="仿宋_GB2312"/>
          <w:color w:val="auto"/>
          <w:sz w:val="32"/>
          <w:szCs w:val="32"/>
        </w:rPr>
        <w:t>（1）建立的方法应满足专属性强、灵敏度高、重现性好、快速和操作简便的基本要求。鉴别常用的方法包括显微鉴别、化学反应法、色谱法、光谱法等。</w:t>
      </w:r>
    </w:p>
    <w:p w14:paraId="6CFF7309">
      <w:pPr>
        <w:ind w:firstLine="640" w:firstLineChars="200"/>
        <w:rPr>
          <w:rFonts w:ascii="仿宋_GB2312" w:eastAsia="仿宋_GB2312"/>
          <w:color w:val="auto"/>
          <w:sz w:val="32"/>
          <w:szCs w:val="32"/>
        </w:rPr>
      </w:pPr>
      <w:r>
        <w:rPr>
          <w:rFonts w:hint="eastAsia" w:ascii="仿宋_GB2312" w:eastAsia="仿宋_GB2312"/>
          <w:color w:val="auto"/>
          <w:sz w:val="32"/>
          <w:szCs w:val="32"/>
        </w:rPr>
        <w:t>（2）鉴别研究应考察方法的专属性和耐用性。阴性对照样品制备应按处方及制法制成不含待测药味的空白样品（包括辅料），样品处理应按质量标准规定的方法操作；若制剂中含有相同化学成分的药味时，阴性对照应分别制备缺味空白样品和共同缺味空白样品。</w:t>
      </w:r>
    </w:p>
    <w:p w14:paraId="1AE37270">
      <w:pPr>
        <w:ind w:firstLine="640" w:firstLineChars="200"/>
        <w:rPr>
          <w:rFonts w:ascii="仿宋_GB2312" w:eastAsia="仿宋_GB2312"/>
          <w:color w:val="auto"/>
          <w:sz w:val="32"/>
          <w:szCs w:val="32"/>
        </w:rPr>
      </w:pPr>
      <w:r>
        <w:rPr>
          <w:rFonts w:hint="eastAsia" w:ascii="仿宋_GB2312" w:eastAsia="仿宋_GB2312"/>
          <w:color w:val="auto"/>
          <w:sz w:val="32"/>
          <w:szCs w:val="32"/>
        </w:rPr>
        <w:t>（3）若制剂中含有多种直接入药的生药粉，在显微鉴别方法中应分别描述各药味的专属性特征，并在起草说明中提供清晰的显微特征照片（照片中需含有长度标尺）。</w:t>
      </w:r>
    </w:p>
    <w:p w14:paraId="688CBB07">
      <w:pPr>
        <w:ind w:firstLine="640" w:firstLineChars="200"/>
        <w:rPr>
          <w:rFonts w:ascii="仿宋_GB2312" w:eastAsia="仿宋_GB2312"/>
          <w:color w:val="auto"/>
          <w:sz w:val="32"/>
          <w:szCs w:val="32"/>
        </w:rPr>
      </w:pPr>
      <w:r>
        <w:rPr>
          <w:rFonts w:hint="eastAsia" w:ascii="仿宋_GB2312" w:eastAsia="仿宋_GB2312"/>
          <w:color w:val="auto"/>
          <w:sz w:val="32"/>
          <w:szCs w:val="32"/>
        </w:rPr>
        <w:t>（4）薄层色谱法尽可能同时使用对照品与对照药材为对照，对样品制备（提取、纯化方法等）和色谱条件（展开剂、点样量、温湿度、显色条件、薄层板型号等）进行考察，并随资料附代表性图谱。</w:t>
      </w:r>
    </w:p>
    <w:p w14:paraId="07FE339A">
      <w:pPr>
        <w:ind w:firstLine="643" w:firstLineChars="200"/>
        <w:rPr>
          <w:rFonts w:ascii="仿宋_GB2312" w:eastAsia="仿宋_GB2312"/>
          <w:b/>
          <w:color w:val="auto"/>
          <w:sz w:val="32"/>
          <w:szCs w:val="32"/>
        </w:rPr>
      </w:pPr>
      <w:r>
        <w:rPr>
          <w:rFonts w:hint="eastAsia" w:ascii="仿宋_GB2312" w:eastAsia="仿宋_GB2312"/>
          <w:b/>
          <w:color w:val="auto"/>
          <w:sz w:val="32"/>
          <w:szCs w:val="32"/>
        </w:rPr>
        <w:t>2. 浸出物</w:t>
      </w:r>
    </w:p>
    <w:p w14:paraId="0F48BDBF">
      <w:pPr>
        <w:ind w:firstLine="640" w:firstLineChars="200"/>
        <w:rPr>
          <w:rFonts w:ascii="仿宋_GB2312" w:eastAsia="仿宋_GB2312"/>
          <w:color w:val="auto"/>
          <w:sz w:val="32"/>
          <w:szCs w:val="32"/>
        </w:rPr>
      </w:pPr>
      <w:r>
        <w:rPr>
          <w:rFonts w:hint="eastAsia" w:ascii="仿宋_GB2312" w:eastAsia="仿宋_GB2312"/>
          <w:color w:val="auto"/>
          <w:sz w:val="32"/>
          <w:szCs w:val="32"/>
        </w:rPr>
        <w:t>选择溶剂时应注意避免辅料的干扰。浸出物测定研究应系统考察各种影响因素对浸出物检测的影响。</w:t>
      </w:r>
    </w:p>
    <w:p w14:paraId="58F6778E">
      <w:pPr>
        <w:ind w:firstLine="643" w:firstLineChars="200"/>
        <w:rPr>
          <w:rFonts w:ascii="仿宋_GB2312" w:eastAsia="仿宋_GB2312"/>
          <w:b/>
          <w:color w:val="auto"/>
          <w:sz w:val="32"/>
          <w:szCs w:val="32"/>
        </w:rPr>
      </w:pPr>
      <w:r>
        <w:rPr>
          <w:rFonts w:hint="eastAsia" w:ascii="仿宋_GB2312" w:eastAsia="仿宋_GB2312"/>
          <w:b/>
          <w:color w:val="auto"/>
          <w:sz w:val="32"/>
          <w:szCs w:val="32"/>
        </w:rPr>
        <w:t>3. 指纹/特征图谱</w:t>
      </w:r>
    </w:p>
    <w:p w14:paraId="1912F042">
      <w:pPr>
        <w:ind w:firstLine="640" w:firstLineChars="200"/>
        <w:rPr>
          <w:rFonts w:ascii="仿宋_GB2312" w:eastAsia="仿宋_GB2312"/>
          <w:color w:val="auto"/>
          <w:sz w:val="32"/>
          <w:szCs w:val="32"/>
        </w:rPr>
      </w:pPr>
      <w:r>
        <w:rPr>
          <w:rFonts w:hint="eastAsia" w:ascii="仿宋_GB2312" w:eastAsia="仿宋_GB2312"/>
          <w:color w:val="auto"/>
          <w:sz w:val="32"/>
          <w:szCs w:val="32"/>
        </w:rPr>
        <w:t>（1）获取技术主要有薄层色谱法、高效液相色谱法、气相色谱法及其他色谱技术。方法研究内容一般包括建立分析方法、色谱峰的指认、建立对照图谱、数据分析与评价等。</w:t>
      </w:r>
    </w:p>
    <w:p w14:paraId="2B0F331A">
      <w:pPr>
        <w:ind w:firstLine="640" w:firstLineChars="200"/>
        <w:rPr>
          <w:rFonts w:ascii="仿宋_GB2312" w:eastAsia="仿宋_GB2312"/>
          <w:color w:val="auto"/>
          <w:sz w:val="32"/>
          <w:szCs w:val="32"/>
        </w:rPr>
      </w:pPr>
      <w:r>
        <w:rPr>
          <w:rFonts w:hint="eastAsia" w:ascii="仿宋_GB2312" w:eastAsia="仿宋_GB2312"/>
          <w:color w:val="auto"/>
          <w:sz w:val="32"/>
          <w:szCs w:val="32"/>
        </w:rPr>
        <w:t>（2）应根据中药所含主要成分的性质研究建立合适的供试品制备方法。若中药所含多种理化性质差异较大的不同类型成份，可考虑分别制备供试品，并建立多个指纹图谱/特征图谱以分别反映不同类型成份的信息。</w:t>
      </w:r>
    </w:p>
    <w:p w14:paraId="10E0BDA4">
      <w:pPr>
        <w:ind w:firstLine="640" w:firstLineChars="200"/>
        <w:rPr>
          <w:rFonts w:ascii="仿宋_GB2312" w:eastAsia="仿宋_GB2312"/>
          <w:color w:val="auto"/>
          <w:sz w:val="32"/>
          <w:szCs w:val="32"/>
        </w:rPr>
      </w:pPr>
      <w:r>
        <w:rPr>
          <w:rFonts w:hint="eastAsia" w:ascii="仿宋_GB2312" w:eastAsia="仿宋_GB2312"/>
          <w:color w:val="auto"/>
          <w:sz w:val="32"/>
          <w:szCs w:val="32"/>
        </w:rPr>
        <w:t>（3）检测方法和参数等的选择，应以反映产品所含成分信息最大化为原则。一般选取容易获取的一个或多个主要活性成份或指标成份作为参照物；若无合适的参照物，也可选择图谱中稳定的色谱峰作为参照峰，并应尽可能对其进行指认。通过对代表性样品指纹/特征图谱的分析，选择各批样品中均出现的色谱峰作为共有峰。可选择其中含量高、专属性强的色谱峰作为特征峰。</w:t>
      </w:r>
    </w:p>
    <w:p w14:paraId="5B53B087">
      <w:pPr>
        <w:ind w:firstLine="640" w:firstLineChars="200"/>
        <w:rPr>
          <w:rFonts w:ascii="仿宋_GB2312" w:eastAsia="仿宋_GB2312"/>
          <w:color w:val="auto"/>
          <w:sz w:val="32"/>
          <w:szCs w:val="32"/>
        </w:rPr>
      </w:pPr>
      <w:r>
        <w:rPr>
          <w:rFonts w:hint="eastAsia" w:ascii="仿宋_GB2312" w:eastAsia="仿宋_GB2312"/>
          <w:color w:val="auto"/>
          <w:sz w:val="32"/>
          <w:szCs w:val="32"/>
        </w:rPr>
        <w:t>（4）指纹/特征图谱一般以相似度或特征峰相对保留时间、峰面积比值等为检测指标。可根据多批样品的检测结果，采用指纹图谱相似度评价系统计算机软件获取共有峰的模式，建立对照指纹图谱，采用上述软件对供试品指纹图谱与对照指纹图谱进行相似度分析比较，并关注非共有峰的特征。特征图谱需确定各特征峰的相对保留时间、峰面积比值及其范围。</w:t>
      </w:r>
    </w:p>
    <w:p w14:paraId="67D506F7">
      <w:pPr>
        <w:ind w:firstLine="640" w:firstLineChars="200"/>
        <w:rPr>
          <w:rFonts w:ascii="仿宋_GB2312" w:eastAsia="仿宋_GB2312"/>
          <w:color w:val="auto"/>
          <w:sz w:val="32"/>
          <w:szCs w:val="32"/>
        </w:rPr>
      </w:pPr>
      <w:r>
        <w:rPr>
          <w:rFonts w:hint="eastAsia" w:ascii="仿宋_GB2312" w:eastAsia="仿宋_GB2312"/>
          <w:color w:val="auto"/>
          <w:sz w:val="32"/>
          <w:szCs w:val="32"/>
        </w:rPr>
        <w:t>（5）主要成份在特征或指纹图谱中应尽可能得到指认。</w:t>
      </w:r>
    </w:p>
    <w:p w14:paraId="691BA1CE">
      <w:pPr>
        <w:ind w:firstLine="640" w:firstLineChars="200"/>
        <w:rPr>
          <w:rFonts w:ascii="仿宋_GB2312" w:eastAsia="仿宋_GB2312"/>
          <w:color w:val="auto"/>
          <w:sz w:val="32"/>
          <w:szCs w:val="32"/>
        </w:rPr>
      </w:pPr>
      <w:r>
        <w:rPr>
          <w:rFonts w:hint="eastAsia" w:ascii="仿宋_GB2312" w:eastAsia="仿宋_GB2312"/>
          <w:color w:val="auto"/>
          <w:sz w:val="32"/>
          <w:szCs w:val="32"/>
        </w:rPr>
        <w:t>（6）应在样品检测数据的基础上进行评价，制定指纹/特征图谱相似度或相对保留时间、峰面积比值及其范围。</w:t>
      </w:r>
    </w:p>
    <w:p w14:paraId="1EA4EEB0">
      <w:pPr>
        <w:ind w:firstLine="643" w:firstLineChars="200"/>
        <w:rPr>
          <w:rFonts w:ascii="仿宋_GB2312" w:eastAsia="仿宋_GB2312"/>
          <w:b/>
          <w:color w:val="auto"/>
          <w:sz w:val="32"/>
          <w:szCs w:val="32"/>
        </w:rPr>
      </w:pPr>
      <w:r>
        <w:rPr>
          <w:rFonts w:hint="eastAsia" w:ascii="仿宋_GB2312" w:eastAsia="仿宋_GB2312"/>
          <w:b/>
          <w:color w:val="auto"/>
          <w:sz w:val="32"/>
          <w:szCs w:val="32"/>
        </w:rPr>
        <w:t>4. 含量测定</w:t>
      </w:r>
    </w:p>
    <w:p w14:paraId="1069194A">
      <w:pPr>
        <w:ind w:firstLine="640" w:firstLineChars="200"/>
        <w:rPr>
          <w:rFonts w:ascii="仿宋_GB2312" w:eastAsia="仿宋_GB2312"/>
          <w:color w:val="auto"/>
          <w:sz w:val="32"/>
          <w:szCs w:val="32"/>
        </w:rPr>
      </w:pPr>
      <w:r>
        <w:rPr>
          <w:rFonts w:hint="eastAsia" w:ascii="仿宋_GB2312" w:eastAsia="仿宋_GB2312"/>
          <w:color w:val="auto"/>
          <w:sz w:val="32"/>
          <w:szCs w:val="32"/>
        </w:rPr>
        <w:t>（1）含量测定方法主要包括容量法、色谱法、光谱法等，一般首选色谱法。</w:t>
      </w:r>
    </w:p>
    <w:p w14:paraId="328DEA12">
      <w:pPr>
        <w:ind w:firstLine="640" w:firstLineChars="200"/>
        <w:rPr>
          <w:rFonts w:ascii="仿宋_GB2312" w:eastAsia="仿宋_GB2312"/>
          <w:color w:val="auto"/>
          <w:sz w:val="32"/>
          <w:szCs w:val="32"/>
        </w:rPr>
      </w:pPr>
      <w:r>
        <w:rPr>
          <w:rFonts w:hint="eastAsia" w:ascii="仿宋_GB2312" w:eastAsia="仿宋_GB2312"/>
          <w:color w:val="auto"/>
          <w:sz w:val="32"/>
          <w:szCs w:val="32"/>
        </w:rPr>
        <w:t>（2）在含量测定方法研究时，应对样品制备（提取、纯化方法等）和分析方法条件进行考察，应进行方法学验证，验证内容包括专属性、准确度、精密度、线性及范围、耐用性等。应随资料附代表性的图谱，并标明相关成分在图中的位置。</w:t>
      </w:r>
    </w:p>
    <w:p w14:paraId="1CC3A1E4">
      <w:pPr>
        <w:ind w:firstLine="643" w:firstLineChars="200"/>
        <w:rPr>
          <w:rFonts w:ascii="楷体_GB2312" w:eastAsia="楷体_GB2312"/>
          <w:b/>
          <w:color w:val="auto"/>
          <w:sz w:val="32"/>
          <w:szCs w:val="32"/>
        </w:rPr>
      </w:pPr>
      <w:r>
        <w:rPr>
          <w:rFonts w:hint="eastAsia" w:ascii="楷体_GB2312" w:eastAsia="楷体_GB2312"/>
          <w:b/>
          <w:color w:val="auto"/>
          <w:sz w:val="32"/>
          <w:szCs w:val="32"/>
        </w:rPr>
        <w:t>（四）质量标准正文</w:t>
      </w:r>
    </w:p>
    <w:p w14:paraId="777CD471">
      <w:pPr>
        <w:ind w:firstLine="643" w:firstLineChars="200"/>
        <w:rPr>
          <w:rFonts w:ascii="仿宋_GB2312" w:eastAsia="仿宋_GB2312"/>
          <w:b/>
          <w:color w:val="auto"/>
          <w:sz w:val="32"/>
          <w:szCs w:val="32"/>
        </w:rPr>
      </w:pPr>
      <w:r>
        <w:rPr>
          <w:rFonts w:hint="eastAsia" w:ascii="仿宋_GB2312" w:eastAsia="仿宋_GB2312"/>
          <w:b/>
          <w:color w:val="auto"/>
          <w:sz w:val="32"/>
          <w:szCs w:val="32"/>
        </w:rPr>
        <w:t>1. 编排顺序与一般要求</w:t>
      </w:r>
    </w:p>
    <w:p w14:paraId="741C1BC4">
      <w:pPr>
        <w:ind w:firstLine="640" w:firstLineChars="200"/>
        <w:rPr>
          <w:rFonts w:ascii="仿宋_GB2312" w:eastAsia="仿宋_GB2312"/>
          <w:color w:val="auto"/>
          <w:sz w:val="32"/>
          <w:szCs w:val="32"/>
        </w:rPr>
      </w:pPr>
      <w:r>
        <w:rPr>
          <w:rFonts w:hint="eastAsia" w:ascii="仿宋_GB2312" w:eastAsia="仿宋_GB2312"/>
          <w:color w:val="auto"/>
          <w:sz w:val="32"/>
          <w:szCs w:val="32"/>
        </w:rPr>
        <w:t>（1）质量标准正文的一般构成与编排顺序应与</w:t>
      </w:r>
      <w:r>
        <w:rPr>
          <w:rFonts w:hint="eastAsia" w:ascii="仿宋_GB2312" w:eastAsia="仿宋_GB2312"/>
          <w:color w:val="auto"/>
          <w:sz w:val="32"/>
          <w:szCs w:val="32"/>
        </w:rPr>
        <w:t>现行版</w:t>
      </w:r>
      <w:r>
        <w:rPr>
          <w:rFonts w:hint="eastAsia" w:ascii="仿宋_GB2312" w:eastAsia="仿宋_GB2312"/>
          <w:color w:val="auto"/>
          <w:sz w:val="32"/>
          <w:szCs w:val="32"/>
        </w:rPr>
        <w:t>《中国药典》一部基本一致。具体编排顺序如下：品名（包括中文名和汉语拼音）、处方、制法、性状、鉴别、检查、浸出物、指纹/特征图谱、含量测定、功能与主治、用法与用量、注意、规格、贮藏等。除品名外，其他项目的名称加括黑鱼尾号“【】”并加粗字体。</w:t>
      </w:r>
    </w:p>
    <w:p w14:paraId="6B978DC9">
      <w:pPr>
        <w:ind w:firstLine="640" w:firstLineChars="200"/>
        <w:rPr>
          <w:rFonts w:ascii="仿宋_GB2312" w:eastAsia="仿宋_GB2312"/>
          <w:color w:val="auto"/>
          <w:sz w:val="32"/>
          <w:szCs w:val="32"/>
        </w:rPr>
      </w:pPr>
      <w:r>
        <w:rPr>
          <w:rFonts w:hint="eastAsia" w:ascii="仿宋_GB2312" w:eastAsia="仿宋_GB2312"/>
          <w:color w:val="auto"/>
          <w:sz w:val="32"/>
          <w:szCs w:val="32"/>
        </w:rPr>
        <w:t>（2）质量标准中的格式、术语、数值、计量单位、符号、公式应符合</w:t>
      </w:r>
      <w:r>
        <w:rPr>
          <w:rFonts w:hint="eastAsia" w:ascii="仿宋_GB2312" w:eastAsia="仿宋_GB2312"/>
          <w:color w:val="auto"/>
          <w:sz w:val="32"/>
          <w:szCs w:val="32"/>
        </w:rPr>
        <w:t>现行版</w:t>
      </w:r>
      <w:r>
        <w:rPr>
          <w:rFonts w:hint="eastAsia" w:ascii="仿宋_GB2312" w:eastAsia="仿宋_GB2312"/>
          <w:color w:val="auto"/>
          <w:sz w:val="32"/>
          <w:szCs w:val="32"/>
        </w:rPr>
        <w:t>《中国药典》四部凡例的规定，并参照《国家药品标准工作手册》（国家药典委员会编）。</w:t>
      </w:r>
    </w:p>
    <w:p w14:paraId="49E56AA1">
      <w:pPr>
        <w:ind w:firstLine="640" w:firstLineChars="200"/>
        <w:rPr>
          <w:rFonts w:ascii="仿宋_GB2312" w:eastAsia="仿宋_GB2312"/>
          <w:color w:val="auto"/>
          <w:sz w:val="32"/>
          <w:szCs w:val="32"/>
        </w:rPr>
      </w:pPr>
      <w:r>
        <w:rPr>
          <w:rFonts w:hint="eastAsia" w:ascii="仿宋_GB2312" w:eastAsia="仿宋_GB2312"/>
          <w:color w:val="auto"/>
          <w:sz w:val="32"/>
          <w:szCs w:val="32"/>
        </w:rPr>
        <w:t>（3）质量标准中每一项质量指标应有相应的检测方法，方法必须具有可行性与重现性，并有明确的结果判定。除具体品种项下的特殊要求外，标准项目中所有涉及检验的方法与技术按现行版《中国药典》四部的要求。</w:t>
      </w:r>
    </w:p>
    <w:p w14:paraId="6E525CE5">
      <w:pPr>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hint="eastAsia" w:ascii="仿宋_GB2312" w:eastAsia="仿宋_GB2312"/>
          <w:color w:val="auto"/>
          <w:sz w:val="32"/>
          <w:szCs w:val="32"/>
        </w:rPr>
        <w:t>检测方法中所用试剂、溶剂应易于得到，尽可能避免使用一类溶剂，控制使用二类溶剂。操作中需特别处理或注意的地方应注明，对可能出现的危险应予提示。</w:t>
      </w:r>
    </w:p>
    <w:p w14:paraId="65BA8BA0">
      <w:pPr>
        <w:ind w:firstLine="643" w:firstLineChars="200"/>
        <w:rPr>
          <w:rFonts w:ascii="仿宋_GB2312" w:eastAsia="仿宋_GB2312"/>
          <w:b/>
          <w:color w:val="auto"/>
          <w:sz w:val="32"/>
          <w:szCs w:val="32"/>
        </w:rPr>
      </w:pPr>
      <w:r>
        <w:rPr>
          <w:rFonts w:hint="eastAsia" w:ascii="仿宋_GB2312" w:eastAsia="仿宋_GB2312"/>
          <w:b/>
          <w:color w:val="auto"/>
          <w:sz w:val="32"/>
          <w:szCs w:val="32"/>
        </w:rPr>
        <w:t>2. 正文的具体要求</w:t>
      </w:r>
    </w:p>
    <w:p w14:paraId="4C4CD775">
      <w:pPr>
        <w:ind w:firstLine="643" w:firstLineChars="200"/>
        <w:rPr>
          <w:rFonts w:ascii="仿宋_GB2312" w:eastAsia="仿宋_GB2312"/>
          <w:b/>
          <w:color w:val="auto"/>
          <w:sz w:val="32"/>
          <w:szCs w:val="32"/>
        </w:rPr>
      </w:pPr>
      <w:r>
        <w:rPr>
          <w:rFonts w:hint="eastAsia" w:ascii="仿宋_GB2312" w:eastAsia="仿宋_GB2312"/>
          <w:b/>
          <w:color w:val="auto"/>
          <w:sz w:val="32"/>
          <w:szCs w:val="32"/>
        </w:rPr>
        <w:t>（1）品名</w:t>
      </w:r>
    </w:p>
    <w:p w14:paraId="63579EC4">
      <w:pPr>
        <w:ind w:firstLine="640" w:firstLineChars="200"/>
        <w:rPr>
          <w:rFonts w:ascii="仿宋_GB2312" w:eastAsia="仿宋_GB2312"/>
          <w:color w:val="auto"/>
          <w:sz w:val="32"/>
          <w:szCs w:val="32"/>
        </w:rPr>
      </w:pPr>
      <w:r>
        <w:rPr>
          <w:rFonts w:hint="eastAsia" w:ascii="仿宋_GB2312" w:eastAsia="仿宋_GB2312"/>
          <w:color w:val="auto"/>
          <w:sz w:val="32"/>
          <w:szCs w:val="32"/>
        </w:rPr>
        <w:t>应遵循《天津市医疗机构中药制剂通用名称命名技术指导原则》（津药监药注〔2024〕12号），应明确、简短、规范，不得使用代号和外文。汉语拼音按现版新华字典进行相应标注。</w:t>
      </w:r>
    </w:p>
    <w:p w14:paraId="0B8437F3">
      <w:pPr>
        <w:ind w:firstLine="643" w:firstLineChars="200"/>
        <w:rPr>
          <w:rFonts w:ascii="仿宋_GB2312" w:eastAsia="仿宋_GB2312"/>
          <w:b/>
          <w:color w:val="auto"/>
          <w:sz w:val="32"/>
          <w:szCs w:val="32"/>
        </w:rPr>
      </w:pPr>
      <w:r>
        <w:rPr>
          <w:rFonts w:hint="eastAsia" w:ascii="仿宋_GB2312" w:eastAsia="仿宋_GB2312"/>
          <w:b/>
          <w:color w:val="auto"/>
          <w:sz w:val="32"/>
          <w:szCs w:val="32"/>
        </w:rPr>
        <w:t>（2）处方</w:t>
      </w:r>
    </w:p>
    <w:p w14:paraId="087B71BA">
      <w:pPr>
        <w:ind w:firstLine="640" w:firstLineChars="200"/>
        <w:rPr>
          <w:rFonts w:ascii="仿宋_GB2312" w:eastAsia="仿宋_GB2312"/>
          <w:color w:val="auto"/>
          <w:sz w:val="32"/>
          <w:szCs w:val="32"/>
        </w:rPr>
      </w:pPr>
      <w:r>
        <w:rPr>
          <w:rFonts w:hint="eastAsia" w:ascii="仿宋_GB2312" w:eastAsia="仿宋_GB2312"/>
          <w:color w:val="auto"/>
          <w:sz w:val="32"/>
          <w:szCs w:val="32"/>
        </w:rPr>
        <w:t>①处方包括组方饮片和提取物等药味的名称与用量，复方制剂的处方药味一般应按君、臣、佐、使的顺序排列。固体药味的用量单位为克（g），液体药味的用量单位为克（g）或毫升（ml）。处方中各药味量一般以1000个制剂单位（片、粒、g、ml等）的制成量折算；除特殊情况外，各药味量的数值一般采用整数位。</w:t>
      </w:r>
    </w:p>
    <w:p w14:paraId="19B583B6">
      <w:pPr>
        <w:pStyle w:val="2"/>
        <w:rPr>
          <w:color w:val="auto"/>
        </w:rPr>
      </w:pPr>
      <w:r>
        <w:rPr>
          <w:rFonts w:hint="eastAsia"/>
          <w:color w:val="auto"/>
        </w:rPr>
        <w:t>②处方药味应使用法定标准中的名称，</w:t>
      </w:r>
      <w:r>
        <w:rPr>
          <w:rFonts w:hint="eastAsia"/>
          <w:color w:val="auto"/>
        </w:rPr>
        <w:t>若采用炮制品应以</w:t>
      </w:r>
      <w:r>
        <w:rPr>
          <w:rFonts w:hint="eastAsia" w:hAnsi="宋体"/>
          <w:color w:val="auto"/>
        </w:rPr>
        <w:t>炮制品名称表述</w:t>
      </w:r>
      <w:r>
        <w:rPr>
          <w:rFonts w:hint="eastAsia"/>
          <w:color w:val="auto"/>
        </w:rPr>
        <w:t>，</w:t>
      </w:r>
      <w:r>
        <w:rPr>
          <w:rFonts w:hint="eastAsia"/>
          <w:color w:val="auto"/>
        </w:rPr>
        <w:t>避免使用别名和异名，</w:t>
      </w:r>
      <w:r>
        <w:rPr>
          <w:rFonts w:hint="eastAsia"/>
          <w:color w:val="auto"/>
        </w:rPr>
        <w:t>某些毒性较大或必须注明生用者，在名称前，加注“生”字，以免误用。</w:t>
      </w:r>
      <w:r>
        <w:rPr>
          <w:rFonts w:hint="eastAsia"/>
          <w:color w:val="auto"/>
        </w:rPr>
        <w:t>详细要求参照</w:t>
      </w:r>
      <w:r>
        <w:rPr>
          <w:rFonts w:hint="eastAsia"/>
          <w:color w:val="auto"/>
        </w:rPr>
        <w:t>现行版</w:t>
      </w:r>
      <w:r>
        <w:rPr>
          <w:rFonts w:hint="eastAsia"/>
          <w:color w:val="auto"/>
        </w:rPr>
        <w:t>《中国药典》的凡例。</w:t>
      </w:r>
    </w:p>
    <w:p w14:paraId="1B29CEE4">
      <w:pPr>
        <w:ind w:firstLine="640" w:firstLineChars="200"/>
        <w:rPr>
          <w:rFonts w:ascii="仿宋_GB2312" w:eastAsia="仿宋_GB2312"/>
          <w:color w:val="auto"/>
          <w:sz w:val="32"/>
          <w:szCs w:val="32"/>
        </w:rPr>
      </w:pPr>
      <w:r>
        <w:rPr>
          <w:rFonts w:hint="eastAsia" w:ascii="仿宋_GB2312" w:eastAsia="仿宋_GB2312"/>
          <w:color w:val="auto"/>
          <w:sz w:val="32"/>
          <w:szCs w:val="32"/>
        </w:rPr>
        <w:t>③对于多基原的药材如仅用一个或部分基原的应在处方中予以明确。</w:t>
      </w:r>
    </w:p>
    <w:p w14:paraId="67536AA1">
      <w:pPr>
        <w:ind w:firstLine="640" w:firstLineChars="200"/>
        <w:rPr>
          <w:rFonts w:ascii="仿宋_GB2312" w:eastAsia="仿宋_GB2312"/>
          <w:color w:val="auto"/>
          <w:sz w:val="32"/>
          <w:szCs w:val="32"/>
        </w:rPr>
      </w:pPr>
      <w:r>
        <w:rPr>
          <w:rFonts w:hint="eastAsia" w:ascii="仿宋_GB2312" w:eastAsia="仿宋_GB2312"/>
          <w:color w:val="auto"/>
          <w:sz w:val="32"/>
          <w:szCs w:val="32"/>
        </w:rPr>
        <w:t>④若处方药味为无法定标准的提取物，应在制剂标准后附该提取物的质量标准，并列出制备工艺及关键工艺参数。</w:t>
      </w:r>
    </w:p>
    <w:p w14:paraId="775D7682">
      <w:pPr>
        <w:ind w:firstLine="640" w:firstLineChars="200"/>
        <w:rPr>
          <w:rFonts w:ascii="仿宋_GB2312" w:eastAsia="仿宋_GB2312"/>
          <w:color w:val="auto"/>
          <w:sz w:val="32"/>
          <w:szCs w:val="32"/>
        </w:rPr>
      </w:pPr>
      <w:r>
        <w:rPr>
          <w:rFonts w:hint="eastAsia" w:ascii="仿宋_GB2312" w:eastAsia="仿宋_GB2312"/>
          <w:color w:val="auto"/>
          <w:sz w:val="32"/>
          <w:szCs w:val="32"/>
        </w:rPr>
        <w:t>⑤药品标准标注“大毒（或剧毒）”“有毒”的药材原则上不能超过法定标准的规定用量。</w:t>
      </w:r>
    </w:p>
    <w:p w14:paraId="48715F78">
      <w:pPr>
        <w:ind w:firstLine="640" w:firstLineChars="200"/>
        <w:rPr>
          <w:rFonts w:ascii="仿宋_GB2312" w:eastAsia="仿宋_GB2312"/>
          <w:color w:val="auto"/>
          <w:sz w:val="32"/>
          <w:szCs w:val="32"/>
        </w:rPr>
      </w:pPr>
      <w:r>
        <w:rPr>
          <w:rFonts w:hint="eastAsia" w:ascii="仿宋_GB2312" w:eastAsia="仿宋_GB2312"/>
          <w:color w:val="auto"/>
          <w:sz w:val="32"/>
          <w:szCs w:val="32"/>
        </w:rPr>
        <w:t>⑥饮片的特殊炮制方法应在处方中注明，如药典没有收载的炮制方法应在制剂标准后附具体炮制方法。</w:t>
      </w:r>
    </w:p>
    <w:p w14:paraId="36AAAEDA">
      <w:pPr>
        <w:ind w:firstLine="643" w:firstLineChars="200"/>
        <w:rPr>
          <w:rFonts w:ascii="仿宋_GB2312" w:eastAsia="仿宋_GB2312"/>
          <w:b/>
          <w:color w:val="auto"/>
          <w:sz w:val="32"/>
          <w:szCs w:val="32"/>
        </w:rPr>
      </w:pPr>
      <w:r>
        <w:rPr>
          <w:rFonts w:hint="eastAsia" w:ascii="仿宋_GB2312" w:eastAsia="仿宋_GB2312"/>
          <w:b/>
          <w:color w:val="auto"/>
          <w:sz w:val="32"/>
          <w:szCs w:val="32"/>
        </w:rPr>
        <w:t>（3）制法</w:t>
      </w:r>
    </w:p>
    <w:p w14:paraId="5FFCE7C0">
      <w:pPr>
        <w:ind w:firstLine="640" w:firstLineChars="200"/>
        <w:rPr>
          <w:rFonts w:ascii="仿宋_GB2312" w:eastAsia="仿宋_GB2312"/>
          <w:color w:val="auto"/>
          <w:sz w:val="32"/>
          <w:szCs w:val="32"/>
        </w:rPr>
      </w:pPr>
      <w:r>
        <w:rPr>
          <w:rFonts w:hint="eastAsia" w:ascii="仿宋_GB2312" w:eastAsia="仿宋_GB2312"/>
          <w:color w:val="auto"/>
          <w:sz w:val="32"/>
          <w:szCs w:val="32"/>
        </w:rPr>
        <w:t>制法为实际</w:t>
      </w:r>
      <w:r>
        <w:rPr>
          <w:rFonts w:hint="eastAsia" w:ascii="仿宋_GB2312" w:eastAsia="仿宋_GB2312"/>
          <w:color w:val="auto"/>
          <w:sz w:val="32"/>
          <w:szCs w:val="32"/>
        </w:rPr>
        <w:t>配制</w:t>
      </w:r>
      <w:r>
        <w:rPr>
          <w:rFonts w:hint="eastAsia" w:ascii="仿宋_GB2312" w:eastAsia="仿宋_GB2312"/>
          <w:color w:val="auto"/>
          <w:sz w:val="32"/>
          <w:szCs w:val="32"/>
        </w:rPr>
        <w:t>工艺的简要描述，一般包含前处理、提取、纯化、浓缩、干燥和成型等工艺过程，应明确投料量、制备过程、关键工艺参数、辅料种类及用量范围、制成量等。</w:t>
      </w:r>
      <w:r>
        <w:rPr>
          <w:rFonts w:hint="eastAsia" w:ascii="仿宋_GB2312" w:eastAsia="仿宋_GB2312"/>
          <w:color w:val="auto"/>
          <w:sz w:val="32"/>
          <w:szCs w:val="32"/>
        </w:rPr>
        <w:t>制法描述的格式和用语可参照现行版《中国药典》和现行版《天津市医疗机构制剂规范》的格式和用语进行规范，要求用词准确、语言简练、逻辑严谨，避免使用易产生误解或歧义的语句。</w:t>
      </w:r>
    </w:p>
    <w:p w14:paraId="1E937128">
      <w:pPr>
        <w:ind w:firstLine="643" w:firstLineChars="200"/>
        <w:rPr>
          <w:rFonts w:ascii="仿宋_GB2312" w:eastAsia="仿宋_GB2312"/>
          <w:b/>
          <w:color w:val="auto"/>
          <w:sz w:val="32"/>
          <w:szCs w:val="32"/>
        </w:rPr>
      </w:pPr>
      <w:r>
        <w:rPr>
          <w:rFonts w:hint="eastAsia" w:ascii="仿宋_GB2312" w:eastAsia="仿宋_GB2312"/>
          <w:b/>
          <w:color w:val="auto"/>
          <w:sz w:val="32"/>
          <w:szCs w:val="32"/>
        </w:rPr>
        <w:t>（4）性状</w:t>
      </w:r>
    </w:p>
    <w:p w14:paraId="714214D9">
      <w:pPr>
        <w:ind w:firstLine="640" w:firstLineChars="200"/>
        <w:rPr>
          <w:rFonts w:ascii="仿宋_GB2312" w:eastAsia="仿宋_GB2312"/>
          <w:color w:val="auto"/>
          <w:sz w:val="32"/>
          <w:szCs w:val="32"/>
        </w:rPr>
      </w:pPr>
      <w:r>
        <w:rPr>
          <w:rFonts w:hint="eastAsia" w:ascii="仿宋_GB2312" w:eastAsia="仿宋_GB2312"/>
          <w:color w:val="auto"/>
          <w:sz w:val="32"/>
          <w:szCs w:val="32"/>
        </w:rPr>
        <w:t>指制剂除去包装的直观情况，按颜色、外形、气味、味觉依次描述。</w:t>
      </w:r>
    </w:p>
    <w:p w14:paraId="0FBD5311">
      <w:pPr>
        <w:ind w:firstLine="643" w:firstLineChars="200"/>
        <w:rPr>
          <w:rFonts w:ascii="仿宋_GB2312" w:eastAsia="仿宋_GB2312"/>
          <w:b/>
          <w:color w:val="auto"/>
          <w:sz w:val="32"/>
          <w:szCs w:val="32"/>
        </w:rPr>
      </w:pPr>
      <w:r>
        <w:rPr>
          <w:rFonts w:hint="eastAsia" w:ascii="仿宋_GB2312" w:eastAsia="仿宋_GB2312"/>
          <w:b/>
          <w:color w:val="auto"/>
          <w:sz w:val="32"/>
          <w:szCs w:val="32"/>
        </w:rPr>
        <w:t>（5）鉴别</w:t>
      </w:r>
    </w:p>
    <w:p w14:paraId="01001AC2">
      <w:pPr>
        <w:ind w:firstLine="640" w:firstLineChars="200"/>
        <w:rPr>
          <w:rFonts w:ascii="仿宋_GB2312" w:eastAsia="仿宋_GB2312"/>
          <w:color w:val="auto"/>
          <w:sz w:val="32"/>
          <w:szCs w:val="32"/>
        </w:rPr>
      </w:pPr>
      <w:r>
        <w:rPr>
          <w:rFonts w:hint="eastAsia" w:ascii="仿宋_GB2312" w:eastAsia="仿宋_GB2312"/>
          <w:color w:val="auto"/>
          <w:sz w:val="32"/>
          <w:szCs w:val="32"/>
        </w:rPr>
        <w:t>①列出所建立的鉴别项，检测方法描述应准确。建有多个鉴别项的应按照鉴别成分在处方中的顺序排列。</w:t>
      </w:r>
    </w:p>
    <w:p w14:paraId="35A10D89">
      <w:pPr>
        <w:ind w:firstLine="640" w:firstLineChars="200"/>
        <w:rPr>
          <w:rFonts w:ascii="仿宋_GB2312" w:eastAsia="仿宋_GB2312"/>
          <w:color w:val="auto"/>
          <w:sz w:val="32"/>
          <w:szCs w:val="32"/>
        </w:rPr>
      </w:pPr>
      <w:r>
        <w:rPr>
          <w:rFonts w:hint="eastAsia" w:ascii="仿宋_GB2312" w:eastAsia="仿宋_GB2312"/>
          <w:color w:val="auto"/>
          <w:sz w:val="32"/>
          <w:szCs w:val="32"/>
        </w:rPr>
        <w:t>②各药味显微特征后应注明所鉴别药味的归属。同一药味不同特征之间应用分号隔开，不同药味的显微特征用句号隔开。</w:t>
      </w:r>
    </w:p>
    <w:p w14:paraId="440D7B81">
      <w:pPr>
        <w:ind w:firstLine="643" w:firstLineChars="200"/>
        <w:rPr>
          <w:rFonts w:ascii="仿宋_GB2312" w:eastAsia="仿宋_GB2312"/>
          <w:b/>
          <w:color w:val="auto"/>
          <w:sz w:val="32"/>
          <w:szCs w:val="32"/>
        </w:rPr>
      </w:pPr>
      <w:r>
        <w:rPr>
          <w:rFonts w:hint="eastAsia" w:ascii="仿宋_GB2312" w:eastAsia="仿宋_GB2312"/>
          <w:b/>
          <w:color w:val="auto"/>
          <w:sz w:val="32"/>
          <w:szCs w:val="32"/>
        </w:rPr>
        <w:t>（6）检查</w:t>
      </w:r>
    </w:p>
    <w:p w14:paraId="095A49FC">
      <w:pPr>
        <w:ind w:firstLine="640" w:firstLineChars="200"/>
        <w:rPr>
          <w:rFonts w:ascii="仿宋_GB2312" w:eastAsia="仿宋_GB2312"/>
          <w:color w:val="auto"/>
          <w:sz w:val="32"/>
          <w:szCs w:val="32"/>
        </w:rPr>
      </w:pPr>
      <w:r>
        <w:rPr>
          <w:rFonts w:hint="eastAsia" w:ascii="仿宋_GB2312" w:eastAsia="仿宋_GB2312"/>
          <w:color w:val="auto"/>
          <w:sz w:val="32"/>
          <w:szCs w:val="32"/>
        </w:rPr>
        <w:t>根据</w:t>
      </w:r>
      <w:r>
        <w:rPr>
          <w:rFonts w:hint="eastAsia" w:ascii="仿宋_GB2312" w:eastAsia="仿宋_GB2312"/>
          <w:color w:val="auto"/>
          <w:sz w:val="32"/>
          <w:szCs w:val="32"/>
        </w:rPr>
        <w:t>现行版</w:t>
      </w:r>
      <w:r>
        <w:rPr>
          <w:rFonts w:hint="eastAsia" w:ascii="仿宋_GB2312" w:eastAsia="仿宋_GB2312"/>
          <w:color w:val="auto"/>
          <w:sz w:val="32"/>
          <w:szCs w:val="32"/>
        </w:rPr>
        <w:t>《中国药典》四部相关的制剂通则，列出必要的检查项目以及相应的限度范围。无菌或微生物限度检查方法及限度应列入正文。</w:t>
      </w:r>
    </w:p>
    <w:p w14:paraId="1125570E">
      <w:pPr>
        <w:ind w:firstLine="643" w:firstLineChars="200"/>
        <w:rPr>
          <w:rFonts w:ascii="仿宋_GB2312" w:eastAsia="仿宋_GB2312"/>
          <w:b/>
          <w:color w:val="auto"/>
          <w:sz w:val="32"/>
          <w:szCs w:val="32"/>
        </w:rPr>
      </w:pPr>
      <w:r>
        <w:rPr>
          <w:rFonts w:hint="eastAsia" w:ascii="仿宋_GB2312" w:eastAsia="仿宋_GB2312"/>
          <w:b/>
          <w:color w:val="auto"/>
          <w:sz w:val="32"/>
          <w:szCs w:val="32"/>
        </w:rPr>
        <w:t>（7）浸出物</w:t>
      </w:r>
    </w:p>
    <w:p w14:paraId="64A0CB38">
      <w:pPr>
        <w:ind w:firstLine="640" w:firstLineChars="200"/>
        <w:rPr>
          <w:rFonts w:ascii="仿宋_GB2312" w:eastAsia="仿宋_GB2312"/>
          <w:color w:val="auto"/>
          <w:sz w:val="32"/>
          <w:szCs w:val="32"/>
        </w:rPr>
      </w:pPr>
      <w:r>
        <w:rPr>
          <w:rFonts w:hint="eastAsia" w:ascii="仿宋_GB2312" w:eastAsia="仿宋_GB2312"/>
          <w:color w:val="auto"/>
          <w:sz w:val="32"/>
          <w:szCs w:val="32"/>
        </w:rPr>
        <w:t>浸出物的检测方法中应注明溶剂的种类及用量、测定方法及温度参数等，并规定合理的浸出物限度范围。一般采用最小制剂单位的含量作限值规定，如“每片（或每粒、每袋、每丸等）含浸出物不少于××mg”。</w:t>
      </w:r>
    </w:p>
    <w:p w14:paraId="54C9E1E8">
      <w:pPr>
        <w:ind w:firstLine="643" w:firstLineChars="200"/>
        <w:rPr>
          <w:rFonts w:ascii="仿宋_GB2312" w:eastAsia="仿宋_GB2312"/>
          <w:b/>
          <w:color w:val="auto"/>
          <w:sz w:val="32"/>
          <w:szCs w:val="32"/>
        </w:rPr>
      </w:pPr>
      <w:r>
        <w:rPr>
          <w:rFonts w:hint="eastAsia" w:ascii="仿宋_GB2312" w:eastAsia="仿宋_GB2312"/>
          <w:b/>
          <w:color w:val="auto"/>
          <w:sz w:val="32"/>
          <w:szCs w:val="32"/>
        </w:rPr>
        <w:t>（8）指纹/特征图谱</w:t>
      </w:r>
    </w:p>
    <w:p w14:paraId="34687B95">
      <w:pPr>
        <w:pStyle w:val="2"/>
        <w:rPr>
          <w:color w:val="auto"/>
        </w:rPr>
      </w:pPr>
      <w:r>
        <w:rPr>
          <w:rFonts w:hint="eastAsia"/>
          <w:color w:val="auto"/>
        </w:rPr>
        <w:t>内容一般包括建立分析方法、色谱峰的指认、建立对照图谱、数据分析与评价等过程。（中心）</w:t>
      </w:r>
    </w:p>
    <w:p w14:paraId="6F5874D0">
      <w:pPr>
        <w:ind w:firstLine="643" w:firstLineChars="200"/>
        <w:rPr>
          <w:rFonts w:ascii="仿宋_GB2312" w:eastAsia="仿宋_GB2312"/>
          <w:b/>
          <w:color w:val="auto"/>
          <w:sz w:val="32"/>
          <w:szCs w:val="32"/>
        </w:rPr>
      </w:pPr>
      <w:r>
        <w:rPr>
          <w:rFonts w:hint="eastAsia" w:ascii="仿宋_GB2312" w:eastAsia="仿宋_GB2312"/>
          <w:b/>
          <w:color w:val="auto"/>
          <w:sz w:val="32"/>
          <w:szCs w:val="32"/>
        </w:rPr>
        <w:t>（9）含量测定</w:t>
      </w:r>
    </w:p>
    <w:p w14:paraId="4DEBA765">
      <w:pPr>
        <w:ind w:firstLine="640" w:firstLineChars="200"/>
        <w:rPr>
          <w:rFonts w:ascii="仿宋_GB2312" w:eastAsia="仿宋_GB2312"/>
          <w:color w:val="auto"/>
          <w:sz w:val="32"/>
          <w:szCs w:val="32"/>
        </w:rPr>
      </w:pPr>
      <w:r>
        <w:rPr>
          <w:rFonts w:hint="eastAsia" w:ascii="仿宋_GB2312" w:eastAsia="仿宋_GB2312"/>
          <w:color w:val="auto"/>
          <w:sz w:val="32"/>
          <w:szCs w:val="32"/>
        </w:rPr>
        <w:t>列出含量测定方法及含量限度。</w:t>
      </w:r>
      <w:r>
        <w:rPr>
          <w:rFonts w:hint="eastAsia" w:ascii="仿宋_GB2312" w:eastAsia="仿宋_GB2312"/>
          <w:color w:val="auto"/>
          <w:sz w:val="32"/>
          <w:szCs w:val="32"/>
        </w:rPr>
        <w:t>应根据多批次实测数据制定，含量限度一般规定低限，或按照其标示量制定含量测定用的百分限（幅）度。</w:t>
      </w:r>
      <w:r>
        <w:rPr>
          <w:rFonts w:hint="eastAsia" w:ascii="仿宋_GB2312" w:eastAsia="仿宋_GB2312"/>
          <w:color w:val="auto"/>
          <w:sz w:val="32"/>
          <w:szCs w:val="32"/>
        </w:rPr>
        <w:t>毒性成分的含量一般应规定低限和高限。</w:t>
      </w:r>
    </w:p>
    <w:p w14:paraId="5CB40941">
      <w:pPr>
        <w:ind w:firstLine="643" w:firstLineChars="200"/>
        <w:rPr>
          <w:rFonts w:ascii="仿宋_GB2312" w:eastAsia="仿宋_GB2312"/>
          <w:b/>
          <w:color w:val="auto"/>
          <w:sz w:val="32"/>
          <w:szCs w:val="32"/>
        </w:rPr>
      </w:pPr>
      <w:r>
        <w:rPr>
          <w:rFonts w:hint="eastAsia" w:ascii="仿宋_GB2312" w:eastAsia="仿宋_GB2312"/>
          <w:b/>
          <w:color w:val="auto"/>
          <w:sz w:val="32"/>
          <w:szCs w:val="32"/>
        </w:rPr>
        <w:t>（10）功能与主治</w:t>
      </w:r>
    </w:p>
    <w:p w14:paraId="6E8DAD43">
      <w:pPr>
        <w:ind w:firstLine="640" w:firstLineChars="200"/>
        <w:rPr>
          <w:rFonts w:ascii="仿宋_GB2312" w:eastAsia="仿宋_GB2312"/>
          <w:color w:val="auto"/>
          <w:sz w:val="32"/>
          <w:szCs w:val="32"/>
        </w:rPr>
      </w:pPr>
      <w:r>
        <w:rPr>
          <w:rFonts w:hint="eastAsia" w:ascii="仿宋_GB2312" w:eastAsia="仿宋_GB2312"/>
          <w:color w:val="auto"/>
          <w:sz w:val="32"/>
          <w:szCs w:val="32"/>
        </w:rPr>
        <w:t>应依据临床试验的结果而制订，并有符合要求的相关临床资料或文献资料作为技术支持。功能主治的描述应使用规范的医学术语，不得使用生僻或有歧义的术语。中药制剂功能主治的表述原则上应符合中医的传统表述习惯，主治中一般应有相应的中医证候或中医病机的表述或限定。</w:t>
      </w:r>
    </w:p>
    <w:p w14:paraId="64EDD0F3">
      <w:pPr>
        <w:ind w:firstLine="643" w:firstLineChars="200"/>
        <w:rPr>
          <w:rFonts w:ascii="仿宋_GB2312" w:eastAsia="仿宋_GB2312"/>
          <w:b/>
          <w:color w:val="auto"/>
          <w:sz w:val="32"/>
          <w:szCs w:val="32"/>
        </w:rPr>
      </w:pPr>
      <w:r>
        <w:rPr>
          <w:rFonts w:hint="eastAsia" w:ascii="仿宋_GB2312" w:eastAsia="仿宋_GB2312"/>
          <w:b/>
          <w:color w:val="auto"/>
          <w:sz w:val="32"/>
          <w:szCs w:val="32"/>
        </w:rPr>
        <w:t>（11）用法与用量</w:t>
      </w:r>
    </w:p>
    <w:p w14:paraId="04072735">
      <w:pPr>
        <w:pStyle w:val="2"/>
        <w:rPr>
          <w:color w:val="auto"/>
        </w:rPr>
      </w:pPr>
      <w:r>
        <w:rPr>
          <w:rFonts w:hint="eastAsia"/>
          <w:color w:val="auto"/>
        </w:rPr>
        <w:t>用法用量应依据临床应用的结果说明临床推荐使用的用法和用量，先写用法，后写用量。如“口服。一次2片，一日3次”表示。必要时注明一个疗程的时间。如同一制剂不同的功能主治、不同的年龄阶段</w:t>
      </w:r>
      <w:r>
        <w:rPr>
          <w:rFonts w:hint="eastAsia"/>
          <w:color w:val="auto"/>
        </w:rPr>
        <w:t>或特殊人群</w:t>
      </w:r>
      <w:r>
        <w:rPr>
          <w:rFonts w:hint="eastAsia"/>
          <w:color w:val="auto"/>
        </w:rPr>
        <w:t>其用法用量可能不完全一致，应详细列出。毒剧药</w:t>
      </w:r>
      <w:r>
        <w:rPr>
          <w:rFonts w:hint="eastAsia"/>
          <w:color w:val="auto"/>
        </w:rPr>
        <w:t>或其他特殊成分</w:t>
      </w:r>
      <w:r>
        <w:rPr>
          <w:rFonts w:hint="eastAsia"/>
          <w:color w:val="auto"/>
        </w:rPr>
        <w:t>要注明极量。</w:t>
      </w:r>
    </w:p>
    <w:p w14:paraId="79AE1225">
      <w:pPr>
        <w:ind w:firstLine="640" w:firstLineChars="200"/>
        <w:rPr>
          <w:rFonts w:ascii="仿宋_GB2312" w:eastAsia="仿宋_GB2312"/>
          <w:color w:val="auto"/>
          <w:sz w:val="32"/>
          <w:szCs w:val="32"/>
        </w:rPr>
      </w:pPr>
      <w:r>
        <w:rPr>
          <w:rFonts w:hint="eastAsia" w:ascii="仿宋_GB2312" w:eastAsia="仿宋_GB2312"/>
          <w:color w:val="auto"/>
          <w:sz w:val="32"/>
          <w:szCs w:val="32"/>
        </w:rPr>
        <w:t>用法与用量的表述应规范、详细、易懂、便于患者自行服用。建议根据本医疗机构内该制剂处方临床使用经验、处方方解、古代经典文献、药效及安全性研究结果等总结。如不同适应症、不同年龄阶段、不同病情的用法用量不完全一致，应详细列出。如丸剂“口服。一次2g，一日3次；或遵医嘱。”。</w:t>
      </w:r>
    </w:p>
    <w:p w14:paraId="2FCA2978">
      <w:pPr>
        <w:ind w:firstLine="643" w:firstLineChars="200"/>
        <w:rPr>
          <w:rFonts w:ascii="仿宋_GB2312" w:eastAsia="仿宋_GB2312"/>
          <w:b/>
          <w:color w:val="auto"/>
          <w:sz w:val="32"/>
          <w:szCs w:val="32"/>
        </w:rPr>
      </w:pPr>
      <w:r>
        <w:rPr>
          <w:rFonts w:hint="eastAsia" w:ascii="仿宋_GB2312" w:eastAsia="仿宋_GB2312"/>
          <w:b/>
          <w:color w:val="auto"/>
          <w:sz w:val="32"/>
          <w:szCs w:val="32"/>
        </w:rPr>
        <w:t>（12）注意</w:t>
      </w:r>
    </w:p>
    <w:p w14:paraId="62F8144B">
      <w:pPr>
        <w:ind w:firstLine="640" w:firstLineChars="200"/>
        <w:rPr>
          <w:rFonts w:ascii="仿宋_GB2312" w:eastAsia="仿宋_GB2312"/>
          <w:color w:val="auto"/>
          <w:sz w:val="32"/>
          <w:szCs w:val="32"/>
        </w:rPr>
      </w:pPr>
      <w:r>
        <w:rPr>
          <w:rFonts w:hint="eastAsia" w:ascii="仿宋_GB2312" w:eastAsia="仿宋_GB2312"/>
          <w:color w:val="auto"/>
          <w:sz w:val="32"/>
          <w:szCs w:val="32"/>
        </w:rPr>
        <w:t>按照临床应用结果和处方成分性能，列出使用该制剂时必须注意的问题，包括各种禁忌，如孕妇及其他疾患和体质方面的禁忌、饮食禁忌等。</w:t>
      </w:r>
    </w:p>
    <w:p w14:paraId="76E24A24">
      <w:pPr>
        <w:ind w:firstLine="643" w:firstLineChars="200"/>
        <w:rPr>
          <w:rFonts w:ascii="仿宋_GB2312" w:eastAsia="仿宋_GB2312"/>
          <w:b/>
          <w:color w:val="auto"/>
          <w:sz w:val="32"/>
          <w:szCs w:val="32"/>
        </w:rPr>
      </w:pPr>
      <w:r>
        <w:rPr>
          <w:rFonts w:hint="eastAsia" w:ascii="仿宋_GB2312" w:eastAsia="仿宋_GB2312"/>
          <w:b/>
          <w:color w:val="auto"/>
          <w:sz w:val="32"/>
          <w:szCs w:val="32"/>
        </w:rPr>
        <w:t>（13）规格</w:t>
      </w:r>
    </w:p>
    <w:p w14:paraId="0AB8724D">
      <w:pPr>
        <w:ind w:firstLine="640" w:firstLineChars="200"/>
        <w:rPr>
          <w:rFonts w:ascii="仿宋_GB2312" w:eastAsia="仿宋_GB2312"/>
          <w:color w:val="auto"/>
          <w:sz w:val="32"/>
          <w:szCs w:val="32"/>
        </w:rPr>
      </w:pPr>
      <w:r>
        <w:rPr>
          <w:rFonts w:hint="eastAsia" w:ascii="仿宋_GB2312" w:eastAsia="仿宋_GB2312"/>
          <w:color w:val="auto"/>
          <w:sz w:val="32"/>
          <w:szCs w:val="32"/>
        </w:rPr>
        <w:t>制剂规格表述应参照</w:t>
      </w:r>
      <w:r>
        <w:rPr>
          <w:rFonts w:hint="eastAsia" w:ascii="仿宋_GB2312" w:eastAsia="仿宋_GB2312"/>
          <w:color w:val="auto"/>
          <w:sz w:val="32"/>
          <w:szCs w:val="32"/>
        </w:rPr>
        <w:t>《天津市医疗机构中药制剂规格表述技术指导原则》</w:t>
      </w:r>
      <w:r>
        <w:rPr>
          <w:rFonts w:hint="eastAsia" w:ascii="仿宋_GB2312" w:eastAsia="仿宋_GB2312"/>
          <w:color w:val="auto"/>
          <w:sz w:val="32"/>
          <w:szCs w:val="32"/>
        </w:rPr>
        <w:t>的相关要求，</w:t>
      </w:r>
      <w:r>
        <w:rPr>
          <w:rFonts w:hint="eastAsia" w:ascii="仿宋_GB2312" w:eastAsia="仿宋_GB2312"/>
          <w:color w:val="auto"/>
          <w:sz w:val="32"/>
          <w:szCs w:val="32"/>
        </w:rPr>
        <w:t>并且与说明书中表达的方式一致。</w:t>
      </w:r>
    </w:p>
    <w:p w14:paraId="3264B4E3">
      <w:pPr>
        <w:ind w:firstLine="643" w:firstLineChars="200"/>
        <w:rPr>
          <w:rFonts w:ascii="仿宋_GB2312" w:eastAsia="仿宋_GB2312"/>
          <w:b/>
          <w:color w:val="auto"/>
          <w:sz w:val="32"/>
          <w:szCs w:val="32"/>
        </w:rPr>
      </w:pPr>
      <w:r>
        <w:rPr>
          <w:rFonts w:hint="eastAsia" w:ascii="仿宋_GB2312" w:eastAsia="仿宋_GB2312"/>
          <w:b/>
          <w:color w:val="auto"/>
          <w:sz w:val="32"/>
          <w:szCs w:val="32"/>
        </w:rPr>
        <w:t>（14）贮藏</w:t>
      </w:r>
    </w:p>
    <w:p w14:paraId="54FA88C1">
      <w:pPr>
        <w:ind w:firstLine="640" w:firstLineChars="200"/>
        <w:rPr>
          <w:rFonts w:ascii="仿宋_GB2312" w:eastAsia="仿宋_GB2312"/>
          <w:color w:val="auto"/>
          <w:sz w:val="32"/>
          <w:szCs w:val="32"/>
        </w:rPr>
      </w:pPr>
      <w:r>
        <w:rPr>
          <w:rFonts w:hint="eastAsia" w:ascii="仿宋_GB2312" w:eastAsia="仿宋_GB2312"/>
          <w:color w:val="auto"/>
          <w:sz w:val="32"/>
          <w:szCs w:val="32"/>
        </w:rPr>
        <w:t>贮藏项表述的内容系对制剂贮藏与保管的基本要求。根据稳定性影响因素和</w:t>
      </w:r>
      <w:r>
        <w:rPr>
          <w:rFonts w:hint="eastAsia" w:ascii="仿宋_GB2312" w:eastAsia="仿宋_GB2312"/>
          <w:color w:val="auto"/>
          <w:sz w:val="32"/>
          <w:szCs w:val="32"/>
        </w:rPr>
        <w:t>制剂</w:t>
      </w:r>
      <w:r>
        <w:rPr>
          <w:rFonts w:hint="eastAsia" w:ascii="仿宋_GB2312" w:eastAsia="仿宋_GB2312"/>
          <w:color w:val="auto"/>
          <w:sz w:val="32"/>
          <w:szCs w:val="32"/>
        </w:rPr>
        <w:t>稳定性的考察结果，确定贮藏条件。所用术语应符合</w:t>
      </w:r>
      <w:r>
        <w:rPr>
          <w:rFonts w:hint="eastAsia" w:ascii="仿宋_GB2312" w:eastAsia="仿宋_GB2312"/>
          <w:color w:val="auto"/>
          <w:sz w:val="32"/>
          <w:szCs w:val="32"/>
        </w:rPr>
        <w:t>现行版</w:t>
      </w:r>
      <w:r>
        <w:rPr>
          <w:rFonts w:hint="eastAsia" w:ascii="仿宋_GB2312" w:eastAsia="仿宋_GB2312"/>
          <w:color w:val="auto"/>
          <w:sz w:val="32"/>
          <w:szCs w:val="32"/>
        </w:rPr>
        <w:t>《中国药典》凡例的规定。</w:t>
      </w:r>
    </w:p>
    <w:p w14:paraId="76D9310F">
      <w:pPr>
        <w:ind w:firstLine="640" w:firstLineChars="200"/>
        <w:rPr>
          <w:rFonts w:ascii="仿宋_GB2312" w:eastAsia="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jNjkwOWM0MmRkOWNjYzg2YWI0MTIzZmFiN2YxMjYifQ=="/>
  </w:docVars>
  <w:rsids>
    <w:rsidRoot w:val="00270A30"/>
    <w:rsid w:val="000B1045"/>
    <w:rsid w:val="00153D08"/>
    <w:rsid w:val="001566BA"/>
    <w:rsid w:val="00170346"/>
    <w:rsid w:val="00172E3F"/>
    <w:rsid w:val="001D2593"/>
    <w:rsid w:val="001F4C9A"/>
    <w:rsid w:val="001F79C1"/>
    <w:rsid w:val="00203261"/>
    <w:rsid w:val="002114CA"/>
    <w:rsid w:val="00242FD9"/>
    <w:rsid w:val="0025413F"/>
    <w:rsid w:val="00260CDD"/>
    <w:rsid w:val="00266CA2"/>
    <w:rsid w:val="00270A30"/>
    <w:rsid w:val="002A18C8"/>
    <w:rsid w:val="002F4F09"/>
    <w:rsid w:val="00312DC9"/>
    <w:rsid w:val="0033445D"/>
    <w:rsid w:val="003621FF"/>
    <w:rsid w:val="0038303A"/>
    <w:rsid w:val="003A7D87"/>
    <w:rsid w:val="00416242"/>
    <w:rsid w:val="004348EF"/>
    <w:rsid w:val="004460E9"/>
    <w:rsid w:val="004C703C"/>
    <w:rsid w:val="004D13D6"/>
    <w:rsid w:val="004D3CB7"/>
    <w:rsid w:val="005002A0"/>
    <w:rsid w:val="005161D8"/>
    <w:rsid w:val="0051640B"/>
    <w:rsid w:val="005425ED"/>
    <w:rsid w:val="0054589E"/>
    <w:rsid w:val="0058135F"/>
    <w:rsid w:val="005838EC"/>
    <w:rsid w:val="005A137B"/>
    <w:rsid w:val="005B2AEF"/>
    <w:rsid w:val="005C384F"/>
    <w:rsid w:val="005C6966"/>
    <w:rsid w:val="005D4224"/>
    <w:rsid w:val="005D5FC8"/>
    <w:rsid w:val="00661604"/>
    <w:rsid w:val="006B1895"/>
    <w:rsid w:val="006B5F26"/>
    <w:rsid w:val="006D02EA"/>
    <w:rsid w:val="006D264A"/>
    <w:rsid w:val="006D3BAA"/>
    <w:rsid w:val="00707226"/>
    <w:rsid w:val="00736865"/>
    <w:rsid w:val="00760540"/>
    <w:rsid w:val="00783CBD"/>
    <w:rsid w:val="00792688"/>
    <w:rsid w:val="00800573"/>
    <w:rsid w:val="00847A00"/>
    <w:rsid w:val="008733AF"/>
    <w:rsid w:val="00880800"/>
    <w:rsid w:val="008842D9"/>
    <w:rsid w:val="008C7852"/>
    <w:rsid w:val="008D075D"/>
    <w:rsid w:val="008D706B"/>
    <w:rsid w:val="009559A1"/>
    <w:rsid w:val="00982A40"/>
    <w:rsid w:val="009A2D79"/>
    <w:rsid w:val="009C1578"/>
    <w:rsid w:val="00A07266"/>
    <w:rsid w:val="00A27005"/>
    <w:rsid w:val="00A324D9"/>
    <w:rsid w:val="00A46658"/>
    <w:rsid w:val="00A55EC9"/>
    <w:rsid w:val="00A8593A"/>
    <w:rsid w:val="00AC4244"/>
    <w:rsid w:val="00B55706"/>
    <w:rsid w:val="00B72BCA"/>
    <w:rsid w:val="00B838DE"/>
    <w:rsid w:val="00B949A6"/>
    <w:rsid w:val="00C31F15"/>
    <w:rsid w:val="00C623D3"/>
    <w:rsid w:val="00C65C96"/>
    <w:rsid w:val="00CC3314"/>
    <w:rsid w:val="00CF1B1E"/>
    <w:rsid w:val="00D168ED"/>
    <w:rsid w:val="00D20763"/>
    <w:rsid w:val="00D20AF2"/>
    <w:rsid w:val="00D50B68"/>
    <w:rsid w:val="00D56E64"/>
    <w:rsid w:val="00D64D00"/>
    <w:rsid w:val="00DA420A"/>
    <w:rsid w:val="00DB781E"/>
    <w:rsid w:val="00DE3D04"/>
    <w:rsid w:val="00DE7178"/>
    <w:rsid w:val="00DF44AD"/>
    <w:rsid w:val="00E00770"/>
    <w:rsid w:val="00E3459F"/>
    <w:rsid w:val="00E51E92"/>
    <w:rsid w:val="00E56F3D"/>
    <w:rsid w:val="00EB2130"/>
    <w:rsid w:val="00EC2698"/>
    <w:rsid w:val="00ED11BE"/>
    <w:rsid w:val="00EF300A"/>
    <w:rsid w:val="00F068DF"/>
    <w:rsid w:val="00F37DB0"/>
    <w:rsid w:val="00F37DF4"/>
    <w:rsid w:val="00F63796"/>
    <w:rsid w:val="00F77DF8"/>
    <w:rsid w:val="00F9429E"/>
    <w:rsid w:val="00FC1C35"/>
    <w:rsid w:val="00FD165F"/>
    <w:rsid w:val="00FD32C4"/>
    <w:rsid w:val="04886C70"/>
    <w:rsid w:val="09153CCC"/>
    <w:rsid w:val="099F7A3A"/>
    <w:rsid w:val="09ED17BC"/>
    <w:rsid w:val="0EBB7D7B"/>
    <w:rsid w:val="0F707EAE"/>
    <w:rsid w:val="13520775"/>
    <w:rsid w:val="14166737"/>
    <w:rsid w:val="14E86739"/>
    <w:rsid w:val="17626C76"/>
    <w:rsid w:val="18BC3082"/>
    <w:rsid w:val="18D45952"/>
    <w:rsid w:val="20A64227"/>
    <w:rsid w:val="212B632B"/>
    <w:rsid w:val="229E5500"/>
    <w:rsid w:val="25BB6B9A"/>
    <w:rsid w:val="35EC5065"/>
    <w:rsid w:val="3AFA638A"/>
    <w:rsid w:val="3BC92E89"/>
    <w:rsid w:val="3C2105FF"/>
    <w:rsid w:val="41466412"/>
    <w:rsid w:val="477D24CE"/>
    <w:rsid w:val="48403BBB"/>
    <w:rsid w:val="4E2035A5"/>
    <w:rsid w:val="553C379A"/>
    <w:rsid w:val="57CD4D3F"/>
    <w:rsid w:val="588F25D8"/>
    <w:rsid w:val="5C206275"/>
    <w:rsid w:val="5C967DF5"/>
    <w:rsid w:val="5D2B49E2"/>
    <w:rsid w:val="61A22D98"/>
    <w:rsid w:val="6A2353BE"/>
    <w:rsid w:val="6CDA729D"/>
    <w:rsid w:val="6F7C0669"/>
    <w:rsid w:val="71096B8F"/>
    <w:rsid w:val="764F753B"/>
    <w:rsid w:val="78746DE5"/>
    <w:rsid w:val="7F9F6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autoRedefine/>
    <w:unhideWhenUsed/>
    <w:qFormat/>
    <w:uiPriority w:val="99"/>
    <w:pPr>
      <w:ind w:firstLine="640" w:firstLineChars="200"/>
      <w:jc w:val="left"/>
    </w:pPr>
    <w:rPr>
      <w:rFonts w:ascii="仿宋_GB2312" w:eastAsia="仿宋_GB2312"/>
      <w:sz w:val="32"/>
      <w:szCs w:val="32"/>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qFormat/>
    <w:uiPriority w:val="99"/>
    <w:rPr>
      <w:rFonts w:ascii="仿宋_GB2312" w:eastAsia="仿宋_GB2312"/>
      <w:kern w:val="2"/>
      <w:sz w:val="32"/>
      <w:szCs w:val="32"/>
    </w:rPr>
  </w:style>
  <w:style w:type="character" w:customStyle="1" w:styleId="13">
    <w:name w:val="批注主题 Char"/>
    <w:basedOn w:val="12"/>
    <w:link w:val="6"/>
    <w:semiHidden/>
    <w:qFormat/>
    <w:uiPriority w:val="99"/>
    <w:rPr>
      <w:rFonts w:ascii="仿宋_GB2312" w:eastAsia="仿宋_GB2312"/>
      <w:b/>
      <w:bCs/>
      <w:kern w:val="2"/>
      <w:sz w:val="32"/>
      <w:szCs w:val="32"/>
    </w:r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5A937-415F-40C9-BA3D-5AF2A0DFABE8}">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17</Pages>
  <Words>7719</Words>
  <Characters>7781</Characters>
  <Lines>56</Lines>
  <Paragraphs>15</Paragraphs>
  <TotalTime>12</TotalTime>
  <ScaleCrop>false</ScaleCrop>
  <LinksUpToDate>false</LinksUpToDate>
  <CharactersWithSpaces>7793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2025-10-10T00:29:00Z</dcterms:created>
  <dc:creator>USER</dc:creator>
  <cp:lastModifiedBy>齐瑞文</cp:lastModifiedBy>
  <dcterms:modified xsi:type="dcterms:W3CDTF">2025-11-06T08:55:07Z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FE17DC0B4DA3463094F7F10F49346E54_12</vt:lpwstr>
  </property>
  <property fmtid="{D5CDD505-2E9C-101B-9397-08002B2CF9AE}" pid="4" name="KSOTemplateDocerSaveRecord">
    <vt:lpwstr>eyJoZGlkIjoiMzEwYmEzYTc1MjNiODJkMTJiNWZhNWJmYzczNjYyZjAiLCJ1c2VySWQiOiIxMzc0MzY4MTA2In0=</vt:lpwstr>
  </property>
</Properties>
</file>