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sz w:val="44"/>
          <w:szCs w:val="44"/>
        </w:rPr>
      </w:pPr>
      <w:r>
        <w:rPr>
          <w:rFonts w:hint="eastAsia" w:ascii="方正小标宋简体" w:eastAsia="方正小标宋简体"/>
          <w:sz w:val="44"/>
          <w:szCs w:val="44"/>
        </w:rPr>
        <w:t>放射性药品使用许可证核发、变更、换证</w:t>
      </w:r>
      <w:r>
        <w:rPr>
          <w:rFonts w:hint="eastAsia" w:ascii="Times New Roman" w:hAnsi="Times New Roman" w:eastAsia="方正小标宋简体" w:cs="Times New Roman"/>
          <w:sz w:val="44"/>
          <w:szCs w:val="44"/>
        </w:rPr>
        <w:t>事项事中事后监管细则</w:t>
      </w:r>
    </w:p>
    <w:p>
      <w:pPr>
        <w:spacing w:line="360" w:lineRule="auto"/>
        <w:jc w:val="center"/>
        <w:rPr>
          <w:b/>
          <w:sz w:val="44"/>
          <w:szCs w:val="44"/>
        </w:rPr>
      </w:pPr>
    </w:p>
    <w:p>
      <w:pPr>
        <w:numPr>
          <w:ilvl w:val="0"/>
          <w:numId w:val="1"/>
        </w:numPr>
        <w:spacing w:line="360" w:lineRule="auto"/>
        <w:jc w:val="center"/>
        <w:rPr>
          <w:rFonts w:ascii="仿宋_GB2312" w:eastAsia="仿宋_GB2312"/>
          <w:b/>
          <w:sz w:val="36"/>
          <w:szCs w:val="36"/>
        </w:rPr>
      </w:pPr>
      <w:r>
        <w:rPr>
          <w:rFonts w:hint="eastAsia" w:ascii="仿宋_GB2312" w:eastAsia="仿宋_GB2312"/>
          <w:b/>
          <w:sz w:val="36"/>
          <w:szCs w:val="36"/>
        </w:rPr>
        <w:t>总则</w:t>
      </w:r>
    </w:p>
    <w:p>
      <w:pPr>
        <w:spacing w:line="360" w:lineRule="auto"/>
        <w:ind w:left="1575"/>
        <w:rPr>
          <w:rFonts w:ascii="仿宋_GB2312" w:eastAsia="仿宋_GB2312"/>
          <w:b/>
          <w:sz w:val="36"/>
          <w:szCs w:val="36"/>
        </w:rPr>
      </w:pP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第一条 为放射性药品使用单位的日常监督管理，落实药品安全监管“四个最严”要求，加强对放射性药品使用单位的事中事后监管，切实保障放射性药品安全，根据</w:t>
      </w:r>
      <w:r>
        <w:rPr>
          <w:rFonts w:hint="eastAsia" w:eastAsia="仿宋_GB2312"/>
          <w:color w:val="000000"/>
          <w:sz w:val="32"/>
        </w:rPr>
        <w:t>《放射性药品管理办法》</w:t>
      </w:r>
      <w:r>
        <w:rPr>
          <w:rFonts w:hint="eastAsia" w:eastAsia="仿宋_GB2312"/>
          <w:color w:val="000000"/>
          <w:sz w:val="32"/>
          <w:szCs w:val="24"/>
        </w:rPr>
        <w:t>, 结合本市实际，制定本监管细则。</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第二条 市药品监督管理局对全市放射性药品使用的事中事后监管工作，具体检查工作由各区市场监管局承担。</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第三条 对放射性药品使用单位的事中事后监管应当遵循依法行政、公正公开、风险分析的原则。</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第四条 本细则适用于对在天津市办理放射性药品使用许可单位的事中事后监管。</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 xml:space="preserve">第五条 </w:t>
      </w:r>
      <w:r>
        <w:rPr>
          <w:rFonts w:eastAsia="仿宋_GB2312"/>
          <w:color w:val="000000"/>
          <w:sz w:val="32"/>
          <w:szCs w:val="24"/>
        </w:rPr>
        <w:t>各</w:t>
      </w:r>
      <w:r>
        <w:rPr>
          <w:rFonts w:hint="eastAsia" w:eastAsia="仿宋_GB2312"/>
          <w:color w:val="000000"/>
          <w:sz w:val="32"/>
          <w:szCs w:val="24"/>
        </w:rPr>
        <w:t>药品监管单位（部门）要建立</w:t>
      </w:r>
      <w:r>
        <w:rPr>
          <w:rFonts w:eastAsia="仿宋_GB2312"/>
          <w:color w:val="000000"/>
          <w:sz w:val="32"/>
          <w:szCs w:val="24"/>
        </w:rPr>
        <w:t>落实</w:t>
      </w:r>
      <w:r>
        <w:rPr>
          <w:rFonts w:hint="eastAsia" w:eastAsia="仿宋_GB2312"/>
          <w:color w:val="000000"/>
          <w:sz w:val="32"/>
          <w:szCs w:val="24"/>
        </w:rPr>
        <w:t>放射性药品使用单位定期巡查检查制度，对放射性药品使用实现日常监管全覆盖。</w:t>
      </w:r>
    </w:p>
    <w:p>
      <w:pPr>
        <w:spacing w:line="360" w:lineRule="auto"/>
        <w:rPr>
          <w:rFonts w:ascii="仿宋_GB2312" w:hAnsi="宋体" w:eastAsia="仿宋_GB2312" w:cs="仿宋_GB2312"/>
          <w:b/>
          <w:color w:val="FF0000"/>
          <w:kern w:val="0"/>
          <w:sz w:val="36"/>
          <w:szCs w:val="36"/>
        </w:rPr>
      </w:pPr>
    </w:p>
    <w:p>
      <w:pPr>
        <w:numPr>
          <w:ilvl w:val="0"/>
          <w:numId w:val="1"/>
        </w:numPr>
        <w:spacing w:line="360" w:lineRule="auto"/>
        <w:jc w:val="center"/>
        <w:rPr>
          <w:rFonts w:ascii="仿宋_GB2312" w:eastAsia="仿宋_GB2312"/>
          <w:b/>
          <w:sz w:val="36"/>
          <w:szCs w:val="36"/>
        </w:rPr>
      </w:pPr>
      <w:r>
        <w:rPr>
          <w:rFonts w:hint="eastAsia" w:ascii="仿宋_GB2312" w:eastAsia="仿宋_GB2312"/>
          <w:b/>
          <w:sz w:val="36"/>
          <w:szCs w:val="36"/>
        </w:rPr>
        <w:t>信用承诺现场核查流程</w:t>
      </w:r>
    </w:p>
    <w:p>
      <w:pPr>
        <w:spacing w:line="360" w:lineRule="auto"/>
        <w:ind w:left="5119"/>
        <w:rPr>
          <w:rFonts w:ascii="仿宋_GB2312" w:hAnsi="宋体" w:eastAsia="仿宋_GB2312" w:cs="仿宋_GB2312"/>
          <w:b/>
          <w:color w:val="FF0000"/>
          <w:kern w:val="0"/>
          <w:sz w:val="36"/>
          <w:szCs w:val="36"/>
        </w:rPr>
      </w:pP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第六条  本事项审批后，由作出决定的处室将决定信息及全部信用承诺材料内容交各监管处；监管处按照监管工作划分，将上述材料交各监管办公室；各监管办公室对企业进行检查。</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第七条  明确现场核查流程的准备工作和现场核查流程与日常监管流程一致。</w:t>
      </w:r>
    </w:p>
    <w:p>
      <w:pPr>
        <w:spacing w:line="579"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第八条  现场检查应重点对信用承诺材料所涉内容是否符合许可条件规定和是否与承诺内容一致进行核查。</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第九条  违反承诺制审批与承诺内容不符的，监管部门应通知审批部门，按照相关规定</w:t>
      </w:r>
      <w:r>
        <w:rPr>
          <w:rFonts w:ascii="仿宋_GB2312" w:hAnsi="宋体" w:eastAsia="仿宋_GB2312" w:cs="仿宋_GB2312"/>
          <w:color w:val="000000"/>
          <w:kern w:val="0"/>
          <w:sz w:val="32"/>
          <w:szCs w:val="32"/>
        </w:rPr>
        <w:t>流程</w:t>
      </w:r>
      <w:r>
        <w:rPr>
          <w:rFonts w:hint="eastAsia" w:ascii="仿宋_GB2312" w:hAnsi="宋体" w:eastAsia="仿宋_GB2312" w:cs="仿宋_GB2312"/>
          <w:color w:val="000000"/>
          <w:kern w:val="0"/>
          <w:sz w:val="32"/>
          <w:szCs w:val="32"/>
        </w:rPr>
        <w:t>，予以撤销；涉及处罚的，应按照相应行政处罚规定予以处罚。</w:t>
      </w:r>
    </w:p>
    <w:p>
      <w:pPr>
        <w:spacing w:line="360" w:lineRule="auto"/>
        <w:ind w:firstLine="627" w:firstLineChars="196"/>
        <w:jc w:val="left"/>
        <w:rPr>
          <w:rFonts w:eastAsia="仿宋_GB2312"/>
          <w:color w:val="FF0000"/>
          <w:sz w:val="32"/>
          <w:szCs w:val="24"/>
        </w:rPr>
      </w:pPr>
    </w:p>
    <w:p>
      <w:pPr>
        <w:spacing w:line="360" w:lineRule="auto"/>
        <w:rPr>
          <w:color w:val="FF0000"/>
          <w:szCs w:val="21"/>
        </w:rPr>
      </w:pPr>
    </w:p>
    <w:p>
      <w:pPr>
        <w:numPr>
          <w:ilvl w:val="0"/>
          <w:numId w:val="1"/>
        </w:numPr>
        <w:spacing w:line="360" w:lineRule="auto"/>
        <w:jc w:val="center"/>
        <w:rPr>
          <w:rFonts w:ascii="仿宋_GB2312" w:hAnsi="宋体" w:eastAsia="仿宋_GB2312" w:cs="仿宋_GB2312"/>
          <w:b/>
          <w:color w:val="000000"/>
          <w:kern w:val="0"/>
          <w:sz w:val="36"/>
          <w:szCs w:val="36"/>
        </w:rPr>
      </w:pPr>
      <w:r>
        <w:rPr>
          <w:rFonts w:hint="eastAsia" w:ascii="仿宋_GB2312" w:hAnsi="宋体" w:eastAsia="仿宋_GB2312" w:cs="仿宋_GB2312"/>
          <w:b/>
          <w:color w:val="000000"/>
          <w:kern w:val="0"/>
          <w:sz w:val="36"/>
          <w:szCs w:val="36"/>
        </w:rPr>
        <w:t>监管流程</w:t>
      </w:r>
    </w:p>
    <w:p>
      <w:pPr>
        <w:spacing w:line="360" w:lineRule="auto"/>
        <w:ind w:left="1575"/>
        <w:rPr>
          <w:rFonts w:ascii="仿宋_GB2312" w:hAnsi="宋体" w:eastAsia="仿宋_GB2312" w:cs="仿宋_GB2312"/>
          <w:b/>
          <w:color w:val="000000"/>
          <w:kern w:val="0"/>
          <w:sz w:val="36"/>
          <w:szCs w:val="36"/>
        </w:rPr>
      </w:pP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第十条 日常监管准备：明确实施现场监管流程的准备工作，对放射性药品使用开展监管前应制定年度检查计划和方案，准备现场执法文书，必要时应携带全程音像记录设备。</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第十一条 日常监管流程：对放射性药品使用进行日常监管，在现场检查时应遵循以下程序：</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1、确定2名具有执法资格的工作人员担任</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2、现场检查时，执法检查人员应向被检查人出示执法证件，说明检</w:t>
      </w:r>
      <w:r>
        <w:rPr>
          <w:rFonts w:hint="eastAsia" w:eastAsia="仿宋_GB2312"/>
          <w:color w:val="000000"/>
          <w:sz w:val="32"/>
          <w:szCs w:val="24"/>
          <w:lang w:eastAsia="zh-CN"/>
        </w:rPr>
        <w:t>查</w:t>
      </w:r>
      <w:r>
        <w:rPr>
          <w:rFonts w:hint="eastAsia" w:eastAsia="仿宋_GB2312"/>
          <w:color w:val="000000"/>
          <w:sz w:val="32"/>
          <w:szCs w:val="24"/>
        </w:rPr>
        <w:t>内容。</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3.现场检查（听取情况介绍、检查文件资料、实施现场检查）</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4、填写现场检查记录、并请被检查单位负责人或现场工作人员签字确认，被检查人拒绝签字的应邀请见证人在场并签字。）</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5. 向企业反馈检查情况。</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第十二条 日常监管点位及标准：</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对药品生产企业进行核查，应依据《</w:t>
      </w:r>
      <w:r>
        <w:rPr>
          <w:rFonts w:hint="eastAsia" w:eastAsia="仿宋_GB2312"/>
          <w:color w:val="000000"/>
          <w:sz w:val="32"/>
        </w:rPr>
        <w:t>放射性药品管理办法</w:t>
      </w:r>
      <w:r>
        <w:rPr>
          <w:rFonts w:hint="eastAsia" w:eastAsia="仿宋_GB2312"/>
          <w:color w:val="000000"/>
          <w:sz w:val="32"/>
          <w:szCs w:val="24"/>
        </w:rPr>
        <w:t>》及相关法律法规要求进行。</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《日常监督现场检查表》（附件三）</w:t>
      </w:r>
    </w:p>
    <w:p>
      <w:pPr>
        <w:spacing w:line="360" w:lineRule="auto"/>
        <w:ind w:firstLine="627" w:firstLineChars="196"/>
        <w:rPr>
          <w:rFonts w:eastAsia="仿宋_GB2312"/>
          <w:color w:val="000000"/>
          <w:sz w:val="32"/>
          <w:szCs w:val="24"/>
        </w:rPr>
      </w:pPr>
      <w:r>
        <w:rPr>
          <w:rFonts w:hint="eastAsia" w:eastAsia="仿宋_GB2312"/>
          <w:color w:val="000000"/>
          <w:sz w:val="32"/>
          <w:szCs w:val="24"/>
        </w:rPr>
        <w:t>第十三条 处理措施：</w:t>
      </w:r>
    </w:p>
    <w:p>
      <w:pPr>
        <w:spacing w:line="360" w:lineRule="auto"/>
        <w:ind w:firstLine="640" w:firstLineChars="200"/>
        <w:rPr>
          <w:rFonts w:eastAsia="仿宋_GB2312"/>
          <w:color w:val="000000"/>
          <w:sz w:val="32"/>
          <w:szCs w:val="24"/>
        </w:rPr>
      </w:pPr>
      <w:r>
        <w:rPr>
          <w:rFonts w:hint="eastAsia" w:eastAsia="仿宋_GB2312"/>
          <w:color w:val="000000"/>
          <w:sz w:val="32"/>
          <w:szCs w:val="24"/>
        </w:rPr>
        <w:t>现场检查发现放射性药品使用单位违反《药品管理法》、《</w:t>
      </w:r>
      <w:r>
        <w:rPr>
          <w:rFonts w:hint="eastAsia" w:eastAsia="仿宋_GB2312"/>
          <w:color w:val="000000"/>
          <w:sz w:val="32"/>
        </w:rPr>
        <w:t>放射性药品管理办法》</w:t>
      </w:r>
      <w:r>
        <w:rPr>
          <w:rFonts w:hint="eastAsia" w:eastAsia="仿宋_GB2312"/>
          <w:color w:val="000000"/>
          <w:sz w:val="32"/>
          <w:szCs w:val="24"/>
        </w:rPr>
        <w:t>等法律法规及内容的，应当责令立即改正或者限期进行改正，涉及违法行为的，应依法予以处罚。</w:t>
      </w:r>
    </w:p>
    <w:p>
      <w:pPr>
        <w:spacing w:line="360" w:lineRule="auto"/>
        <w:jc w:val="left"/>
        <w:rPr>
          <w:rFonts w:ascii="仿宋_GB2312" w:hAnsi="宋体" w:eastAsia="仿宋_GB2312" w:cs="仿宋_GB2312"/>
          <w:b/>
          <w:color w:val="FF0000"/>
          <w:kern w:val="0"/>
          <w:sz w:val="32"/>
          <w:szCs w:val="32"/>
        </w:rPr>
      </w:pPr>
    </w:p>
    <w:p>
      <w:pPr>
        <w:numPr>
          <w:ilvl w:val="0"/>
          <w:numId w:val="1"/>
        </w:numPr>
        <w:spacing w:line="360" w:lineRule="auto"/>
        <w:jc w:val="center"/>
        <w:rPr>
          <w:rFonts w:ascii="仿宋_GB2312" w:hAnsi="宋体" w:eastAsia="仿宋_GB2312" w:cs="仿宋_GB2312"/>
          <w:b/>
          <w:kern w:val="0"/>
          <w:sz w:val="36"/>
          <w:szCs w:val="36"/>
        </w:rPr>
      </w:pPr>
      <w:r>
        <w:rPr>
          <w:rFonts w:hint="eastAsia" w:ascii="仿宋_GB2312" w:hAnsi="宋体" w:eastAsia="仿宋_GB2312" w:cs="仿宋_GB2312"/>
          <w:b/>
          <w:kern w:val="0"/>
          <w:sz w:val="36"/>
          <w:szCs w:val="36"/>
        </w:rPr>
        <w:t>失信惩戒</w:t>
      </w:r>
    </w:p>
    <w:p>
      <w:pPr>
        <w:spacing w:line="360" w:lineRule="auto"/>
        <w:rPr>
          <w:rFonts w:ascii="仿宋_GB2312" w:hAnsi="宋体" w:eastAsia="仿宋_GB2312" w:cs="仿宋_GB2312"/>
          <w:b/>
          <w:kern w:val="0"/>
          <w:sz w:val="36"/>
          <w:szCs w:val="36"/>
        </w:rPr>
      </w:pPr>
    </w:p>
    <w:p>
      <w:pPr>
        <w:spacing w:line="360" w:lineRule="auto"/>
        <w:ind w:firstLine="627" w:firstLineChars="196"/>
        <w:rPr>
          <w:rFonts w:eastAsia="仿宋_GB2312"/>
          <w:sz w:val="32"/>
          <w:szCs w:val="24"/>
        </w:rPr>
      </w:pPr>
      <w:r>
        <w:rPr>
          <w:rFonts w:hint="eastAsia" w:eastAsia="仿宋_GB2312"/>
          <w:sz w:val="32"/>
          <w:szCs w:val="24"/>
        </w:rPr>
        <w:t>第十四条 药品监管部门在对未提交信用承诺材料的企业进行核查时发现有严重失信行为的，应对其采取惩戒措施，对该企业不再适用信用承诺审批程序，对于积极履行承诺义务信用良好的企业，可对其在行政许可过程中开辟绿色通道，优先办理。</w:t>
      </w:r>
    </w:p>
    <w:p>
      <w:pPr>
        <w:spacing w:line="360" w:lineRule="auto"/>
        <w:ind w:firstLine="627" w:firstLineChars="196"/>
        <w:rPr>
          <w:rFonts w:eastAsia="仿宋_GB2312"/>
          <w:color w:val="000000"/>
          <w:sz w:val="32"/>
          <w:szCs w:val="24"/>
        </w:rPr>
      </w:pP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ascii="楷体_GB2312" w:hAnsi="楷体" w:eastAsia="楷体_GB2312" w:cs="楷体"/>
          <w:color w:val="222222"/>
          <w:sz w:val="32"/>
          <w:szCs w:val="32"/>
          <w:lang w:eastAsia="zh-CN"/>
        </w:rPr>
        <w:t>第</w:t>
      </w:r>
      <w:r>
        <w:rPr>
          <w:rStyle w:val="12"/>
          <w:rFonts w:hint="eastAsia" w:ascii="楷体_GB2312" w:hAnsi="楷体" w:eastAsia="楷体_GB2312" w:cs="楷体"/>
          <w:color w:val="222222"/>
          <w:sz w:val="32"/>
          <w:szCs w:val="32"/>
          <w:lang w:eastAsia="zh-CN"/>
        </w:rPr>
        <w:t>五</w:t>
      </w:r>
      <w:r>
        <w:rPr>
          <w:rStyle w:val="12"/>
          <w:rFonts w:ascii="楷体_GB2312" w:hAnsi="楷体" w:eastAsia="楷体_GB2312" w:cs="楷体"/>
          <w:color w:val="222222"/>
          <w:sz w:val="32"/>
          <w:szCs w:val="32"/>
          <w:lang w:eastAsia="zh-CN"/>
        </w:rPr>
        <w:t>章</w:t>
      </w:r>
      <w:r>
        <w:rPr>
          <w:rStyle w:val="12"/>
          <w:rFonts w:hint="eastAsia" w:ascii="楷体_GB2312" w:hAnsi="楷体" w:eastAsia="楷体_GB2312" w:cs="楷体"/>
          <w:color w:val="222222"/>
          <w:sz w:val="32"/>
          <w:szCs w:val="32"/>
          <w:lang w:eastAsia="zh-CN"/>
        </w:rPr>
        <w:t>处罚</w:t>
      </w:r>
    </w:p>
    <w:p>
      <w:pPr>
        <w:pStyle w:val="8"/>
        <w:shd w:val="clear" w:color="auto" w:fill="FFFFFF"/>
        <w:spacing w:before="0" w:beforeAutospacing="0" w:after="0" w:afterAutospacing="0" w:line="560" w:lineRule="exact"/>
        <w:ind w:firstLine="642" w:firstLineChars="200"/>
        <w:rPr>
          <w:rStyle w:val="12"/>
          <w:rFonts w:ascii="楷体_GB2312" w:hAnsi="楷体" w:eastAsia="楷体_GB2312" w:cs="楷体"/>
          <w:color w:val="FF0000"/>
          <w:sz w:val="32"/>
          <w:szCs w:val="32"/>
          <w:lang w:eastAsia="zh-CN"/>
        </w:rPr>
      </w:pP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第十五条 明确监管部门在监管过程发现违法违规行为后，所进行的处罚措施：</w:t>
      </w:r>
    </w:p>
    <w:p>
      <w:pPr>
        <w:pStyle w:val="8"/>
        <w:shd w:val="clear" w:color="auto" w:fill="FFFFFF"/>
        <w:spacing w:before="0" w:beforeAutospacing="0" w:after="0" w:afterAutospacing="0" w:line="560" w:lineRule="exact"/>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1、医疗单位未配备与医疗任务相适应并经核医学技术培训的技术人员、无《放射性药品使用许可证》临床使用放射性药品的、未对使用放射性药品进行临床质量检验、未收集药品不良反应并未定期报告的，依照《放射性药品管理办法》第二十七条处罚。</w:t>
      </w:r>
    </w:p>
    <w:p>
      <w:pPr>
        <w:pStyle w:val="8"/>
        <w:shd w:val="clear" w:color="auto" w:fill="FFFFFF"/>
        <w:spacing w:before="0" w:beforeAutospacing="0" w:after="0" w:afterAutospacing="0" w:line="560" w:lineRule="exact"/>
        <w:jc w:val="both"/>
        <w:rPr>
          <w:rStyle w:val="12"/>
          <w:rFonts w:ascii="楷体_GB2312" w:hAnsi="楷体" w:eastAsia="楷体_GB2312" w:cs="楷体"/>
          <w:color w:val="222222"/>
          <w:sz w:val="32"/>
          <w:szCs w:val="32"/>
          <w:lang w:eastAsia="zh-CN"/>
        </w:rPr>
      </w:pP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hint="eastAsia" w:ascii="楷体_GB2312" w:hAnsi="楷体" w:eastAsia="楷体_GB2312" w:cs="楷体"/>
          <w:color w:val="222222"/>
          <w:sz w:val="32"/>
          <w:szCs w:val="32"/>
          <w:lang w:eastAsia="zh-CN"/>
        </w:rPr>
        <w:t>第六章 附则</w:t>
      </w:r>
    </w:p>
    <w:p>
      <w:pPr>
        <w:spacing w:line="360" w:lineRule="auto"/>
        <w:rPr>
          <w:rFonts w:ascii="仿宋_GB2312" w:hAnsi="宋体" w:eastAsia="仿宋_GB2312" w:cs="仿宋_GB2312"/>
          <w:b/>
          <w:color w:val="000000"/>
          <w:kern w:val="0"/>
          <w:sz w:val="36"/>
          <w:szCs w:val="36"/>
        </w:rPr>
      </w:pP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第十六条 实施监管的依据：对</w:t>
      </w:r>
      <w:r>
        <w:rPr>
          <w:rFonts w:hint="eastAsia" w:eastAsia="仿宋_GB2312"/>
          <w:color w:val="000000"/>
          <w:sz w:val="32"/>
        </w:rPr>
        <w:t>放射性药品使用单位</w:t>
      </w:r>
      <w:r>
        <w:rPr>
          <w:rFonts w:hint="eastAsia" w:eastAsia="仿宋_GB2312" w:asciiTheme="minorHAnsi" w:hAnsiTheme="minorHAnsi" w:cstheme="minorBidi"/>
          <w:color w:val="000000"/>
          <w:kern w:val="2"/>
          <w:sz w:val="32"/>
        </w:rPr>
        <w:t>的事中事后监管依据《中华人民共和国药品管理法》、《放射性药品管理办法》等相关法律法规规章的规定进行。</w:t>
      </w: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1、《药品管理法》</w:t>
      </w: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2、《放射性药品管理办法》</w:t>
      </w: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第十七条 本实施细则由天津市药品监督管理局编制。</w:t>
      </w:r>
    </w:p>
    <w:p>
      <w:pPr>
        <w:pStyle w:val="8"/>
        <w:shd w:val="clear" w:color="auto" w:fill="FFFFFF"/>
        <w:spacing w:before="0" w:beforeAutospacing="0" w:after="0" w:afterAutospacing="0" w:line="560" w:lineRule="exact"/>
        <w:ind w:firstLine="640" w:firstLineChars="200"/>
        <w:rPr>
          <w:rFonts w:eastAsia="仿宋_GB2312" w:asciiTheme="minorHAnsi" w:hAnsiTheme="minorHAnsi" w:cstheme="minorBidi"/>
          <w:color w:val="000000"/>
          <w:kern w:val="2"/>
          <w:sz w:val="32"/>
        </w:rPr>
      </w:pPr>
      <w:r>
        <w:rPr>
          <w:rFonts w:hint="eastAsia" w:eastAsia="仿宋_GB2312" w:asciiTheme="minorHAnsi" w:hAnsiTheme="minorHAnsi" w:cstheme="minorBidi"/>
          <w:color w:val="000000"/>
          <w:kern w:val="2"/>
          <w:sz w:val="32"/>
        </w:rPr>
        <w:t>第十八条 本实施细则自</w:t>
      </w:r>
      <w:r>
        <w:rPr>
          <w:rFonts w:hint="eastAsia" w:ascii="仿宋_GB2312" w:eastAsia="仿宋_GB2312" w:cs="仿宋_GB2312"/>
          <w:color w:val="000000"/>
          <w:sz w:val="32"/>
          <w:szCs w:val="32"/>
        </w:rPr>
        <w:t>2021年5月1日</w:t>
      </w:r>
      <w:r>
        <w:rPr>
          <w:rFonts w:hint="eastAsia" w:eastAsia="仿宋_GB2312" w:asciiTheme="minorHAnsi" w:hAnsiTheme="minorHAnsi" w:cstheme="minorBidi"/>
          <w:color w:val="000000"/>
          <w:kern w:val="2"/>
          <w:sz w:val="32"/>
        </w:rPr>
        <w:t>起施行。</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br w:type="page"/>
      </w:r>
    </w:p>
    <w:p>
      <w:pPr>
        <w:spacing w:line="360" w:lineRule="auto"/>
        <w:ind w:firstLine="629" w:firstLineChars="196"/>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信用承诺现场核查流程图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r>
        <w:rPr>
          <w:rFonts w:ascii="仿宋_GB2312" w:hAnsi="宋体" w:eastAsia="仿宋_GB2312" w:cs="仿宋_GB2312"/>
          <w:color w:val="000000"/>
          <w:kern w:val="0"/>
          <w:sz w:val="32"/>
          <w:szCs w:val="32"/>
        </w:rPr>
        <w:pict>
          <v:group id="Group 103" o:spid="_x0000_s1026" o:spt="203" style="position:absolute;left:0pt;margin-left:10.75pt;margin-top:-39.3pt;height:305.3pt;width:486.9pt;z-index:251659264;mso-width-relative:page;mso-height-relative:page;" coordorigin="704,2028" coordsize="973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mGAQYAAEA0AAAOAAAAZHJzL2Uyb0RvYy54bWzsW99zozYQfu9M/weG98aI33hCbm5yl7Qz&#10;aXvTXPsuA7aZAqKCxE7/+q5WQsbYSW8uMZNJyIMDCIRYffp291s4/7AtC+M+403OqtgkZ5ZpZFXC&#10;0rxaxeafX69+Ck2jaWmV0oJVWWw+ZI354eLHH8439Tyz2ZoVacYN6KRq5ps6NtdtW89nsyZZZyVt&#10;zlidVdC4ZLykLezy1SzldAO9l8XMtix/tmE8rTlLsqaBo59ko3mB/S+XWdL+vlw2WWsUsQlja/GX&#10;4+9C/M4uzul8xWm9zhM1DPodoyhpXsFNdVefaEuNO54fdFXmCWcNW7ZnCStnbLnMkwyfAZ6GWIOn&#10;uebsrsZnWc03q1qbCUw7sNN3d5v8dv+FG3kam3ZgGhUtYY7wtgaxHGGdTb2aw0nXvL6tv3B1YCX3&#10;xANvl7wU/+FRjC3a9UHbNdu2RgIHfRI6vgPmT6DNCYPAIcryyRqmR1wXWK5pQKtt2aGclGT9WV0e&#10;BQ6gSFzrE8sXrbPuvjMxPD2aTQ0ganZ2ap5np9s1rTM0fyNM0NkJxiLt9Aegi1arIjMCZSo8T9hJ&#10;WKSpb1jyd2NU7HINp2UfOWebdUZTGBbBpxDjhY7lBWKngUuNxeZXlsI00LuWIaYGJiYB8aWtSBhJ&#10;W3WGJralLAVb8h6dpei85k17nbHSEBuxyWH02D29v2laadTuFBw+K/L0Ki8K3OGrxWXBjXsK6+gK&#10;/9Q8NP3TisrYxGbk2R72vNfW9Luw8O9YF2XeAiEUeRmbYf+kooJp72wkYNnM2+1ii4Bs5guWPoDp&#10;OJMLHAgJNtaM/2saG1jcsdn8c0d5ZhrFLxWYPyKuK9gAd1wvsGGH91sW/RZaJdBVbLamITcvW8kg&#10;dzXPV2u4E8HHrdhHmLJljsYUA5SjUuMGYMphnx6h0RGEusLYYlAacKdDqGt1q/kQoeIIruX3glAk&#10;V1yLO0hMQEWrCJcgqfQmr4BFvR5GLyvlbZ5iRWNZ5PVf3fpTLsiObOVLAku5Gc2PVqi8EDZoN3JA&#10;jgWM5ylyrJhgRlhRdP4CnAduvkqxs5bmxecqNdqHGjxAy3P0L0BisVlmKdBXBlGW2IKzYfRHSFFy&#10;jmgWcBuPdBzSzWXPLaKzHol0fBu88H4Ioad9RzqObyvbdV6183lvyi3KiK5bTpN37MVvjt0BVZJO&#10;0FkJHOP3k45HIoW+iXRGJB2w+UEsjvnDSKQTBp70NW4EG0jhmnT8UMXiHjgdyddvn3N0IjRxTp9z&#10;ACRDnEpQjIRT33VkzuhZROXXGqc2JPoyInchbH8vQNX50ATUPlC9I0DVycsIqaOO4gJC8L50roHq&#10;ExidkIGIZSPPPB6/vw1xA6M4nRRNQO0DFehMMqrQXFCpM0JtKhXKifQs2Va3AyEOz/6KGZbUyBQJ&#10;i+hPaiTfpMP5EYFQUiiaTjTIM1WSGYEO9iSfNi2nQkG6ZFUFchzjUkh6RJGbkk6tYCkt1tGadQ8F&#10;/aRTTumLo+Co7kAi4UgBD64DRLUXCwYhqLHKx75+RLwyYUHr7b05HiZtp13pUVedOJxZtdJ9e78u&#10;cSAoTSv9W4tex6sujta0eyjoZ3onWukCWEpXDCzSrW97WHeRi9uX9ZjHw5IJBc9DgSjaHHh9nIs9&#10;F/7ifL+PAun1fddGKbEXoE4oENNw8vqWq6XmHRfICGw0FPR8/ZALptgPy4ynR4HWcXcFh2jMVLUL&#10;CqDaPZD+bFsUlDFTJT46qcddwhvKVHXgPWWqvUzVPaJRR+g5FFud+n0RJ3QhhIa85ClJJYjQjb4L&#10;nOrkYcJpH6dHNGqoaUEeOxZOfVD1BE6PEar3HglV5zcTUPtA1Rp1L/zTcv4o0p8buLKc4jrD8E/p&#10;PJP0d+LXMMUEDFPBaAQBGKW/nwevHHmuL6kr8BykzF1SGMKrrhgK/k8NeJIGnikNHJGCIx2RjssK&#10;h9KAwsAkEJ2aFY6IxTKyHV8aeBQFUNmUdadH381+DWTwuqoA7hH9l8jXO8ef2UOWJ5GratPvl+bx&#10;Wwz4TAXfTFWf1IjvYPr7+Frq7sOfi/8AAAD//wMAUEsDBBQABgAIAAAAIQC6JOIU4gAAAAoBAAAP&#10;AAAAZHJzL2Rvd25yZXYueG1sTI9Na8JAEIbvhf6HZQq96eaDWI3ZiEjbkxSqheJtTMYkmJ0N2TWJ&#10;/77bU3sc3of3fSbbTLoVA/W2MawgnAcgiAtTNlwp+Dq+zZYgrEMusTVMCu5kYZM/PmSYlmbkTxoO&#10;rhK+hG2KCmrnulRKW9Sk0c5NR+yzi+k1On/2lSx7HH25bmUUBAupsWG/UGNHu5qK6+GmFbyPOG7j&#10;8HXYXy+7++mYfHzvQ1Lq+WnarkE4mtwfDL/6Xh1y73Q2Ny6taBVEYeJJBbOX5QKEB1arJAZxVpDE&#10;UQAyz+T/F/IfAAAA//8DAFBLAQItABQABgAIAAAAIQC2gziS/gAAAOEBAAATAAAAAAAAAAAAAAAA&#10;AAAAAABbQ29udGVudF9UeXBlc10ueG1sUEsBAi0AFAAGAAgAAAAhADj9If/WAAAAlAEAAAsAAAAA&#10;AAAAAAAAAAAALwEAAF9yZWxzLy5yZWxzUEsBAi0AFAAGAAgAAAAhAN7c2YYBBgAAQDQAAA4AAAAA&#10;AAAAAAAAAAAALgIAAGRycy9lMm9Eb2MueG1sUEsBAi0AFAAGAAgAAAAhALok4hTiAAAACgEAAA8A&#10;AAAAAAAAAAAAAAAAWwgAAGRycy9kb3ducmV2LnhtbFBLBQYAAAAABAAEAPMAAABqCQAAAAA=&#10;">
            <o:lock v:ext="edit"/>
            <v:rect id="Rectangle 73" o:spid="_x0000_s1027" o:spt="1" style="position:absolute;left:1716;top:2189;height:1201;width:12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v:rect id="Rectangle 74" o:spid="_x0000_s1028" o:spt="1" style="position:absolute;left:4004;top:2189;height:1201;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path/>
              <v:fill focussize="0,0"/>
              <v:stroke/>
              <v:imagedata o:title=""/>
              <o:lock v:ext="edit"/>
              <v:textbox>
                <w:txbxContent>
                  <w:p>
                    <w:pPr>
                      <w:rPr>
                        <w:szCs w:val="21"/>
                      </w:rPr>
                    </w:pPr>
                    <w:r>
                      <w:rPr>
                        <w:rFonts w:hint="eastAsia"/>
                        <w:szCs w:val="21"/>
                      </w:rPr>
                      <w:t>按照检查要求进行现场核查</w:t>
                    </w:r>
                  </w:p>
                </w:txbxContent>
              </v:textbox>
            </v:rect>
            <v:line id="Line 75" o:spid="_x0000_s1029" o:spt="20" style="position:absolute;left:2924;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path arrowok="t"/>
              <v:fill focussize="0,0"/>
              <v:stroke endarrow="block"/>
              <v:imagedata o:title=""/>
              <o:lock v:ext="edit"/>
            </v:line>
            <v:rect id="Rectangle 76" o:spid="_x0000_s1030" o:spt="1" style="position:absolute;left:6273;top:2028;height:1362;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path/>
              <v:fill focussize="0,0"/>
              <v:stroke/>
              <v:imagedata o:title=""/>
              <o:lock v:ext="edit"/>
              <v:textbox>
                <w:txbxContent>
                  <w:p>
                    <w:r>
                      <w:rPr>
                        <w:rFonts w:hint="eastAsia"/>
                      </w:rPr>
                      <w:t>填写现场检查表或现场核查记录</w:t>
                    </w:r>
                  </w:p>
                </w:txbxContent>
              </v:textbox>
            </v:rect>
            <v:line id="Line 77" o:spid="_x0000_s1031" o:spt="20" style="position:absolute;left:5193;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path arrowok="t"/>
              <v:fill focussize="0,0"/>
              <v:stroke endarrow="block"/>
              <v:imagedata o:title=""/>
              <o:lock v:ext="edit"/>
            </v:line>
            <v:rect id="Rectangle 78" o:spid="_x0000_s1032" o:spt="1" style="position:absolute;left:8754;top:4954;height:580;width:16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path/>
              <v:fill focussize="0,0"/>
              <v:stroke/>
              <v:imagedata o:title=""/>
              <o:lock v:ext="edit"/>
              <v:textbox>
                <w:txbxContent>
                  <w:p>
                    <w:r>
                      <w:rPr>
                        <w:rFonts w:hint="eastAsia"/>
                      </w:rPr>
                      <w:t>现场核查合格</w:t>
                    </w:r>
                  </w:p>
                </w:txbxContent>
              </v:textbox>
            </v:rect>
            <v:rect id="Rectangle 80" o:spid="_x0000_s1033" o:spt="1" style="position:absolute;left:6436;top:5018;height:1404;width:12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path/>
              <v:fill focussize="0,0"/>
              <v:stroke/>
              <v:imagedata o:title=""/>
              <o:lock v:ext="edit"/>
              <v:textbox>
                <w:txbxContent>
                  <w:p>
                    <w:r>
                      <w:rPr>
                        <w:rFonts w:hint="eastAsia"/>
                      </w:rPr>
                      <w:t>现场核查不合格的限期整改</w:t>
                    </w:r>
                  </w:p>
                </w:txbxContent>
              </v:textbox>
            </v:rect>
            <v:rect id="Rectangle 81" o:spid="_x0000_s1034" o:spt="1" style="position:absolute;left:6273;top:7111;height:1023;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path/>
              <v:fill focussize="0,0"/>
              <v:stroke/>
              <v:imagedata o:title=""/>
              <o:lock v:ext="edit"/>
              <v:textbox>
                <w:txbxContent>
                  <w:p>
                    <w:r>
                      <w:rPr>
                        <w:rFonts w:hint="eastAsia"/>
                      </w:rPr>
                      <w:t>逾期不改或经整改仍不符合规定要求</w:t>
                    </w:r>
                  </w:p>
                </w:txbxContent>
              </v:textbox>
            </v:rect>
            <v:shape id="AutoShape 85" o:spid="_x0000_s1035" o:spt="32" type="#_x0000_t32" style="position:absolute;left:6912;top:3390;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path arrowok="t"/>
              <v:fill on="f" focussize="0,0"/>
              <v:stroke endarrow="block"/>
              <v:imagedata o:title=""/>
              <o:lock v:ext="edit"/>
            </v:shape>
            <v:shape id="AutoShape 86" o:spid="_x0000_s1036" o:spt="32" type="#_x0000_t32" style="position:absolute;left:1903;top:4315;flip:y;height:14;width:78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path arrowok="t"/>
              <v:fill on="f" focussize="0,0"/>
              <v:stroke/>
              <v:imagedata o:title=""/>
              <o:lock v:ext="edit"/>
            </v:shape>
            <v:shape id="AutoShape 87" o:spid="_x0000_s1037" o:spt="32" type="#_x0000_t32" style="position:absolute;left:9704;top:4315;height:62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path arrowok="t"/>
              <v:fill on="f" focussize="0,0"/>
              <v:stroke endarrow="block"/>
              <v:imagedata o:title=""/>
              <o:lock v:ext="edit"/>
            </v:shape>
            <v:shape id="AutoShape 88" o:spid="_x0000_s1038" o:spt="32" type="#_x0000_t32" style="position:absolute;left:7013;top:4329;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path arrowok="t"/>
              <v:fill on="f" focussize="0,0"/>
              <v:stroke endarrow="block"/>
              <v:imagedata o:title=""/>
              <o:lock v:ext="edit"/>
            </v:shape>
            <v:shape id="AutoShape 89" o:spid="_x0000_s1039" o:spt="32" type="#_x0000_t32" style="position:absolute;left:7012;top:6422;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path arrowok="t"/>
              <v:fill on="f" focussize="0,0"/>
              <v:stroke endarrow="block"/>
              <v:imagedata o:title=""/>
              <o:lock v:ext="edit"/>
            </v:shape>
            <v:shape id="AutoShape 90" o:spid="_x0000_s1040" o:spt="32" type="#_x0000_t32" style="position:absolute;left:1903;top:4329;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path arrowok="t"/>
              <v:fill on="f" focussize="0,0"/>
              <v:stroke endarrow="block"/>
              <v:imagedata o:title=""/>
              <o:lock v:ext="edit"/>
            </v:shape>
            <v:rect id="Rectangle 91" o:spid="_x0000_s1041" o:spt="1" style="position:absolute;left:704;top:5254;height:1168;width:22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path/>
              <v:fill focussize="0,0"/>
              <v:stroke/>
              <v:imagedata o:title=""/>
              <o:lock v:ext="edit"/>
              <v:textbox>
                <w:txbxContent>
                  <w:p>
                    <w:pPr>
                      <w:spacing w:line="360" w:lineRule="auto"/>
                      <w:jc w:val="left"/>
                      <w:rPr>
                        <w:szCs w:val="21"/>
                      </w:rPr>
                    </w:pPr>
                    <w:r>
                      <w:rPr>
                        <w:rFonts w:hint="eastAsia"/>
                        <w:szCs w:val="21"/>
                      </w:rPr>
                      <w:t>申请人隐瞒真实情况或者提供虚假材料</w:t>
                    </w:r>
                  </w:p>
                  <w:p>
                    <w:pPr>
                      <w:rPr>
                        <w:szCs w:val="21"/>
                      </w:rPr>
                    </w:pPr>
                  </w:p>
                </w:txbxContent>
              </v:textbox>
            </v:rect>
            <v:rect id="Rectangle 92" o:spid="_x0000_s1042" o:spt="1" style="position:absolute;left:3848;top:7111;height:799;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path/>
              <v:fill focussize="0,0"/>
              <v:stroke/>
              <v:imagedata o:title=""/>
              <o:lock v:ext="edit"/>
              <v:textbox>
                <w:txbxContent>
                  <w:p>
                    <w:r>
                      <w:rPr>
                        <w:rFonts w:hint="eastAsia"/>
                      </w:rPr>
                      <w:t>撤销许可并列入失信名单</w:t>
                    </w:r>
                  </w:p>
                </w:txbxContent>
              </v:textbox>
            </v:rect>
            <v:rect id="Rectangle 93" o:spid="_x0000_s1043" o:spt="1" style="position:absolute;left:3623;top:5254;height:1168;width:22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path/>
              <v:fill focussize="0,0"/>
              <v:stroke/>
              <v:imagedata o:title=""/>
              <o:lock v:ext="edit"/>
              <v:textbox>
                <w:txbxContent>
                  <w:p>
                    <w:pPr>
                      <w:rPr>
                        <w:szCs w:val="21"/>
                      </w:rPr>
                    </w:pPr>
                    <w:r>
                      <w:rPr>
                        <w:rFonts w:hint="eastAsia"/>
                        <w:szCs w:val="21"/>
                      </w:rPr>
                      <w:t>申请以欺骗、贿赂等不正当手段取得药品生产经营许可</w:t>
                    </w:r>
                  </w:p>
                </w:txbxContent>
              </v:textbox>
            </v:rect>
            <v:shape id="AutoShape 94" o:spid="_x0000_s1044" o:spt="32" type="#_x0000_t32" style="position:absolute;left:4746;top:4329;height:925;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path arrowok="t"/>
              <v:fill on="f" focussize="0,0"/>
              <v:stroke endarrow="block"/>
              <v:imagedata o:title=""/>
              <o:lock v:ext="edit"/>
            </v:shape>
            <v:shape id="AutoShape 95" o:spid="_x0000_s1045" o:spt="32" type="#_x0000_t32" style="position:absolute;left:5463;top:7533;flip:x;height:0;width:8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path arrowok="t"/>
              <v:fill on="f" focussize="0,0"/>
              <v:stroke endarrow="block"/>
              <v:imagedata o:title=""/>
              <o:lock v:ext="edit"/>
            </v:shape>
            <v:shape id="AutoShape 96" o:spid="_x0000_s1046" o:spt="32" type="#_x0000_t32" style="position:absolute;left:4746;top:6422;height:68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path arrowok="t"/>
              <v:fill on="f" focussize="0,0"/>
              <v:stroke endarrow="block"/>
              <v:imagedata o:title=""/>
              <o:lock v:ext="edit"/>
            </v:shape>
            <v:shape id="AutoShape 99" o:spid="_x0000_s1047" o:spt="32" type="#_x0000_t32" style="position:absolute;left:1903;top:6422;height:1111;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path arrowok="t"/>
              <v:fill on="f" focussize="0,0"/>
              <v:stroke/>
              <v:imagedata o:title=""/>
              <o:lock v:ext="edit"/>
            </v:shape>
            <v:shape id="AutoShape 100" o:spid="_x0000_s1048" o:spt="32" type="#_x0000_t32" style="position:absolute;left:1903;top:7533;height:0;width:194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path arrowok="t"/>
              <v:fill on="f" focussize="0,0"/>
              <v:stroke endarrow="block"/>
              <v:imagedata o:title=""/>
              <o:lock v:ext="edit"/>
            </v:shape>
          </v:group>
        </w:pic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ind w:firstLine="629" w:firstLineChars="196"/>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bookmarkStart w:id="0" w:name="_GoBack"/>
      <w:bookmarkEnd w:id="0"/>
      <w:r>
        <w:rPr>
          <w:rFonts w:ascii="仿宋_GB2312" w:hAnsi="宋体" w:eastAsia="仿宋_GB2312" w:cs="仿宋_GB2312"/>
          <w:b/>
          <w:color w:val="000000"/>
          <w:kern w:val="0"/>
          <w:sz w:val="32"/>
          <w:szCs w:val="32"/>
        </w:rPr>
        <w:pict>
          <v:rect id="Rectangle 16" o:spid="_x0000_s1049" o:spt="1" style="position:absolute;left:0pt;margin-left:257.95pt;margin-top:4pt;height:75.75pt;width:62.95pt;z-index:25166336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1050" o:spt="1" style="position:absolute;left:0pt;margin-left:144.4pt;margin-top:3.85pt;height:72.15pt;width:59.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1051" o:spt="1" style="position:absolute;left:0pt;margin-left:371.4pt;margin-top:3.85pt;height:70.2pt;width:60.1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1052" o:spt="1" style="position:absolute;left:0pt;margin-left:30pt;margin-top:8.85pt;height:60.05pt;width:60.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1068" o:spt="20" style="position:absolute;left:0pt;flip:y;margin-left:322.9pt;margin-top:5.2pt;height:0pt;width:48.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1067" o:spt="20" style="position:absolute;left:0pt;margin-left:345.45pt;margin-top:5.2pt;height:80.75pt;width:0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1066" o:spt="20" style="position:absolute;left:0pt;flip:y;margin-left:203.85pt;margin-top:5.2pt;height:0pt;width:5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1065" o:spt="20" style="position:absolute;left:0pt;flip:y;margin-left:90.4pt;margin-top:5.2pt;height:0pt;width:5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1053" o:spt="203" style="height:171.6pt;width:450pt;" coordsize="57150,21793" editas="canvas">
            <o:lock v:ext="edit"/>
            <v:shape id="画布 55" o:spid="_x0000_s1054" o:spt="75" type="#_x0000_t75" style="position:absolute;left:0;top:0;height:21793;width:57150;"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hdNAQAAJUXAAAOAAAAZHJzL2Uyb0RvYy54bWzsWNty2zYQfe9M/wGD91oE7+SYzmSUuu2M&#10;22aStO8QCUqckgALQKKcr+8CIGVKdR03TVzbYz5QvEAAds/u2cM9f7XvWrRjUjWCF5iceRgxXoqq&#10;4esC//bh8rsUI6Upr2grOCvwNVP41cW335wPfc58sRFtxSSCSbjKh77AG637fLFQ5YZ1VJ2JnnF4&#10;WQvZUQ23cr2oJB1g9q5d+J4XLwYhq16KkikFT9+4l/jCzl/XrNS/1rViGrUFhr1pe5b2vDLnxcU5&#10;zdeS9pumHLdBP2MXHW04LHqY6g3VFG1l87epuqaUQolan5WiW4i6bkpmbQBriHdizZLyHVXWmBK8&#10;M20Qrr7gvKu12TcXl03bgjcWMHtunpnfAfBh8HDoAR3VH3BS/2399xvaM2uWystfdm8laqoCJxhx&#10;2kGMXDWcoSgx2JiFYcSSv5Xjneph+Gr4WVQwkm61sG7f17IzZoBD0b7AQUriIMLoGkIyS8I0cjiz&#10;vUYlvA6zIPMCCIcSBpiBxm6aT5P0UukfmOiQuShwC9uxi9DdldJu6DTkyHU0bzkaCpxFfmT/oETb&#10;VMavZpiS69WylWhHTSjaY1z3aJgUW165RVpu4VC5sdn5YiWqa+sKgMlC8kDYEHCWA+cdpBTl65ah&#10;2GbPiNB7u0Wwsr8S5R8KcbHcwDD2WkoxbBitIGSItffoD+bmXoj6hJgEcZB6aRa71Wk+YRqnUeqN&#10;kIZxFEafQFWCHXehegTKEXaX9rgNuy8Af9do4MO26QoM5sAxrnNLLOj9am8ThwRmkHGlCw8kheM5&#10;4GW42Aj5EaMBOK7A6s8tlQyj9icOgGQkDMFl2t6EUeLDjZy/Wc3fUF7CVAXWGLnLpXZEuu1ls97A&#10;SsQ6lIvXkJZ1Y1PlZldjLAONPFTMkilmLaHENvzG6LsXoaC6bfofJ7NGaiFB7HvJyC1+miTpWEQO&#10;gUgyAvlvuWVC71ExC801bdrveYX0dQ8kqmVjExpipMAdqyA6GNRyc/X4eMifMJ3xkD+FP1SKr81D&#10;QRiRFLjHlJY0C8LwpLRkcQSyxKGfJpGpMs6J/xACz4mGwgmHFxqayRpg57muiQ9kfV9dc0ND9ur3&#10;E0Ly0zTzIxeR5DZCCtIkMO8fsdh50pQUHuN7yIL74nusW03Jd7rViFSTUTONYzStgTHKwsAJoMcm&#10;W580kuDd2RdIbKn93wiGOZLwEeAbcQVoQUHwQBHcDmUMRQR0151F4v/5AnnSUMYTlDOdEE/16QF0&#10;gkM+yfzwVB9maZxAYts8Br72yKcS+TlJhENKvUiEuUQ4bn0Q7+Cmz6ghUeB7MXCXKyKgQV+Y50E7&#10;JdDwPO2UEG/ezPranyhhGnjmu8QEQOaRxPUQblREmkJzZBQSGUki+Ji9s/o8J/45lICnwj+2HQut&#10;WNugHPvUprk8v7edlZtu+sVfAAAA//8DAFBLAwQUAAYACAAAACEAThrzDtsAAAAFAQAADwAAAGRy&#10;cy9kb3ducmV2LnhtbEyPQUvDQBCF74L/YRnBm901FdGYTSlCPIR4sC3icZsds8HsbMhu2/jvHb3Y&#10;y8DjDe99r1jNfhBHnGIfSMPtQoFAaoPtqdOw21Y3DyBiMmTNEAg1fGOEVXl5UZjchhO94XGTOsEh&#10;FHOjwaU05lLG1qE3cRFGJPY+w+RNYjl10k7mxOF+kJlS99KbnrjBmRGfHbZfm4PnktembuT2JdZV&#10;fHfNug67rPrQ+vpqXj+BSDin/2f4xWd0KJlpHw5koxg08JD0d9l7VIrlXsPybpmBLAt5Tl/+AAAA&#10;//8DAFBLAQItABQABgAIAAAAIQC2gziS/gAAAOEBAAATAAAAAAAAAAAAAAAAAAAAAABbQ29udGVu&#10;dF9UeXBlc10ueG1sUEsBAi0AFAAGAAgAAAAhADj9If/WAAAAlAEAAAsAAAAAAAAAAAAAAAAALwEA&#10;AF9yZWxzLy5yZWxzUEsBAi0AFAAGAAgAAAAhALOniF00BAAAlRcAAA4AAAAAAAAAAAAAAAAALgIA&#10;AGRycy9lMm9Eb2MueG1sUEsBAi0AFAAGAAgAAAAhAE4a8w7bAAAABQEAAA8AAAAAAAAAAAAAAAAA&#10;jgYAAGRycy9kb3ducmV2LnhtbFBLBQYAAAAABAAEAPMAAACWBwAAAAA=&#10;">
              <v:fill on="f" focussize="0,0"/>
              <v:stroke on="f" joinstyle="miter"/>
              <v:imagedata o:title=""/>
              <o:lock v:ext="edit" aspectratio="t"/>
            </v:shape>
            <v:line id="Line 57" o:spid="_x0000_s1055"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1056"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1057"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1058"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1059"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1060"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1061"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1062"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1063"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1064"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附件三：</w:t>
      </w:r>
    </w:p>
    <w:p>
      <w:pPr>
        <w:jc w:val="center"/>
        <w:rPr>
          <w:rFonts w:ascii="黑体" w:eastAsia="黑体"/>
          <w:sz w:val="36"/>
          <w:szCs w:val="36"/>
        </w:rPr>
      </w:pPr>
      <w:r>
        <w:rPr>
          <w:rFonts w:hint="eastAsia" w:ascii="黑体" w:eastAsia="黑体"/>
          <w:sz w:val="36"/>
          <w:szCs w:val="36"/>
        </w:rPr>
        <w:t>日常监督现场检查表</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7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被检查单位</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4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法定代表人</w:t>
            </w:r>
          </w:p>
        </w:tc>
        <w:tc>
          <w:tcPr>
            <w:tcW w:w="1440" w:type="dxa"/>
            <w:vAlign w:val="center"/>
          </w:tcPr>
          <w:p>
            <w:pPr>
              <w:jc w:val="center"/>
              <w:rPr>
                <w:rFonts w:ascii="仿宋_GB2312" w:eastAsia="仿宋_GB2312"/>
                <w:sz w:val="28"/>
                <w:szCs w:val="28"/>
              </w:rPr>
            </w:pPr>
          </w:p>
        </w:tc>
        <w:tc>
          <w:tcPr>
            <w:tcW w:w="12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440" w:type="dxa"/>
            <w:vAlign w:val="center"/>
          </w:tcPr>
          <w:p>
            <w:pPr>
              <w:jc w:val="center"/>
              <w:rPr>
                <w:rFonts w:ascii="仿宋_GB2312" w:eastAsia="仿宋_GB2312"/>
                <w:sz w:val="28"/>
                <w:szCs w:val="28"/>
              </w:rPr>
            </w:pPr>
          </w:p>
        </w:tc>
        <w:tc>
          <w:tcPr>
            <w:tcW w:w="779"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2461"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0"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监督检查机构</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监督检查类别</w:t>
            </w:r>
          </w:p>
        </w:tc>
        <w:tc>
          <w:tcPr>
            <w:tcW w:w="3240" w:type="dxa"/>
            <w:gridSpan w:val="2"/>
            <w:vAlign w:val="center"/>
          </w:tcPr>
          <w:p>
            <w:pPr>
              <w:rPr>
                <w:rFonts w:ascii="仿宋_GB2312" w:eastAsia="仿宋_GB2312"/>
                <w:sz w:val="28"/>
                <w:szCs w:val="28"/>
              </w:rPr>
            </w:pPr>
            <w:r>
              <w:rPr>
                <w:rFonts w:hint="eastAsia" w:ascii="仿宋_GB2312" w:eastAsia="仿宋_GB2312"/>
                <w:sz w:val="28"/>
                <w:szCs w:val="28"/>
              </w:rPr>
              <w:t>□日常检查</w:t>
            </w:r>
          </w:p>
          <w:p>
            <w:pPr>
              <w:rPr>
                <w:rFonts w:ascii="仿宋_GB2312" w:eastAsia="仿宋_GB2312"/>
                <w:sz w:val="28"/>
                <w:szCs w:val="28"/>
              </w:rPr>
            </w:pPr>
            <w:r>
              <w:rPr>
                <w:rFonts w:hint="eastAsia" w:ascii="仿宋_GB2312" w:eastAsia="仿宋_GB2312"/>
                <w:sz w:val="28"/>
                <w:szCs w:val="28"/>
              </w:rPr>
              <w:t>□飞行检查</w:t>
            </w:r>
          </w:p>
          <w:p>
            <w:pPr>
              <w:rPr>
                <w:rFonts w:ascii="仿宋_GB2312" w:eastAsia="仿宋_GB2312"/>
                <w:sz w:val="28"/>
                <w:szCs w:val="28"/>
              </w:rPr>
            </w:pPr>
            <w:r>
              <w:rPr>
                <w:rFonts w:hint="eastAsia" w:ascii="仿宋_GB2312"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7"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内  容</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3"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标 准</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组织检查单位</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1" w:hRule="atLeast"/>
        </w:trPr>
        <w:tc>
          <w:tcPr>
            <w:tcW w:w="9360" w:type="dxa"/>
            <w:gridSpan w:val="6"/>
            <w:vAlign w:val="center"/>
          </w:tcPr>
          <w:p>
            <w:pPr>
              <w:rPr>
                <w:rFonts w:ascii="仿宋_GB2312" w:eastAsia="仿宋_GB2312"/>
                <w:sz w:val="28"/>
                <w:szCs w:val="28"/>
              </w:rPr>
            </w:pPr>
            <w:r>
              <w:rPr>
                <w:rFonts w:hint="eastAsia" w:ascii="仿宋_GB2312"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3"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检查情况：</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9360" w:type="dxa"/>
            <w:gridSpan w:val="6"/>
          </w:tcPr>
          <w:p>
            <w:pPr>
              <w:rPr>
                <w:rFonts w:ascii="仿宋_GB2312" w:eastAsia="仿宋_GB2312"/>
                <w:sz w:val="28"/>
                <w:szCs w:val="28"/>
              </w:rPr>
            </w:pPr>
            <w:r>
              <w:rPr>
                <w:rFonts w:hint="eastAsia" w:ascii="仿宋_GB2312" w:eastAsia="仿宋_GB2312"/>
                <w:sz w:val="28"/>
                <w:szCs w:val="28"/>
              </w:rPr>
              <w:t>被检查单位负责人签名：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bl>
    <w:p>
      <w:pPr>
        <w:rPr>
          <w:rFonts w:ascii="仿宋_GB2312" w:eastAsia="仿宋_GB2312"/>
          <w:bCs/>
          <w:sz w:val="28"/>
          <w:szCs w:val="28"/>
        </w:rPr>
      </w:pPr>
      <w:r>
        <w:rPr>
          <w:rFonts w:hint="eastAsia" w:ascii="仿宋_GB2312" w:eastAsia="仿宋_GB2312"/>
          <w:bCs/>
          <w:sz w:val="28"/>
          <w:szCs w:val="28"/>
        </w:rPr>
        <w:t>注：1、本表填写不够可附页。</w:t>
      </w:r>
    </w:p>
    <w:p>
      <w:pPr>
        <w:ind w:firstLine="562" w:firstLineChars="201"/>
        <w:rPr>
          <w:rFonts w:ascii="仿宋_GB2312" w:eastAsia="仿宋_GB2312"/>
          <w:bCs/>
          <w:sz w:val="28"/>
          <w:szCs w:val="28"/>
        </w:rPr>
      </w:pPr>
      <w:r>
        <w:rPr>
          <w:rFonts w:hint="eastAsia" w:ascii="仿宋_GB2312" w:eastAsia="仿宋_GB2312"/>
          <w:bCs/>
          <w:sz w:val="28"/>
          <w:szCs w:val="28"/>
        </w:rPr>
        <w:t>2、相关取证材料附于表后。</w:t>
      </w:r>
    </w:p>
    <w:p>
      <w:pPr>
        <w:ind w:firstLine="562" w:firstLineChars="201"/>
        <w:rPr>
          <w:rFonts w:ascii="仿宋_GB2312" w:eastAsia="仿宋_GB2312"/>
          <w:sz w:val="28"/>
          <w:szCs w:val="28"/>
        </w:rPr>
      </w:pPr>
      <w:r>
        <w:rPr>
          <w:rFonts w:hint="eastAsia" w:ascii="仿宋_GB2312" w:eastAsia="仿宋_GB2312"/>
          <w:bCs/>
          <w:sz w:val="28"/>
          <w:szCs w:val="28"/>
        </w:rPr>
        <w:t>3、签字复印件无效。</w:t>
      </w:r>
    </w:p>
    <w:sectPr>
      <w:footerReference r:id="rId3" w:type="default"/>
      <w:pgSz w:w="11906" w:h="16838"/>
      <w:pgMar w:top="1440" w:right="1021" w:bottom="1440"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21F7C"/>
    <w:multiLevelType w:val="multilevel"/>
    <w:tmpl w:val="7F621F7C"/>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313A"/>
    <w:rsid w:val="00016A05"/>
    <w:rsid w:val="0003659D"/>
    <w:rsid w:val="00037C5D"/>
    <w:rsid w:val="00037E9F"/>
    <w:rsid w:val="00086315"/>
    <w:rsid w:val="000932CC"/>
    <w:rsid w:val="000A502C"/>
    <w:rsid w:val="000C2921"/>
    <w:rsid w:val="000F1FF0"/>
    <w:rsid w:val="000F53B3"/>
    <w:rsid w:val="000F68C9"/>
    <w:rsid w:val="001018AB"/>
    <w:rsid w:val="0013000D"/>
    <w:rsid w:val="00130641"/>
    <w:rsid w:val="00136974"/>
    <w:rsid w:val="001533E1"/>
    <w:rsid w:val="00197B70"/>
    <w:rsid w:val="001E74A0"/>
    <w:rsid w:val="001F2BA3"/>
    <w:rsid w:val="00200FE4"/>
    <w:rsid w:val="00203FB4"/>
    <w:rsid w:val="002277C7"/>
    <w:rsid w:val="00233069"/>
    <w:rsid w:val="00255F5B"/>
    <w:rsid w:val="0026703F"/>
    <w:rsid w:val="00286F5F"/>
    <w:rsid w:val="002874E1"/>
    <w:rsid w:val="00290AFB"/>
    <w:rsid w:val="002A5385"/>
    <w:rsid w:val="002D3DBF"/>
    <w:rsid w:val="002D7C02"/>
    <w:rsid w:val="002D7CB4"/>
    <w:rsid w:val="002E2AFC"/>
    <w:rsid w:val="00327944"/>
    <w:rsid w:val="00330CFB"/>
    <w:rsid w:val="00357C56"/>
    <w:rsid w:val="004002A6"/>
    <w:rsid w:val="00464894"/>
    <w:rsid w:val="00473AE7"/>
    <w:rsid w:val="00482B13"/>
    <w:rsid w:val="004931A3"/>
    <w:rsid w:val="004C00B7"/>
    <w:rsid w:val="004E2FBB"/>
    <w:rsid w:val="00505CEC"/>
    <w:rsid w:val="00570BF8"/>
    <w:rsid w:val="00591098"/>
    <w:rsid w:val="005A6963"/>
    <w:rsid w:val="00603D86"/>
    <w:rsid w:val="00604053"/>
    <w:rsid w:val="0065119E"/>
    <w:rsid w:val="00660BE1"/>
    <w:rsid w:val="0069578E"/>
    <w:rsid w:val="006D59A8"/>
    <w:rsid w:val="006D7FDD"/>
    <w:rsid w:val="00707953"/>
    <w:rsid w:val="00727C6F"/>
    <w:rsid w:val="0075313A"/>
    <w:rsid w:val="00767E86"/>
    <w:rsid w:val="00772570"/>
    <w:rsid w:val="007F1168"/>
    <w:rsid w:val="00804533"/>
    <w:rsid w:val="00807B12"/>
    <w:rsid w:val="00847664"/>
    <w:rsid w:val="008C652C"/>
    <w:rsid w:val="008C707E"/>
    <w:rsid w:val="008D1869"/>
    <w:rsid w:val="00961553"/>
    <w:rsid w:val="00971D4E"/>
    <w:rsid w:val="009739E2"/>
    <w:rsid w:val="009C37AF"/>
    <w:rsid w:val="00A146D9"/>
    <w:rsid w:val="00A35EC5"/>
    <w:rsid w:val="00A4394C"/>
    <w:rsid w:val="00A51C06"/>
    <w:rsid w:val="00A760B3"/>
    <w:rsid w:val="00A84514"/>
    <w:rsid w:val="00AA01FE"/>
    <w:rsid w:val="00AC00EF"/>
    <w:rsid w:val="00AC770F"/>
    <w:rsid w:val="00AE78DD"/>
    <w:rsid w:val="00B45B1C"/>
    <w:rsid w:val="00B55A8E"/>
    <w:rsid w:val="00B65C0B"/>
    <w:rsid w:val="00B956E7"/>
    <w:rsid w:val="00BC3901"/>
    <w:rsid w:val="00BE7E93"/>
    <w:rsid w:val="00BF43F7"/>
    <w:rsid w:val="00C01A68"/>
    <w:rsid w:val="00C201D7"/>
    <w:rsid w:val="00C229C9"/>
    <w:rsid w:val="00C254A9"/>
    <w:rsid w:val="00C40275"/>
    <w:rsid w:val="00C44879"/>
    <w:rsid w:val="00C50A3F"/>
    <w:rsid w:val="00C8425A"/>
    <w:rsid w:val="00CA0CA5"/>
    <w:rsid w:val="00CA266C"/>
    <w:rsid w:val="00CB04F4"/>
    <w:rsid w:val="00CC0397"/>
    <w:rsid w:val="00CC4E34"/>
    <w:rsid w:val="00CC5B41"/>
    <w:rsid w:val="00CD6991"/>
    <w:rsid w:val="00CF3402"/>
    <w:rsid w:val="00CF7204"/>
    <w:rsid w:val="00D1133B"/>
    <w:rsid w:val="00D159E4"/>
    <w:rsid w:val="00D20366"/>
    <w:rsid w:val="00D415EA"/>
    <w:rsid w:val="00D52432"/>
    <w:rsid w:val="00D643DB"/>
    <w:rsid w:val="00D67129"/>
    <w:rsid w:val="00DC579A"/>
    <w:rsid w:val="00DE42E1"/>
    <w:rsid w:val="00E10920"/>
    <w:rsid w:val="00E22D92"/>
    <w:rsid w:val="00E30504"/>
    <w:rsid w:val="00E365BF"/>
    <w:rsid w:val="00E446B4"/>
    <w:rsid w:val="00E67695"/>
    <w:rsid w:val="00EB0EA9"/>
    <w:rsid w:val="00EE3552"/>
    <w:rsid w:val="00F12B6F"/>
    <w:rsid w:val="00F2382F"/>
    <w:rsid w:val="00F90D58"/>
    <w:rsid w:val="00F93351"/>
    <w:rsid w:val="00F97C97"/>
    <w:rsid w:val="00FA0ADA"/>
    <w:rsid w:val="00FA1302"/>
    <w:rsid w:val="00FD6BD7"/>
    <w:rsid w:val="033C55C6"/>
    <w:rsid w:val="052B254A"/>
    <w:rsid w:val="083737F9"/>
    <w:rsid w:val="0EDE1FF6"/>
    <w:rsid w:val="15FF7DA6"/>
    <w:rsid w:val="1A0762D1"/>
    <w:rsid w:val="23030F02"/>
    <w:rsid w:val="29B423EA"/>
    <w:rsid w:val="2E0C70AB"/>
    <w:rsid w:val="38F67ABC"/>
    <w:rsid w:val="3AF07EA8"/>
    <w:rsid w:val="42894B24"/>
    <w:rsid w:val="48002AC8"/>
    <w:rsid w:val="4A065CDA"/>
    <w:rsid w:val="4E1D05C0"/>
    <w:rsid w:val="4E6A5824"/>
    <w:rsid w:val="5B3E2005"/>
    <w:rsid w:val="61580F65"/>
    <w:rsid w:val="64512901"/>
    <w:rsid w:val="673729D7"/>
    <w:rsid w:val="6A7B7D95"/>
    <w:rsid w:val="6FA17135"/>
    <w:rsid w:val="75D6606D"/>
    <w:rsid w:val="772459CC"/>
    <w:rsid w:val="7BE856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85"/>
        <o:r id="V:Rule2" type="connector" idref="#AutoShape 86"/>
        <o:r id="V:Rule3" type="connector" idref="#AutoShape 87"/>
        <o:r id="V:Rule4" type="connector" idref="#AutoShape 88"/>
        <o:r id="V:Rule5" type="connector" idref="#AutoShape 89"/>
        <o:r id="V:Rule6" type="connector" idref="#AutoShape 90"/>
        <o:r id="V:Rule7" type="connector" idref="#AutoShape 94"/>
        <o:r id="V:Rule8" type="connector" idref="#AutoShape 95"/>
        <o:r id="V:Rule9" type="connector" idref="#AutoShape 96"/>
        <o:r id="V:Rule10" type="connector" idref="#AutoShape 99"/>
        <o:r id="V:Rule11" type="connector" idref="#AutoShape 10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Body Text"/>
    <w:basedOn w:val="1"/>
    <w:qFormat/>
    <w:uiPriority w:val="0"/>
    <w:pPr>
      <w:jc w:val="center"/>
    </w:pPr>
    <w:rPr>
      <w:b/>
      <w:bCs/>
      <w:sz w:val="48"/>
    </w:rPr>
  </w:style>
  <w:style w:type="paragraph" w:styleId="4">
    <w:name w:val="Date"/>
    <w:basedOn w:val="1"/>
    <w:next w:val="1"/>
    <w:link w:val="27"/>
    <w:qFormat/>
    <w:uiPriority w:val="0"/>
    <w:pPr>
      <w:ind w:left="100" w:leftChars="2500"/>
    </w:pPr>
    <w:rPr>
      <w:rFonts w:ascii="Times New Roman" w:hAnsi="Times New Roman" w:eastAsia="宋体" w:cs="Times New Roman"/>
      <w:szCs w:val="24"/>
    </w:rPr>
  </w:style>
  <w:style w:type="paragraph" w:styleId="5">
    <w:name w:val="Balloon Text"/>
    <w:basedOn w:val="1"/>
    <w:link w:val="30"/>
    <w:semiHidden/>
    <w:qFormat/>
    <w:uiPriority w:val="99"/>
    <w:pPr>
      <w:spacing w:line="360" w:lineRule="auto"/>
    </w:pPr>
    <w:rPr>
      <w:rFonts w:ascii="Calibri" w:hAnsi="Calibri" w:cs="Calibri"/>
      <w:sz w:val="16"/>
      <w:szCs w:val="16"/>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9"/>
    <w:semiHidden/>
    <w:qFormat/>
    <w:uiPriority w:val="99"/>
    <w:pPr>
      <w:spacing w:line="360" w:lineRule="auto"/>
    </w:pPr>
    <w:rPr>
      <w:rFonts w:ascii="Calibri" w:hAnsi="Calibri" w:cs="Calibri"/>
      <w:b/>
      <w:bCs/>
      <w:szCs w:val="21"/>
    </w:rPr>
  </w:style>
  <w:style w:type="character" w:styleId="12">
    <w:name w:val="Strong"/>
    <w:basedOn w:val="11"/>
    <w:qFormat/>
    <w:uiPriority w:val="22"/>
    <w:rPr>
      <w:rFonts w:ascii="Verdana" w:hAnsi="Verdana" w:eastAsia="仿宋_GB2312"/>
      <w:b/>
      <w:bCs/>
      <w:kern w:val="0"/>
      <w:sz w:val="24"/>
      <w:szCs w:val="20"/>
      <w:lang w:eastAsia="en-US"/>
    </w:rPr>
  </w:style>
  <w:style w:type="character" w:styleId="13">
    <w:name w:val="page number"/>
    <w:basedOn w:val="11"/>
    <w:qFormat/>
    <w:uiPriority w:val="0"/>
  </w:style>
  <w:style w:type="character" w:styleId="14">
    <w:name w:val="FollowedHyperlink"/>
    <w:basedOn w:val="11"/>
    <w:semiHidden/>
    <w:unhideWhenUsed/>
    <w:qFormat/>
    <w:uiPriority w:val="99"/>
    <w:rPr>
      <w:rFonts w:ascii="微软雅黑" w:hAnsi="微软雅黑" w:eastAsia="微软雅黑" w:cs="微软雅黑"/>
      <w:color w:val="3D3D3D"/>
      <w:sz w:val="21"/>
      <w:szCs w:val="21"/>
      <w:u w:val="none"/>
    </w:rPr>
  </w:style>
  <w:style w:type="character" w:styleId="15">
    <w:name w:val="Emphasis"/>
    <w:basedOn w:val="11"/>
    <w:qFormat/>
    <w:uiPriority w:val="20"/>
  </w:style>
  <w:style w:type="character" w:styleId="16">
    <w:name w:val="HTML Definition"/>
    <w:basedOn w:val="11"/>
    <w:semiHidden/>
    <w:unhideWhenUsed/>
    <w:qFormat/>
    <w:uiPriority w:val="99"/>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rFonts w:hint="eastAsia" w:ascii="微软雅黑" w:hAnsi="微软雅黑" w:eastAsia="微软雅黑" w:cs="微软雅黑"/>
      <w:color w:val="3D3D3D"/>
      <w:sz w:val="21"/>
      <w:szCs w:val="21"/>
      <w:u w:val="none"/>
    </w:rPr>
  </w:style>
  <w:style w:type="character" w:styleId="20">
    <w:name w:val="HTML Code"/>
    <w:basedOn w:val="11"/>
    <w:semiHidden/>
    <w:unhideWhenUsed/>
    <w:qFormat/>
    <w:uiPriority w:val="99"/>
    <w:rPr>
      <w:rFonts w:ascii="Courier New" w:hAnsi="Courier New"/>
      <w:sz w:val="20"/>
    </w:rPr>
  </w:style>
  <w:style w:type="character" w:styleId="21">
    <w:name w:val="annotation reference"/>
    <w:basedOn w:val="11"/>
    <w:semiHidden/>
    <w:qFormat/>
    <w:uiPriority w:val="99"/>
    <w:rPr>
      <w:sz w:val="21"/>
      <w:szCs w:val="21"/>
    </w:rPr>
  </w:style>
  <w:style w:type="character" w:styleId="22">
    <w:name w:val="HTML Cite"/>
    <w:basedOn w:val="11"/>
    <w:semiHidden/>
    <w:unhideWhenUsed/>
    <w:qFormat/>
    <w:uiPriority w:val="99"/>
  </w:style>
  <w:style w:type="character" w:customStyle="1" w:styleId="23">
    <w:name w:val="页眉 Char"/>
    <w:basedOn w:val="11"/>
    <w:link w:val="7"/>
    <w:qFormat/>
    <w:uiPriority w:val="0"/>
    <w:rPr>
      <w:sz w:val="18"/>
      <w:szCs w:val="18"/>
    </w:rPr>
  </w:style>
  <w:style w:type="character" w:customStyle="1" w:styleId="24">
    <w:name w:val="页脚 Char"/>
    <w:basedOn w:val="11"/>
    <w:link w:val="6"/>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7">
    <w:name w:val="日期 Char"/>
    <w:basedOn w:val="11"/>
    <w:link w:val="4"/>
    <w:qFormat/>
    <w:uiPriority w:val="0"/>
    <w:rPr>
      <w:rFonts w:ascii="Times New Roman" w:hAnsi="Times New Roman" w:eastAsia="宋体" w:cs="Times New Roman"/>
      <w:szCs w:val="24"/>
    </w:rPr>
  </w:style>
  <w:style w:type="character" w:customStyle="1" w:styleId="28">
    <w:name w:val="批注文字 Char"/>
    <w:basedOn w:val="11"/>
    <w:semiHidden/>
    <w:qFormat/>
    <w:uiPriority w:val="99"/>
    <w:rPr>
      <w:rFonts w:ascii="Calibri" w:hAnsi="Calibri" w:cs="Calibri"/>
      <w:szCs w:val="21"/>
    </w:rPr>
  </w:style>
  <w:style w:type="character" w:customStyle="1" w:styleId="29">
    <w:name w:val="批注主题 Char"/>
    <w:basedOn w:val="28"/>
    <w:link w:val="9"/>
    <w:semiHidden/>
    <w:qFormat/>
    <w:uiPriority w:val="99"/>
    <w:rPr>
      <w:rFonts w:ascii="Calibri" w:hAnsi="Calibri" w:cs="Calibri"/>
      <w:b/>
      <w:bCs/>
      <w:szCs w:val="21"/>
    </w:rPr>
  </w:style>
  <w:style w:type="character" w:customStyle="1" w:styleId="30">
    <w:name w:val="批注框文本 Char"/>
    <w:basedOn w:val="11"/>
    <w:link w:val="5"/>
    <w:semiHidden/>
    <w:qFormat/>
    <w:uiPriority w:val="99"/>
    <w:rPr>
      <w:rFonts w:ascii="Calibri" w:hAnsi="Calibri" w:cs="Calibri"/>
      <w:sz w:val="16"/>
      <w:szCs w:val="16"/>
    </w:rPr>
  </w:style>
  <w:style w:type="character" w:customStyle="1" w:styleId="31">
    <w:name w:val="批注框文本 Char1"/>
    <w:basedOn w:val="11"/>
    <w:semiHidden/>
    <w:qFormat/>
    <w:uiPriority w:val="99"/>
    <w:rPr>
      <w:sz w:val="18"/>
      <w:szCs w:val="18"/>
    </w:rPr>
  </w:style>
  <w:style w:type="character" w:customStyle="1" w:styleId="32">
    <w:name w:val="批注文字 Char1"/>
    <w:basedOn w:val="11"/>
    <w:link w:val="2"/>
    <w:semiHidden/>
    <w:qFormat/>
    <w:uiPriority w:val="99"/>
  </w:style>
  <w:style w:type="character" w:customStyle="1" w:styleId="33">
    <w:name w:val="批注主题 Char1"/>
    <w:basedOn w:val="32"/>
    <w:semiHidden/>
    <w:qFormat/>
    <w:uiPriority w:val="99"/>
    <w:rPr>
      <w:b/>
      <w:bCs/>
    </w:rPr>
  </w:style>
  <w:style w:type="character" w:customStyle="1" w:styleId="34">
    <w:name w:val="hover37"/>
    <w:basedOn w:val="11"/>
    <w:qFormat/>
    <w:uiPriority w:val="0"/>
    <w:rPr>
      <w:color w:val="0086CD"/>
      <w:u w:val="none"/>
      <w:bdr w:val="single" w:color="0086CD" w:sz="6" w:space="0"/>
    </w:rPr>
  </w:style>
  <w:style w:type="character" w:customStyle="1" w:styleId="35">
    <w:name w:val="layui-this"/>
    <w:basedOn w:val="11"/>
    <w:qFormat/>
    <w:uiPriority w:val="0"/>
    <w:rPr>
      <w:bdr w:val="single" w:color="EEEEEE" w:sz="6" w:space="0"/>
      <w:shd w:val="clear" w:color="auto" w:fill="FFFFFF"/>
    </w:rPr>
  </w:style>
  <w:style w:type="character" w:customStyle="1" w:styleId="36">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Info spid="_x0000_s1049"/>
    <customShpInfo spid="_x0000_s1050"/>
    <customShpInfo spid="_x0000_s1051"/>
    <customShpInfo spid="_x0000_s1052"/>
    <customShpInfo spid="_x0000_s1068"/>
    <customShpInfo spid="_x0000_s1067"/>
    <customShpInfo spid="_x0000_s1066"/>
    <customShpInfo spid="_x0000_s1065"/>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273</Words>
  <Characters>1559</Characters>
  <Lines>12</Lines>
  <Paragraphs>3</Paragraphs>
  <TotalTime>14</TotalTime>
  <ScaleCrop>false</ScaleCrop>
  <LinksUpToDate>false</LinksUpToDate>
  <CharactersWithSpaces>1829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2021-04-26T11:08:00Z</dcterms:created>
  <dc:creator>许强</dc:creator>
  <cp:lastModifiedBy>scw</cp:lastModifiedBy>
  <cp:lastPrinted>2019-08-16T09:06:00Z</cp:lastPrinted>
  <dcterms:modified xsi:type="dcterms:W3CDTF">2021-05-27T17:39:03Z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