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ocument.xml" ContentType="application/vnd.openxmlformats-officedocument.wordprocessingml.document.main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theme/themeOverride1.xml" ContentType="application/vnd.openxmlformats-officedocument.themeOverride+xml"/>
  <Override PartName="/word/theme/themeOverride2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68" w:line="400" w:lineRule="exact"/>
        <w:rPr>
          <w:rFonts w:ascii="黑体" w:hAnsi="黑体" w:eastAsia="黑体"/>
          <w:color w:val="000000" w:themeColor="text1"/>
          <w:sz w:val="32"/>
          <w:szCs w:val="32"/>
        </w:rPr>
      </w:pPr>
    </w:p>
    <w:p>
      <w:pPr>
        <w:spacing w:before="468" w:line="400" w:lineRule="exact"/>
        <w:jc w:val="center"/>
        <w:rPr>
          <w:rFonts w:ascii="黑体" w:hAnsi="黑体" w:eastAsia="黑体"/>
          <w:color w:val="000000" w:themeColor="text1"/>
          <w:sz w:val="32"/>
          <w:szCs w:val="32"/>
        </w:rPr>
      </w:pPr>
    </w:p>
    <w:p>
      <w:pPr>
        <w:spacing w:before="468" w:line="1200" w:lineRule="exact"/>
        <w:jc w:val="center"/>
        <w:rPr>
          <w:rFonts w:ascii="方正小标宋简体" w:eastAsia="方正小标宋简体"/>
          <w:color w:val="000000" w:themeColor="text1"/>
          <w:sz w:val="72"/>
          <w:szCs w:val="72"/>
        </w:rPr>
      </w:pPr>
      <w:r>
        <w:rPr>
          <w:rFonts w:hint="eastAsia" w:ascii="方正小标宋简体" w:eastAsia="方正小标宋简体"/>
          <w:color w:val="000000" w:themeColor="text1"/>
          <w:sz w:val="72"/>
          <w:szCs w:val="72"/>
        </w:rPr>
        <w:t>天津市药品监督管理</w:t>
      </w:r>
    </w:p>
    <w:p>
      <w:pPr>
        <w:jc w:val="center"/>
        <w:rPr>
          <w:rFonts w:ascii="方正小标宋简体" w:eastAsia="方正小标宋简体"/>
          <w:color w:val="000000" w:themeColor="text1"/>
          <w:sz w:val="72"/>
          <w:szCs w:val="72"/>
        </w:rPr>
      </w:pPr>
      <w:r>
        <w:rPr>
          <w:rFonts w:hint="eastAsia" w:ascii="方正小标宋简体" w:eastAsia="方正小标宋简体"/>
          <w:color w:val="000000" w:themeColor="text1"/>
          <w:sz w:val="72"/>
          <w:szCs w:val="72"/>
        </w:rPr>
        <w:t>统 计 报 告</w:t>
      </w:r>
    </w:p>
    <w:p>
      <w:pPr>
        <w:tabs>
          <w:tab w:val="left" w:pos="6440"/>
        </w:tabs>
        <w:spacing w:before="120" w:after="120"/>
        <w:jc w:val="center"/>
        <w:rPr>
          <w:rFonts w:ascii="仿宋" w:hAnsi="仿宋"/>
          <w:b/>
          <w:bCs/>
          <w:color w:val="000000" w:themeColor="text1"/>
          <w:sz w:val="44"/>
          <w:szCs w:val="44"/>
        </w:rPr>
      </w:pPr>
      <w:r>
        <w:rPr>
          <w:rFonts w:hint="eastAsia" w:ascii="仿宋" w:hAnsi="仿宋"/>
          <w:b/>
          <w:bCs/>
          <w:color w:val="000000" w:themeColor="text1"/>
          <w:sz w:val="44"/>
          <w:szCs w:val="44"/>
        </w:rPr>
        <w:t>（</w:t>
      </w:r>
      <w:r>
        <w:rPr>
          <w:rFonts w:hint="eastAsia" w:ascii="仿宋" w:hAnsi="仿宋"/>
          <w:color w:val="000000" w:themeColor="text1"/>
          <w:sz w:val="44"/>
          <w:szCs w:val="44"/>
        </w:rPr>
        <w:t>2021</w:t>
      </w:r>
      <w:r>
        <w:rPr>
          <w:rFonts w:ascii="仿宋" w:hAnsi="仿宋"/>
          <w:b/>
          <w:bCs/>
          <w:color w:val="000000" w:themeColor="text1"/>
          <w:sz w:val="44"/>
          <w:szCs w:val="44"/>
        </w:rPr>
        <w:t>年</w:t>
      </w:r>
      <w:r>
        <w:rPr>
          <w:rFonts w:hint="eastAsia" w:ascii="仿宋" w:hAnsi="仿宋"/>
          <w:b/>
          <w:bCs/>
          <w:color w:val="000000" w:themeColor="text1"/>
          <w:sz w:val="44"/>
          <w:szCs w:val="44"/>
        </w:rPr>
        <w:t>第四</w:t>
      </w:r>
      <w:r>
        <w:rPr>
          <w:rFonts w:ascii="仿宋" w:hAnsi="仿宋"/>
          <w:b/>
          <w:bCs/>
          <w:color w:val="000000" w:themeColor="text1"/>
          <w:sz w:val="44"/>
          <w:szCs w:val="44"/>
        </w:rPr>
        <w:t>季度）</w:t>
      </w:r>
    </w:p>
    <w:p>
      <w:pPr>
        <w:ind w:firstLine="412"/>
        <w:rPr>
          <w:color w:val="000000" w:themeColor="text1"/>
        </w:rPr>
      </w:pPr>
    </w:p>
    <w:p>
      <w:pPr>
        <w:ind w:firstLine="412"/>
        <w:rPr>
          <w:color w:val="000000" w:themeColor="text1"/>
        </w:rPr>
      </w:pPr>
    </w:p>
    <w:p>
      <w:pPr>
        <w:ind w:firstLine="412"/>
        <w:rPr>
          <w:color w:val="000000" w:themeColor="text1"/>
        </w:rPr>
      </w:pPr>
    </w:p>
    <w:p>
      <w:pPr>
        <w:ind w:firstLine="412"/>
        <w:rPr>
          <w:color w:val="000000" w:themeColor="text1"/>
        </w:rPr>
      </w:pPr>
    </w:p>
    <w:p>
      <w:pPr>
        <w:ind w:firstLine="412"/>
        <w:rPr>
          <w:color w:val="000000" w:themeColor="text1"/>
        </w:rPr>
      </w:pPr>
    </w:p>
    <w:p>
      <w:pPr>
        <w:ind w:firstLine="412"/>
        <w:rPr>
          <w:color w:val="000000" w:themeColor="text1"/>
        </w:rPr>
      </w:pPr>
    </w:p>
    <w:p>
      <w:pPr>
        <w:ind w:firstLine="412"/>
        <w:rPr>
          <w:color w:val="000000" w:themeColor="text1"/>
        </w:rPr>
      </w:pPr>
    </w:p>
    <w:p>
      <w:pPr>
        <w:ind w:firstLine="412"/>
        <w:rPr>
          <w:color w:val="000000" w:themeColor="text1"/>
        </w:rPr>
      </w:pPr>
    </w:p>
    <w:p>
      <w:pPr>
        <w:ind w:firstLine="412"/>
        <w:rPr>
          <w:color w:val="000000" w:themeColor="text1"/>
        </w:rPr>
      </w:pPr>
    </w:p>
    <w:p>
      <w:pPr>
        <w:ind w:firstLine="412"/>
        <w:rPr>
          <w:color w:val="000000" w:themeColor="text1"/>
        </w:rPr>
      </w:pPr>
    </w:p>
    <w:p>
      <w:pPr>
        <w:ind w:firstLine="412"/>
        <w:rPr>
          <w:color w:val="000000" w:themeColor="text1"/>
        </w:rPr>
      </w:pPr>
    </w:p>
    <w:p>
      <w:pPr>
        <w:ind w:firstLine="412"/>
        <w:rPr>
          <w:color w:val="000000" w:themeColor="text1"/>
        </w:rPr>
      </w:pPr>
    </w:p>
    <w:p>
      <w:pPr>
        <w:ind w:firstLine="412"/>
        <w:rPr>
          <w:color w:val="000000" w:themeColor="text1"/>
        </w:rPr>
      </w:pPr>
    </w:p>
    <w:p>
      <w:pPr>
        <w:ind w:firstLine="412"/>
        <w:rPr>
          <w:color w:val="000000" w:themeColor="text1"/>
        </w:rPr>
      </w:pPr>
    </w:p>
    <w:p>
      <w:pPr>
        <w:ind w:firstLine="412"/>
        <w:rPr>
          <w:color w:val="000000" w:themeColor="text1"/>
        </w:rPr>
      </w:pPr>
    </w:p>
    <w:p>
      <w:pPr>
        <w:ind w:firstLine="412"/>
        <w:rPr>
          <w:color w:val="000000" w:themeColor="text1"/>
        </w:rPr>
      </w:pPr>
    </w:p>
    <w:p>
      <w:pPr>
        <w:ind w:firstLine="412"/>
        <w:rPr>
          <w:color w:val="000000" w:themeColor="text1"/>
        </w:rPr>
      </w:pPr>
    </w:p>
    <w:p>
      <w:pPr>
        <w:ind w:firstLine="412"/>
        <w:rPr>
          <w:color w:val="000000" w:themeColor="text1"/>
        </w:rPr>
      </w:pPr>
    </w:p>
    <w:p>
      <w:pPr>
        <w:spacing w:before="312"/>
        <w:jc w:val="center"/>
        <w:rPr>
          <w:rFonts w:ascii="黑体" w:hAnsi="黑体" w:eastAsia="黑体"/>
          <w:color w:val="000000" w:themeColor="text1"/>
          <w:sz w:val="36"/>
          <w:szCs w:val="36"/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</w:rPr>
        <w:t>天津市药品监督管理局</w:t>
      </w:r>
    </w:p>
    <w:p>
      <w:pPr>
        <w:tabs>
          <w:tab w:val="center" w:pos="4422"/>
          <w:tab w:val="right" w:pos="8844"/>
        </w:tabs>
        <w:spacing w:before="156"/>
        <w:jc w:val="center"/>
        <w:rPr>
          <w:rFonts w:ascii="Times New Roman" w:hAnsi="Times New Roman" w:eastAsia="黑体"/>
          <w:color w:val="000000" w:themeColor="text1"/>
          <w:sz w:val="36"/>
          <w:szCs w:val="36"/>
        </w:rPr>
      </w:pPr>
      <w:r>
        <w:rPr>
          <w:rFonts w:ascii="Times New Roman" w:hAnsi="Times New Roman" w:eastAsia="黑体"/>
          <w:bCs/>
          <w:caps/>
          <w:color w:val="000000" w:themeColor="text1"/>
          <w:sz w:val="36"/>
          <w:szCs w:val="36"/>
        </w:rPr>
        <w:t>20</w:t>
      </w:r>
      <w:r>
        <w:rPr>
          <w:rFonts w:hint="eastAsia" w:ascii="Times New Roman" w:hAnsi="Times New Roman" w:eastAsia="黑体"/>
          <w:bCs/>
          <w:caps/>
          <w:color w:val="000000" w:themeColor="text1"/>
          <w:sz w:val="36"/>
          <w:szCs w:val="36"/>
        </w:rPr>
        <w:t>22</w:t>
      </w:r>
      <w:r>
        <w:rPr>
          <w:rFonts w:ascii="Times New Roman" w:hAnsi="Times New Roman" w:eastAsia="黑体"/>
          <w:color w:val="000000" w:themeColor="text1"/>
          <w:sz w:val="36"/>
          <w:szCs w:val="36"/>
        </w:rPr>
        <w:t>年</w:t>
      </w:r>
      <w:r>
        <w:rPr>
          <w:rFonts w:hint="eastAsia" w:ascii="Times New Roman" w:hAnsi="Times New Roman" w:eastAsia="黑体"/>
          <w:color w:val="000000" w:themeColor="text1"/>
          <w:sz w:val="36"/>
          <w:szCs w:val="36"/>
        </w:rPr>
        <w:t>2</w:t>
      </w:r>
      <w:r>
        <w:rPr>
          <w:rFonts w:ascii="Times New Roman" w:hAnsi="Times New Roman" w:eastAsia="黑体"/>
          <w:color w:val="000000" w:themeColor="text1"/>
          <w:sz w:val="36"/>
          <w:szCs w:val="36"/>
        </w:rPr>
        <w:t>月</w:t>
      </w:r>
    </w:p>
    <w:p>
      <w:pPr>
        <w:tabs>
          <w:tab w:val="center" w:pos="4422"/>
          <w:tab w:val="right" w:pos="8844"/>
        </w:tabs>
        <w:spacing w:before="156"/>
        <w:jc w:val="left"/>
        <w:rPr>
          <w:rFonts w:ascii="黑体" w:hAnsi="黑体" w:eastAsia="黑体"/>
          <w:color w:val="000000" w:themeColor="text1"/>
          <w:sz w:val="36"/>
          <w:szCs w:val="36"/>
        </w:rPr>
      </w:pPr>
    </w:p>
    <w:p>
      <w:pPr>
        <w:spacing w:line="64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</w:rPr>
        <w:t>说  明</w:t>
      </w:r>
    </w:p>
    <w:p>
      <w:pPr>
        <w:spacing w:line="590" w:lineRule="exact"/>
        <w:ind w:firstLine="632"/>
        <w:rPr>
          <w:rFonts w:eastAsia="仿宋_GB2312"/>
          <w:color w:val="000000" w:themeColor="text1"/>
          <w:spacing w:val="4"/>
          <w:sz w:val="32"/>
          <w:szCs w:val="32"/>
        </w:rPr>
      </w:pPr>
    </w:p>
    <w:p>
      <w:pPr>
        <w:spacing w:line="590" w:lineRule="exact"/>
        <w:ind w:firstLine="632"/>
        <w:rPr>
          <w:rFonts w:eastAsia="仿宋_GB2312"/>
          <w:color w:val="000000" w:themeColor="text1"/>
          <w:spacing w:val="4"/>
          <w:sz w:val="32"/>
          <w:szCs w:val="32"/>
        </w:rPr>
      </w:pPr>
      <w:r>
        <w:rPr>
          <w:rFonts w:hint="eastAsia" w:eastAsia="仿宋_GB2312"/>
          <w:color w:val="000000" w:themeColor="text1"/>
          <w:spacing w:val="4"/>
          <w:sz w:val="32"/>
          <w:szCs w:val="32"/>
        </w:rPr>
        <w:t>本报告数据来源于国家药品监督管理局药品监督管理统计信息系统，数据报告期为</w:t>
      </w:r>
      <w:r>
        <w:rPr>
          <w:rFonts w:hint="eastAsia" w:eastAsia="仿宋_GB2312"/>
          <w:color w:val="000000" w:themeColor="text1"/>
          <w:sz w:val="32"/>
          <w:szCs w:val="32"/>
        </w:rPr>
        <w:t>2021年10月1日至2021年12月31日</w:t>
      </w:r>
      <w:r>
        <w:rPr>
          <w:rFonts w:hint="eastAsia" w:eastAsia="仿宋_GB2312"/>
          <w:color w:val="000000" w:themeColor="text1"/>
          <w:spacing w:val="4"/>
          <w:sz w:val="32"/>
          <w:szCs w:val="32"/>
        </w:rPr>
        <w:t>。报告分别对药品、医疗器械、化妆品的相关行政受理、审批、监管等情况进行汇总，供药品监管系统参考使用。</w:t>
      </w:r>
    </w:p>
    <w:p>
      <w:pPr>
        <w:spacing w:line="590" w:lineRule="exact"/>
        <w:ind w:firstLine="632"/>
        <w:rPr>
          <w:rFonts w:eastAsia="仿宋_GB2312"/>
          <w:color w:val="000000" w:themeColor="text1"/>
          <w:spacing w:val="4"/>
          <w:sz w:val="32"/>
          <w:szCs w:val="32"/>
        </w:rPr>
      </w:pPr>
    </w:p>
    <w:p>
      <w:pPr>
        <w:spacing w:before="156" w:line="600" w:lineRule="exact"/>
        <w:jc w:val="center"/>
        <w:rPr>
          <w:rFonts w:ascii="黑体" w:eastAsia="黑体"/>
          <w:color w:val="000000" w:themeColor="text1"/>
          <w:sz w:val="44"/>
          <w:szCs w:val="44"/>
        </w:rPr>
      </w:pPr>
    </w:p>
    <w:p>
      <w:pPr>
        <w:spacing w:before="156" w:line="600" w:lineRule="exact"/>
        <w:jc w:val="center"/>
        <w:rPr>
          <w:rFonts w:ascii="黑体" w:eastAsia="黑体"/>
          <w:color w:val="000000" w:themeColor="text1"/>
          <w:sz w:val="44"/>
          <w:szCs w:val="44"/>
        </w:rPr>
      </w:pPr>
    </w:p>
    <w:p>
      <w:pPr>
        <w:spacing w:before="156" w:line="600" w:lineRule="exact"/>
        <w:jc w:val="center"/>
        <w:rPr>
          <w:rFonts w:ascii="黑体" w:eastAsia="黑体"/>
          <w:color w:val="000000" w:themeColor="text1"/>
          <w:sz w:val="44"/>
          <w:szCs w:val="44"/>
        </w:rPr>
      </w:pPr>
    </w:p>
    <w:p>
      <w:pPr>
        <w:spacing w:before="156" w:line="600" w:lineRule="exact"/>
        <w:jc w:val="center"/>
        <w:rPr>
          <w:rFonts w:ascii="黑体" w:eastAsia="黑体"/>
          <w:color w:val="000000" w:themeColor="text1"/>
          <w:sz w:val="44"/>
          <w:szCs w:val="44"/>
        </w:rPr>
      </w:pPr>
    </w:p>
    <w:p>
      <w:pPr>
        <w:spacing w:before="156" w:line="600" w:lineRule="exact"/>
        <w:jc w:val="center"/>
        <w:rPr>
          <w:rFonts w:ascii="黑体" w:eastAsia="黑体"/>
          <w:color w:val="000000" w:themeColor="text1"/>
          <w:sz w:val="44"/>
          <w:szCs w:val="44"/>
        </w:rPr>
      </w:pPr>
    </w:p>
    <w:p>
      <w:pPr>
        <w:spacing w:before="156" w:line="600" w:lineRule="exact"/>
        <w:jc w:val="center"/>
        <w:rPr>
          <w:rFonts w:ascii="黑体" w:eastAsia="黑体"/>
          <w:color w:val="000000" w:themeColor="text1"/>
          <w:sz w:val="44"/>
          <w:szCs w:val="44"/>
        </w:rPr>
      </w:pPr>
    </w:p>
    <w:p>
      <w:pPr>
        <w:spacing w:before="156" w:line="600" w:lineRule="exact"/>
        <w:jc w:val="center"/>
        <w:rPr>
          <w:rFonts w:ascii="黑体" w:eastAsia="黑体"/>
          <w:color w:val="000000" w:themeColor="text1"/>
          <w:sz w:val="44"/>
          <w:szCs w:val="44"/>
        </w:rPr>
      </w:pPr>
    </w:p>
    <w:p>
      <w:pPr>
        <w:spacing w:before="156" w:line="600" w:lineRule="exact"/>
        <w:jc w:val="center"/>
        <w:rPr>
          <w:rFonts w:ascii="黑体" w:eastAsia="黑体"/>
          <w:color w:val="000000" w:themeColor="text1"/>
          <w:sz w:val="44"/>
          <w:szCs w:val="44"/>
        </w:rPr>
      </w:pPr>
    </w:p>
    <w:p>
      <w:pPr>
        <w:spacing w:before="156" w:line="600" w:lineRule="exact"/>
        <w:jc w:val="center"/>
        <w:rPr>
          <w:rFonts w:ascii="黑体" w:eastAsia="黑体"/>
          <w:color w:val="000000" w:themeColor="text1"/>
          <w:sz w:val="44"/>
          <w:szCs w:val="44"/>
        </w:rPr>
      </w:pPr>
    </w:p>
    <w:p>
      <w:pPr>
        <w:spacing w:before="156" w:line="600" w:lineRule="exact"/>
        <w:jc w:val="center"/>
        <w:rPr>
          <w:rFonts w:ascii="黑体" w:eastAsia="黑体"/>
          <w:color w:val="000000" w:themeColor="text1"/>
          <w:sz w:val="44"/>
          <w:szCs w:val="44"/>
        </w:rPr>
      </w:pPr>
    </w:p>
    <w:p>
      <w:pPr>
        <w:spacing w:before="156" w:line="600" w:lineRule="exact"/>
        <w:jc w:val="center"/>
      </w:pPr>
      <w:r>
        <w:rPr>
          <w:rFonts w:hint="eastAsia" w:ascii="黑体" w:eastAsia="黑体"/>
          <w:color w:val="000000" w:themeColor="text1"/>
          <w:sz w:val="44"/>
          <w:szCs w:val="44"/>
        </w:rPr>
        <w:t>目  录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fldChar w:fldCharType="begin"/>
      </w:r>
      <w:r>
        <w:rPr>
          <w:rFonts w:hint="eastAsia" w:ascii="仿宋_GB2312" w:eastAsia="仿宋_GB2312"/>
          <w:color w:val="000000" w:themeColor="text1"/>
          <w:sz w:val="28"/>
          <w:szCs w:val="28"/>
        </w:rPr>
        <w:instrText xml:space="preserve"> TOC \o "1-1" \h \z \u </w:instrTex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fldChar w:fldCharType="separate"/>
      </w:r>
    </w:p>
    <w:p>
      <w:pPr>
        <w:pStyle w:val="10"/>
        <w:tabs>
          <w:tab w:val="right" w:leader="dot" w:pos="8947"/>
        </w:tabs>
        <w:rPr>
          <w:rFonts w:ascii="仿宋_GB2312" w:eastAsia="仿宋_GB2312" w:hAnsiTheme="minorHAnsi" w:cstheme="minorBidi"/>
          <w:sz w:val="28"/>
          <w:szCs w:val="28"/>
        </w:rPr>
      </w:pPr>
      <w:r>
        <w:fldChar w:fldCharType="begin"/>
      </w:r>
      <w:r>
        <w:instrText xml:space="preserve"> HYPERLINK \l "_Toc91151130" </w:instrText>
      </w:r>
      <w:r>
        <w:fldChar w:fldCharType="separate"/>
      </w:r>
      <w:r>
        <w:rPr>
          <w:rStyle w:val="17"/>
          <w:rFonts w:hint="eastAsia" w:ascii="仿宋_GB2312" w:hAnsi="黑体" w:eastAsia="仿宋_GB2312"/>
          <w:sz w:val="28"/>
          <w:szCs w:val="28"/>
        </w:rPr>
        <w:t>一、药品监管情况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fldChar w:fldCharType="begin"/>
      </w:r>
      <w:r>
        <w:rPr>
          <w:rFonts w:hint="eastAsia" w:ascii="仿宋_GB2312" w:eastAsia="仿宋_GB2312"/>
          <w:sz w:val="28"/>
          <w:szCs w:val="28"/>
        </w:rPr>
        <w:instrText xml:space="preserve"> PAGEREF _Toc91151130 \h </w:instrText>
      </w:r>
      <w:r>
        <w:rPr>
          <w:rFonts w:hint="eastAsia" w:ascii="仿宋_GB2312" w:eastAsia="仿宋_GB2312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fldChar w:fldCharType="end"/>
      </w:r>
      <w:r>
        <w:rPr>
          <w:rFonts w:hint="eastAsia" w:ascii="仿宋_GB2312" w:eastAsia="仿宋_GB2312"/>
          <w:sz w:val="28"/>
          <w:szCs w:val="28"/>
        </w:rPr>
        <w:fldChar w:fldCharType="end"/>
      </w:r>
    </w:p>
    <w:p>
      <w:pPr>
        <w:pStyle w:val="10"/>
        <w:tabs>
          <w:tab w:val="right" w:leader="dot" w:pos="8947"/>
        </w:tabs>
        <w:rPr>
          <w:rFonts w:ascii="仿宋_GB2312" w:eastAsia="仿宋_GB2312" w:hAnsiTheme="minorHAnsi" w:cstheme="minorBidi"/>
          <w:sz w:val="28"/>
          <w:szCs w:val="28"/>
        </w:rPr>
      </w:pPr>
      <w:r>
        <w:fldChar w:fldCharType="begin"/>
      </w:r>
      <w:r>
        <w:instrText xml:space="preserve"> HYPERLINK \l "_Toc91151131" </w:instrText>
      </w:r>
      <w:r>
        <w:fldChar w:fldCharType="separate"/>
      </w:r>
      <w:r>
        <w:rPr>
          <w:rStyle w:val="17"/>
          <w:rFonts w:hint="eastAsia" w:ascii="仿宋_GB2312" w:hAnsi="黑体" w:eastAsia="仿宋_GB2312"/>
          <w:sz w:val="28"/>
          <w:szCs w:val="28"/>
        </w:rPr>
        <w:t>二、医疗器械监管情况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fldChar w:fldCharType="begin"/>
      </w:r>
      <w:r>
        <w:rPr>
          <w:rFonts w:hint="eastAsia" w:ascii="仿宋_GB2312" w:eastAsia="仿宋_GB2312"/>
          <w:sz w:val="28"/>
          <w:szCs w:val="28"/>
        </w:rPr>
        <w:instrText xml:space="preserve"> PAGEREF _Toc91151131 \h </w:instrText>
      </w:r>
      <w:r>
        <w:rPr>
          <w:rFonts w:hint="eastAsia" w:ascii="仿宋_GB2312" w:eastAsia="仿宋_GB2312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fldChar w:fldCharType="end"/>
      </w:r>
      <w:r>
        <w:rPr>
          <w:rFonts w:hint="eastAsia" w:ascii="仿宋_GB2312" w:eastAsia="仿宋_GB2312"/>
          <w:sz w:val="28"/>
          <w:szCs w:val="28"/>
        </w:rPr>
        <w:fldChar w:fldCharType="end"/>
      </w:r>
    </w:p>
    <w:p>
      <w:pPr>
        <w:pStyle w:val="10"/>
        <w:tabs>
          <w:tab w:val="right" w:leader="dot" w:pos="8947"/>
        </w:tabs>
        <w:rPr>
          <w:rFonts w:ascii="仿宋_GB2312" w:eastAsia="仿宋_GB2312" w:hAnsiTheme="minorHAnsi" w:cstheme="minorBidi"/>
          <w:sz w:val="28"/>
          <w:szCs w:val="28"/>
        </w:rPr>
      </w:pPr>
      <w:r>
        <w:fldChar w:fldCharType="begin"/>
      </w:r>
      <w:r>
        <w:instrText xml:space="preserve"> HYPERLINK \l "_Toc91151132" </w:instrText>
      </w:r>
      <w:r>
        <w:fldChar w:fldCharType="separate"/>
      </w:r>
      <w:r>
        <w:rPr>
          <w:rStyle w:val="17"/>
          <w:rFonts w:hint="eastAsia" w:ascii="仿宋_GB2312" w:hAnsi="黑体" w:eastAsia="仿宋_GB2312"/>
          <w:sz w:val="28"/>
          <w:szCs w:val="28"/>
        </w:rPr>
        <w:t>三、化妆品监管情况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fldChar w:fldCharType="begin"/>
      </w:r>
      <w:r>
        <w:rPr>
          <w:rFonts w:hint="eastAsia" w:ascii="仿宋_GB2312" w:eastAsia="仿宋_GB2312"/>
          <w:sz w:val="28"/>
          <w:szCs w:val="28"/>
        </w:rPr>
        <w:instrText xml:space="preserve"> PAGEREF _Toc91151132 \h </w:instrText>
      </w:r>
      <w:r>
        <w:rPr>
          <w:rFonts w:hint="eastAsia" w:ascii="仿宋_GB2312" w:eastAsia="仿宋_GB2312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fldChar w:fldCharType="end"/>
      </w:r>
      <w:r>
        <w:rPr>
          <w:rFonts w:hint="eastAsia" w:ascii="仿宋_GB2312" w:eastAsia="仿宋_GB2312"/>
          <w:sz w:val="28"/>
          <w:szCs w:val="28"/>
        </w:rPr>
        <w:fldChar w:fldCharType="end"/>
      </w:r>
    </w:p>
    <w:p>
      <w:pPr>
        <w:pStyle w:val="10"/>
        <w:tabs>
          <w:tab w:val="right" w:leader="dot" w:pos="8947"/>
        </w:tabs>
        <w:rPr>
          <w:rFonts w:ascii="仿宋_GB2312" w:eastAsia="仿宋_GB2312" w:hAnsiTheme="minorHAnsi" w:cstheme="minorBidi"/>
          <w:sz w:val="28"/>
          <w:szCs w:val="28"/>
        </w:rPr>
      </w:pPr>
      <w:r>
        <w:fldChar w:fldCharType="begin"/>
      </w:r>
      <w:r>
        <w:instrText xml:space="preserve"> HYPERLINK \l "_Toc91151133" </w:instrText>
      </w:r>
      <w:r>
        <w:fldChar w:fldCharType="separate"/>
      </w:r>
      <w:r>
        <w:rPr>
          <w:rStyle w:val="17"/>
          <w:rFonts w:hint="eastAsia" w:ascii="仿宋_GB2312" w:hAnsi="黑体" w:eastAsia="仿宋_GB2312"/>
          <w:sz w:val="28"/>
          <w:szCs w:val="28"/>
        </w:rPr>
        <w:t>四、全市查处违法“两品一械”案件情况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fldChar w:fldCharType="begin"/>
      </w:r>
      <w:r>
        <w:rPr>
          <w:rFonts w:hint="eastAsia" w:ascii="仿宋_GB2312" w:eastAsia="仿宋_GB2312"/>
          <w:sz w:val="28"/>
          <w:szCs w:val="28"/>
        </w:rPr>
        <w:instrText xml:space="preserve"> PAGEREF _Toc91151133 \h </w:instrText>
      </w:r>
      <w:r>
        <w:rPr>
          <w:rFonts w:hint="eastAsia" w:ascii="仿宋_GB2312" w:eastAsia="仿宋_GB2312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fldChar w:fldCharType="end"/>
      </w:r>
      <w:r>
        <w:rPr>
          <w:rFonts w:hint="eastAsia" w:ascii="仿宋_GB2312" w:eastAsia="仿宋_GB2312"/>
          <w:sz w:val="28"/>
          <w:szCs w:val="28"/>
        </w:rPr>
        <w:fldChar w:fldCharType="end"/>
      </w:r>
    </w:p>
    <w:p>
      <w:pPr>
        <w:spacing w:before="156" w:line="560" w:lineRule="exact"/>
        <w:rPr>
          <w:rFonts w:ascii="仿宋_GB2312" w:eastAsia="仿宋_GB2312"/>
          <w:color w:val="000000" w:themeColor="text1"/>
          <w:sz w:val="28"/>
          <w:szCs w:val="28"/>
        </w:rPr>
        <w:sectPr>
          <w:pgSz w:w="11906" w:h="16838"/>
          <w:pgMar w:top="1928" w:right="1361" w:bottom="1928" w:left="1588" w:header="720" w:footer="1531" w:gutter="0"/>
          <w:pgNumType w:start="0"/>
          <w:cols w:space="720" w:num="1"/>
          <w:docGrid w:type="linesAndChars" w:linePitch="312" w:charSpace="-819"/>
        </w:sect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fldChar w:fldCharType="end"/>
      </w:r>
    </w:p>
    <w:p>
      <w:pPr>
        <w:pStyle w:val="2"/>
        <w:spacing w:before="0" w:after="0" w:line="560" w:lineRule="exact"/>
        <w:ind w:firstLine="640"/>
        <w:contextualSpacing/>
        <w:rPr>
          <w:rFonts w:ascii="黑体" w:hAnsi="黑体" w:eastAsia="黑体"/>
          <w:b w:val="0"/>
          <w:bCs w:val="0"/>
          <w:color w:val="000000" w:themeColor="text1"/>
          <w:sz w:val="32"/>
          <w:szCs w:val="32"/>
        </w:rPr>
        <w:sectPr>
          <w:footerReference r:id="rId3" w:type="default"/>
          <w:type w:val="continuous"/>
          <w:pgSz w:w="11906" w:h="16838"/>
          <w:pgMar w:top="1531" w:right="1531" w:bottom="1531" w:left="1531" w:header="851" w:footer="992" w:gutter="0"/>
          <w:pgNumType w:start="1"/>
          <w:cols w:space="720" w:num="1"/>
        </w:sectPr>
      </w:pPr>
    </w:p>
    <w:p>
      <w:pPr>
        <w:pStyle w:val="2"/>
        <w:spacing w:before="0" w:after="0" w:line="560" w:lineRule="exact"/>
        <w:ind w:firstLine="640"/>
        <w:contextualSpacing/>
        <w:rPr>
          <w:rFonts w:ascii="黑体" w:hAnsi="黑体" w:eastAsia="黑体"/>
          <w:b w:val="0"/>
          <w:bCs w:val="0"/>
          <w:color w:val="000000" w:themeColor="text1"/>
          <w:sz w:val="32"/>
          <w:szCs w:val="32"/>
        </w:rPr>
      </w:pPr>
      <w:bookmarkStart w:id="0" w:name="_Toc91151130"/>
      <w:r>
        <w:rPr>
          <w:rFonts w:hint="eastAsia" w:ascii="黑体" w:hAnsi="黑体" w:eastAsia="黑体"/>
          <w:b w:val="0"/>
          <w:bCs w:val="0"/>
          <w:color w:val="000000" w:themeColor="text1"/>
          <w:sz w:val="32"/>
          <w:szCs w:val="32"/>
        </w:rPr>
        <w:t>一、药品监管情况</w:t>
      </w:r>
      <w:bookmarkEnd w:id="0"/>
    </w:p>
    <w:p>
      <w:pPr>
        <w:spacing w:line="560" w:lineRule="exact"/>
        <w:ind w:firstLine="643"/>
        <w:rPr>
          <w:rFonts w:ascii="楷体_GB2312" w:eastAsia="楷体_GB2312"/>
          <w:b/>
          <w:color w:val="000000" w:themeColor="text1"/>
          <w:sz w:val="32"/>
          <w:szCs w:val="32"/>
        </w:rPr>
      </w:pPr>
      <w:r>
        <w:rPr>
          <w:rFonts w:hint="eastAsia" w:ascii="楷体_GB2312" w:eastAsia="楷体_GB2312"/>
          <w:b/>
          <w:color w:val="000000" w:themeColor="text1"/>
          <w:sz w:val="32"/>
          <w:szCs w:val="32"/>
        </w:rPr>
        <w:t>（一）</w:t>
      </w:r>
      <w:r>
        <w:rPr>
          <w:rFonts w:hint="eastAsia" w:ascii="Times New Roman" w:hAnsi="Times New Roman" w:eastAsia="楷体_GB2312"/>
          <w:b/>
          <w:sz w:val="32"/>
          <w:szCs w:val="32"/>
        </w:rPr>
        <w:t>药品注册备案情况</w:t>
      </w:r>
    </w:p>
    <w:p>
      <w:pPr>
        <w:spacing w:line="560" w:lineRule="exact"/>
        <w:ind w:firstLine="643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202</w:t>
      </w:r>
      <w:r>
        <w:rPr>
          <w:rFonts w:hint="eastAsia" w:eastAsia="仿宋_GB2312"/>
          <w:color w:val="000000" w:themeColor="text1"/>
          <w:sz w:val="32"/>
          <w:szCs w:val="32"/>
        </w:rPr>
        <w:t>1年第4季度，国产药品再注册申请批准13件，均为化学药品；药品上市后变更备案通过26件（其中中药天然药物5件、化学药品20件，生物制品1件）；进口药材备案49件。</w:t>
      </w:r>
    </w:p>
    <w:p>
      <w:pPr>
        <w:spacing w:line="480" w:lineRule="exact"/>
        <w:ind w:firstLine="643" w:firstLineChars="200"/>
        <w:rPr>
          <w:rFonts w:ascii="楷体_GB2312" w:eastAsia="楷体_GB2312"/>
          <w:b/>
          <w:color w:val="000000" w:themeColor="text1"/>
          <w:sz w:val="32"/>
          <w:szCs w:val="32"/>
        </w:rPr>
      </w:pPr>
      <w:r>
        <w:rPr>
          <w:rFonts w:hint="eastAsia" w:ascii="楷体_GB2312" w:eastAsia="楷体_GB2312"/>
          <w:b/>
          <w:color w:val="000000" w:themeColor="text1"/>
          <w:sz w:val="32"/>
          <w:szCs w:val="32"/>
        </w:rPr>
        <w:t>（二）药品经营企业许可情况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第4</w:t>
      </w:r>
      <w:r>
        <w:rPr>
          <w:rFonts w:eastAsia="仿宋_GB2312"/>
          <w:sz w:val="32"/>
          <w:szCs w:val="32"/>
        </w:rPr>
        <w:t>季度</w:t>
      </w:r>
      <w:r>
        <w:rPr>
          <w:rFonts w:hint="eastAsia" w:eastAsia="仿宋_GB2312"/>
          <w:sz w:val="32"/>
          <w:szCs w:val="32"/>
        </w:rPr>
        <w:t>，全市期末实有药品经营企业4876家，其中批发企业129家，零售连锁总部55家，零售连锁门店1634家，零售3242家。</w:t>
      </w:r>
    </w:p>
    <w:p>
      <w:pPr>
        <w:spacing w:line="560" w:lineRule="exact"/>
        <w:ind w:firstLine="643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pict>
          <v:shape id="_x0000_s1026" o:spid="_x0000_s1026" o:spt="202" type="#_x0000_t202" style="position:absolute;left:0pt;margin-left:33.25pt;margin-top:11.45pt;height:245.4pt;width:369pt;z-index:251660288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drawing>
                      <wp:inline distT="0" distB="0" distL="0" distR="0">
                        <wp:extent cx="4514850" cy="3057525"/>
                        <wp:effectExtent l="19050" t="0" r="19050" b="0"/>
                        <wp:docPr id="3" name="图表 5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>
      <w:pPr>
        <w:spacing w:line="560" w:lineRule="exact"/>
        <w:ind w:firstLine="643"/>
        <w:rPr>
          <w:rFonts w:eastAsia="仿宋_GB2312"/>
          <w:color w:val="000000" w:themeColor="text1"/>
          <w:sz w:val="32"/>
          <w:szCs w:val="32"/>
        </w:rPr>
      </w:pPr>
    </w:p>
    <w:p>
      <w:pPr>
        <w:spacing w:line="560" w:lineRule="exact"/>
        <w:ind w:firstLine="643"/>
        <w:rPr>
          <w:rFonts w:eastAsia="仿宋_GB2312"/>
          <w:color w:val="000000" w:themeColor="text1"/>
          <w:sz w:val="32"/>
          <w:szCs w:val="32"/>
        </w:rPr>
      </w:pPr>
    </w:p>
    <w:p>
      <w:pPr>
        <w:spacing w:line="560" w:lineRule="exact"/>
        <w:ind w:firstLine="643"/>
        <w:rPr>
          <w:rFonts w:eastAsia="仿宋_GB2312"/>
          <w:color w:val="000000" w:themeColor="text1"/>
          <w:sz w:val="32"/>
          <w:szCs w:val="32"/>
        </w:rPr>
      </w:pPr>
    </w:p>
    <w:p>
      <w:pPr>
        <w:spacing w:line="560" w:lineRule="exact"/>
        <w:ind w:firstLine="643"/>
        <w:rPr>
          <w:rFonts w:eastAsia="仿宋_GB2312"/>
          <w:color w:val="000000" w:themeColor="text1"/>
          <w:sz w:val="32"/>
          <w:szCs w:val="32"/>
        </w:rPr>
      </w:pPr>
    </w:p>
    <w:p>
      <w:pPr>
        <w:spacing w:line="560" w:lineRule="exact"/>
        <w:ind w:firstLine="643"/>
        <w:rPr>
          <w:rFonts w:eastAsia="仿宋_GB2312"/>
          <w:color w:val="000000" w:themeColor="text1"/>
          <w:sz w:val="32"/>
          <w:szCs w:val="32"/>
        </w:rPr>
      </w:pPr>
    </w:p>
    <w:p>
      <w:pPr>
        <w:spacing w:line="560" w:lineRule="exact"/>
        <w:ind w:firstLine="643"/>
        <w:rPr>
          <w:rFonts w:eastAsia="仿宋_GB2312"/>
          <w:color w:val="000000" w:themeColor="text1"/>
          <w:sz w:val="32"/>
          <w:szCs w:val="32"/>
        </w:rPr>
      </w:pPr>
    </w:p>
    <w:p>
      <w:pPr>
        <w:spacing w:line="560" w:lineRule="exact"/>
        <w:ind w:firstLine="643"/>
        <w:rPr>
          <w:rFonts w:eastAsia="仿宋_GB2312"/>
          <w:color w:val="000000" w:themeColor="text1"/>
          <w:sz w:val="32"/>
          <w:szCs w:val="32"/>
        </w:rPr>
      </w:pPr>
    </w:p>
    <w:p>
      <w:pPr>
        <w:spacing w:line="560" w:lineRule="exact"/>
        <w:ind w:firstLine="643"/>
        <w:rPr>
          <w:rFonts w:eastAsia="仿宋_GB2312"/>
          <w:color w:val="000000" w:themeColor="text1"/>
          <w:sz w:val="32"/>
          <w:szCs w:val="32"/>
        </w:rPr>
      </w:pPr>
    </w:p>
    <w:p>
      <w:pPr>
        <w:spacing w:line="560" w:lineRule="exact"/>
        <w:ind w:firstLine="643"/>
        <w:rPr>
          <w:rFonts w:ascii="楷体_GB2312" w:eastAsia="楷体_GB2312"/>
          <w:b/>
          <w:color w:val="000000" w:themeColor="text1"/>
          <w:sz w:val="32"/>
          <w:szCs w:val="32"/>
        </w:rPr>
      </w:pPr>
    </w:p>
    <w:p>
      <w:pPr>
        <w:spacing w:line="560" w:lineRule="exact"/>
        <w:ind w:firstLine="643"/>
        <w:rPr>
          <w:rFonts w:ascii="楷体_GB2312" w:eastAsia="楷体_GB2312"/>
          <w:b/>
          <w:color w:val="000000" w:themeColor="text1"/>
          <w:sz w:val="32"/>
          <w:szCs w:val="32"/>
        </w:rPr>
      </w:pPr>
      <w:r>
        <w:rPr>
          <w:rFonts w:hint="eastAsia" w:ascii="楷体_GB2312" w:eastAsia="楷体_GB2312"/>
          <w:b/>
          <w:color w:val="000000" w:themeColor="text1"/>
          <w:sz w:val="32"/>
          <w:szCs w:val="32"/>
        </w:rPr>
        <w:t>（三）药品日常监管情况</w:t>
      </w:r>
    </w:p>
    <w:p>
      <w:pPr>
        <w:spacing w:line="560" w:lineRule="exact"/>
        <w:ind w:firstLine="643"/>
        <w:rPr>
          <w:rFonts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</w:rPr>
        <w:t>2021</w:t>
      </w:r>
      <w:r>
        <w:rPr>
          <w:rFonts w:eastAsia="仿宋_GB2312"/>
          <w:color w:val="000000" w:themeColor="text1"/>
          <w:sz w:val="32"/>
          <w:szCs w:val="32"/>
        </w:rPr>
        <w:t>年</w:t>
      </w:r>
      <w:r>
        <w:rPr>
          <w:rFonts w:hint="eastAsia" w:eastAsia="仿宋_GB2312"/>
          <w:color w:val="000000" w:themeColor="text1"/>
          <w:sz w:val="32"/>
          <w:szCs w:val="32"/>
        </w:rPr>
        <w:t>第4</w:t>
      </w:r>
      <w:r>
        <w:rPr>
          <w:rFonts w:eastAsia="仿宋_GB2312"/>
          <w:color w:val="000000" w:themeColor="text1"/>
          <w:sz w:val="32"/>
          <w:szCs w:val="32"/>
        </w:rPr>
        <w:t>季度</w:t>
      </w:r>
      <w:r>
        <w:rPr>
          <w:rFonts w:hint="eastAsia" w:eastAsia="仿宋_GB2312"/>
          <w:color w:val="000000" w:themeColor="text1"/>
          <w:sz w:val="32"/>
          <w:szCs w:val="32"/>
        </w:rPr>
        <w:t>，全市共检查药品生产企业143家次</w:t>
      </w:r>
      <w:r>
        <w:rPr>
          <w:rFonts w:hint="eastAsia" w:eastAsia="仿宋_GB2312"/>
          <w:sz w:val="32"/>
          <w:szCs w:val="32"/>
        </w:rPr>
        <w:t>，发现违法的生产企业4家次，发现违规的生产企业21家次，</w:t>
      </w:r>
      <w:r>
        <w:rPr>
          <w:rFonts w:hint="eastAsia" w:eastAsia="仿宋_GB2312"/>
          <w:color w:val="000000" w:themeColor="text1"/>
          <w:sz w:val="32"/>
          <w:szCs w:val="32"/>
        </w:rPr>
        <w:t>完成整改的生产企业27家次；药品经营批发企业107家次，发现违法违规的企业11家次，完成整改的企业14家次；药品经营零售企业、使用单位4406家次，发现违法违规的经营企业、使用单位217家次，完成整改的经营企业、使用单位229家次。</w:t>
      </w:r>
    </w:p>
    <w:p>
      <w:pPr>
        <w:spacing w:line="560" w:lineRule="exact"/>
        <w:ind w:firstLine="643"/>
        <w:rPr>
          <w:rFonts w:ascii="楷体_GB2312" w:eastAsia="楷体_GB2312"/>
          <w:b/>
          <w:color w:val="000000" w:themeColor="text1"/>
          <w:sz w:val="32"/>
          <w:szCs w:val="32"/>
        </w:rPr>
      </w:pPr>
      <w:r>
        <w:rPr>
          <w:rFonts w:hint="eastAsia" w:ascii="楷体_GB2312" w:eastAsia="楷体_GB2312"/>
          <w:b/>
          <w:color w:val="000000" w:themeColor="text1"/>
          <w:sz w:val="32"/>
          <w:szCs w:val="32"/>
        </w:rPr>
        <w:t>（四）</w:t>
      </w:r>
      <w:r>
        <w:rPr>
          <w:rFonts w:ascii="楷体_GB2312" w:eastAsia="楷体_GB2312"/>
          <w:b/>
          <w:color w:val="000000" w:themeColor="text1"/>
          <w:sz w:val="32"/>
          <w:szCs w:val="32"/>
        </w:rPr>
        <w:t>互联网药品</w:t>
      </w:r>
      <w:r>
        <w:rPr>
          <w:rFonts w:hint="eastAsia" w:ascii="楷体_GB2312" w:eastAsia="楷体_GB2312"/>
          <w:b/>
          <w:color w:val="000000" w:themeColor="text1"/>
          <w:sz w:val="32"/>
          <w:szCs w:val="32"/>
        </w:rPr>
        <w:t>信息</w:t>
      </w:r>
      <w:r>
        <w:rPr>
          <w:rFonts w:ascii="楷体_GB2312" w:eastAsia="楷体_GB2312"/>
          <w:b/>
          <w:color w:val="000000" w:themeColor="text1"/>
          <w:sz w:val="32"/>
          <w:szCs w:val="32"/>
        </w:rPr>
        <w:t>服务机构审批情况</w:t>
      </w:r>
    </w:p>
    <w:p>
      <w:pPr>
        <w:spacing w:line="560" w:lineRule="exact"/>
        <w:ind w:firstLine="643"/>
        <w:rPr>
          <w:rFonts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</w:rPr>
        <w:t>2021</w:t>
      </w:r>
      <w:r>
        <w:rPr>
          <w:rFonts w:eastAsia="仿宋_GB2312"/>
          <w:color w:val="000000" w:themeColor="text1"/>
          <w:sz w:val="32"/>
          <w:szCs w:val="32"/>
        </w:rPr>
        <w:t>年</w:t>
      </w:r>
      <w:r>
        <w:rPr>
          <w:rFonts w:hint="eastAsia" w:eastAsia="仿宋_GB2312"/>
          <w:color w:val="000000" w:themeColor="text1"/>
          <w:sz w:val="32"/>
          <w:szCs w:val="32"/>
        </w:rPr>
        <w:t>第4</w:t>
      </w:r>
      <w:r>
        <w:rPr>
          <w:rFonts w:eastAsia="仿宋_GB2312"/>
          <w:color w:val="000000" w:themeColor="text1"/>
          <w:sz w:val="32"/>
          <w:szCs w:val="32"/>
        </w:rPr>
        <w:t>季度</w:t>
      </w:r>
      <w:r>
        <w:rPr>
          <w:rFonts w:hint="eastAsia" w:eastAsia="仿宋_GB2312"/>
          <w:color w:val="000000" w:themeColor="text1"/>
          <w:sz w:val="32"/>
          <w:szCs w:val="32"/>
        </w:rPr>
        <w:t>，</w:t>
      </w:r>
      <w:r>
        <w:rPr>
          <w:rFonts w:hint="eastAsia" w:ascii="Times New Roman" w:eastAsia="仿宋_GB2312"/>
          <w:sz w:val="32"/>
          <w:szCs w:val="32"/>
        </w:rPr>
        <w:t>全市共审批互联网药品信息服务机构期末实有</w:t>
      </w:r>
      <w:bookmarkStart w:id="5" w:name="_GoBack"/>
      <w:bookmarkEnd w:id="5"/>
      <w:r>
        <w:rPr>
          <w:rFonts w:hint="eastAsia" w:eastAsia="仿宋_GB2312"/>
          <w:color w:val="000000" w:themeColor="text1"/>
          <w:sz w:val="32"/>
          <w:szCs w:val="32"/>
        </w:rPr>
        <w:t>376件。</w:t>
      </w:r>
    </w:p>
    <w:p>
      <w:pPr>
        <w:spacing w:line="560" w:lineRule="exact"/>
        <w:ind w:firstLine="643"/>
        <w:rPr>
          <w:rFonts w:ascii="楷体_GB2312" w:eastAsia="楷体_GB2312"/>
          <w:b/>
          <w:color w:val="000000" w:themeColor="text1"/>
          <w:sz w:val="32"/>
          <w:szCs w:val="32"/>
        </w:rPr>
      </w:pPr>
      <w:r>
        <w:rPr>
          <w:rFonts w:hint="eastAsia" w:ascii="楷体_GB2312" w:eastAsia="楷体_GB2312"/>
          <w:b/>
          <w:color w:val="000000" w:themeColor="text1"/>
          <w:sz w:val="32"/>
          <w:szCs w:val="32"/>
        </w:rPr>
        <w:t>（五）地方药品抽检情况</w:t>
      </w:r>
    </w:p>
    <w:p>
      <w:pPr>
        <w:spacing w:line="560" w:lineRule="exact"/>
        <w:ind w:firstLine="643"/>
        <w:rPr>
          <w:rFonts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</w:rPr>
        <w:t>2021</w:t>
      </w:r>
      <w:r>
        <w:rPr>
          <w:rFonts w:eastAsia="仿宋_GB2312"/>
          <w:color w:val="000000" w:themeColor="text1"/>
          <w:sz w:val="32"/>
          <w:szCs w:val="32"/>
        </w:rPr>
        <w:t>年</w:t>
      </w:r>
      <w:r>
        <w:rPr>
          <w:rFonts w:hint="eastAsia" w:eastAsia="仿宋_GB2312"/>
          <w:color w:val="000000" w:themeColor="text1"/>
          <w:sz w:val="32"/>
          <w:szCs w:val="32"/>
        </w:rPr>
        <w:t>第4</w:t>
      </w:r>
      <w:r>
        <w:rPr>
          <w:rFonts w:eastAsia="仿宋_GB2312"/>
          <w:color w:val="000000" w:themeColor="text1"/>
          <w:sz w:val="32"/>
          <w:szCs w:val="32"/>
        </w:rPr>
        <w:t>季度</w:t>
      </w:r>
      <w:r>
        <w:rPr>
          <w:rFonts w:hint="eastAsia" w:eastAsia="仿宋_GB2312"/>
          <w:color w:val="000000" w:themeColor="text1"/>
          <w:sz w:val="32"/>
          <w:szCs w:val="32"/>
        </w:rPr>
        <w:t>，全市共抽检主体数77家，抽检387批次。</w:t>
      </w:r>
    </w:p>
    <w:p>
      <w:pPr>
        <w:sectPr>
          <w:footerReference r:id="rId4" w:type="default"/>
          <w:pgSz w:w="11906" w:h="16838"/>
          <w:pgMar w:top="1531" w:right="1531" w:bottom="1531" w:left="1531" w:header="851" w:footer="992" w:gutter="0"/>
          <w:pgNumType w:start="1"/>
          <w:cols w:space="720" w:num="1"/>
        </w:sectPr>
      </w:pPr>
    </w:p>
    <w:p>
      <w:pPr>
        <w:pStyle w:val="2"/>
        <w:spacing w:before="0" w:after="0" w:line="560" w:lineRule="exact"/>
        <w:ind w:firstLine="640"/>
        <w:contextualSpacing/>
        <w:rPr>
          <w:rFonts w:ascii="黑体" w:hAnsi="黑体" w:eastAsia="黑体"/>
          <w:b w:val="0"/>
          <w:bCs w:val="0"/>
          <w:color w:val="000000" w:themeColor="text1"/>
          <w:sz w:val="32"/>
          <w:szCs w:val="32"/>
        </w:rPr>
      </w:pPr>
      <w:bookmarkStart w:id="1" w:name="_Toc91151131"/>
      <w:r>
        <w:rPr>
          <w:rFonts w:hint="eastAsia" w:ascii="黑体" w:hAnsi="黑体" w:eastAsia="黑体"/>
          <w:b w:val="0"/>
          <w:bCs w:val="0"/>
          <w:color w:val="000000" w:themeColor="text1"/>
          <w:sz w:val="32"/>
          <w:szCs w:val="32"/>
        </w:rPr>
        <w:t>二、医疗器械监管情况</w:t>
      </w:r>
      <w:bookmarkEnd w:id="1"/>
    </w:p>
    <w:p>
      <w:pPr>
        <w:spacing w:line="560" w:lineRule="exact"/>
        <w:ind w:firstLine="643"/>
        <w:rPr>
          <w:rFonts w:ascii="楷体_GB2312" w:hAnsi="Times New Roman" w:eastAsia="楷体_GB2312"/>
          <w:b/>
          <w:color w:val="000000" w:themeColor="text1"/>
          <w:sz w:val="32"/>
          <w:szCs w:val="32"/>
        </w:rPr>
      </w:pPr>
      <w:r>
        <w:rPr>
          <w:rFonts w:hint="eastAsia" w:ascii="楷体_GB2312" w:eastAsia="楷体_GB2312"/>
          <w:b/>
          <w:color w:val="000000" w:themeColor="text1"/>
          <w:sz w:val="32"/>
          <w:szCs w:val="32"/>
        </w:rPr>
        <w:t>（一）医疗器械注册审批情况</w:t>
      </w:r>
    </w:p>
    <w:p>
      <w:pPr>
        <w:spacing w:line="56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</w:rPr>
        <w:t>2021</w:t>
      </w:r>
      <w:r>
        <w:rPr>
          <w:rFonts w:eastAsia="仿宋_GB2312"/>
          <w:color w:val="000000" w:themeColor="text1"/>
          <w:sz w:val="32"/>
          <w:szCs w:val="32"/>
        </w:rPr>
        <w:t>年</w:t>
      </w:r>
      <w:r>
        <w:rPr>
          <w:rFonts w:hint="eastAsia" w:eastAsia="仿宋_GB2312"/>
          <w:color w:val="000000" w:themeColor="text1"/>
          <w:sz w:val="32"/>
          <w:szCs w:val="32"/>
        </w:rPr>
        <w:t>第4</w:t>
      </w:r>
      <w:r>
        <w:rPr>
          <w:rFonts w:eastAsia="仿宋_GB2312"/>
          <w:color w:val="000000" w:themeColor="text1"/>
          <w:sz w:val="32"/>
          <w:szCs w:val="32"/>
        </w:rPr>
        <w:t>季度</w:t>
      </w:r>
      <w:r>
        <w:rPr>
          <w:rFonts w:hint="eastAsia" w:eastAsia="仿宋_GB2312"/>
          <w:color w:val="000000" w:themeColor="text1"/>
          <w:sz w:val="32"/>
          <w:szCs w:val="32"/>
        </w:rPr>
        <w:t>，全市境内第一类医疗器械本期备案188件，期末实有2708；批准境内第二类医疗器械首次注册166件、延续注册77件、许可事项变更102件，期末实有1642件。</w:t>
      </w:r>
    </w:p>
    <w:p>
      <w:pPr>
        <w:spacing w:line="560" w:lineRule="exact"/>
        <w:ind w:firstLine="643"/>
        <w:rPr>
          <w:rFonts w:ascii="楷体_GB2312" w:eastAsia="楷体_GB2312"/>
          <w:color w:val="000000" w:themeColor="text1"/>
          <w:sz w:val="32"/>
          <w:szCs w:val="32"/>
        </w:rPr>
      </w:pPr>
      <w:r>
        <w:rPr>
          <w:rFonts w:hint="eastAsia" w:ascii="楷体_GB2312" w:eastAsia="楷体_GB2312"/>
          <w:b/>
          <w:color w:val="000000" w:themeColor="text1"/>
          <w:sz w:val="32"/>
          <w:szCs w:val="32"/>
        </w:rPr>
        <w:t>（二）医疗器械生产企业许可及备案情况</w:t>
      </w:r>
    </w:p>
    <w:p>
      <w:pPr>
        <w:spacing w:line="560" w:lineRule="exact"/>
        <w:ind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</w:rPr>
        <w:t>2021</w:t>
      </w:r>
      <w:r>
        <w:rPr>
          <w:rFonts w:eastAsia="仿宋_GB2312"/>
          <w:color w:val="000000" w:themeColor="text1"/>
          <w:sz w:val="32"/>
          <w:szCs w:val="32"/>
        </w:rPr>
        <w:t>年</w:t>
      </w:r>
      <w:r>
        <w:rPr>
          <w:rFonts w:hint="eastAsia" w:eastAsia="仿宋_GB2312"/>
          <w:color w:val="000000" w:themeColor="text1"/>
          <w:sz w:val="32"/>
          <w:szCs w:val="32"/>
        </w:rPr>
        <w:t>第4</w:t>
      </w:r>
      <w:r>
        <w:rPr>
          <w:rFonts w:eastAsia="仿宋_GB2312"/>
          <w:color w:val="000000" w:themeColor="text1"/>
          <w:sz w:val="32"/>
          <w:szCs w:val="32"/>
        </w:rPr>
        <w:t>季度</w:t>
      </w:r>
      <w:r>
        <w:rPr>
          <w:rFonts w:hint="eastAsia" w:eastAsia="仿宋_GB2312"/>
          <w:color w:val="000000" w:themeColor="text1"/>
          <w:sz w:val="32"/>
          <w:szCs w:val="32"/>
        </w:rPr>
        <w:t>，全市共有医疗器械生产企业575家，生产一类医疗器械产品的企业354家，生产二类医疗器械产品的企业243家，生产三类医疗器械产品的企业90家。</w:t>
      </w:r>
    </w:p>
    <w:p>
      <w:pPr>
        <w:spacing w:line="560" w:lineRule="exact"/>
        <w:ind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pict>
          <v:shape id="_x0000_s1027" o:spid="_x0000_s1027" o:spt="202" type="#_x0000_t202" style="position:absolute;left:0pt;margin-left:41.65pt;margin-top:10.85pt;height:207.6pt;width:364.2pt;z-index:251661312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drawing>
                      <wp:inline distT="0" distB="0" distL="0" distR="0">
                        <wp:extent cx="4381500" cy="2533650"/>
                        <wp:effectExtent l="19050" t="0" r="19050" b="0"/>
                        <wp:docPr id="2" name="图表 14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>
      <w:pPr>
        <w:spacing w:line="560" w:lineRule="exact"/>
        <w:ind w:firstLine="640"/>
        <w:rPr>
          <w:rFonts w:eastAsia="仿宋_GB2312"/>
          <w:color w:val="000000" w:themeColor="text1"/>
          <w:sz w:val="32"/>
          <w:szCs w:val="32"/>
        </w:rPr>
      </w:pPr>
    </w:p>
    <w:p>
      <w:pPr>
        <w:spacing w:line="560" w:lineRule="exact"/>
        <w:ind w:firstLine="640"/>
        <w:rPr>
          <w:rFonts w:eastAsia="仿宋_GB2312"/>
          <w:color w:val="000000" w:themeColor="text1"/>
          <w:sz w:val="32"/>
          <w:szCs w:val="32"/>
        </w:rPr>
      </w:pPr>
    </w:p>
    <w:p>
      <w:pPr>
        <w:spacing w:line="560" w:lineRule="exact"/>
        <w:ind w:firstLine="640"/>
        <w:rPr>
          <w:rFonts w:eastAsia="仿宋_GB2312"/>
          <w:color w:val="000000" w:themeColor="text1"/>
          <w:sz w:val="32"/>
          <w:szCs w:val="32"/>
        </w:rPr>
      </w:pPr>
    </w:p>
    <w:p>
      <w:pPr>
        <w:spacing w:line="560" w:lineRule="exact"/>
        <w:ind w:firstLine="640"/>
        <w:rPr>
          <w:rFonts w:eastAsia="仿宋_GB2312"/>
          <w:color w:val="000000" w:themeColor="text1"/>
          <w:sz w:val="32"/>
          <w:szCs w:val="32"/>
        </w:rPr>
      </w:pPr>
    </w:p>
    <w:p>
      <w:pPr>
        <w:spacing w:line="560" w:lineRule="exact"/>
        <w:ind w:firstLine="640"/>
        <w:rPr>
          <w:rFonts w:eastAsia="仿宋_GB2312"/>
          <w:color w:val="000000" w:themeColor="text1"/>
          <w:sz w:val="32"/>
          <w:szCs w:val="32"/>
        </w:rPr>
      </w:pPr>
    </w:p>
    <w:p>
      <w:pPr>
        <w:pStyle w:val="11"/>
        <w:shd w:val="clear" w:color="auto" w:fill="FFFFFF"/>
        <w:spacing w:before="0" w:beforeAutospacing="0" w:after="0" w:afterAutospacing="0" w:line="560" w:lineRule="exact"/>
        <w:ind w:firstLine="643"/>
        <w:contextualSpacing/>
        <w:jc w:val="both"/>
        <w:rPr>
          <w:rFonts w:ascii="楷体_GB2312" w:hAnsi="Times New Roman" w:eastAsia="楷体_GB2312" w:cs="Times New Roman"/>
          <w:b/>
          <w:color w:val="000000" w:themeColor="text1"/>
          <w:kern w:val="2"/>
          <w:sz w:val="32"/>
          <w:szCs w:val="32"/>
        </w:rPr>
      </w:pPr>
    </w:p>
    <w:p>
      <w:pPr>
        <w:pStyle w:val="11"/>
        <w:shd w:val="clear" w:color="auto" w:fill="FFFFFF"/>
        <w:spacing w:before="0" w:beforeAutospacing="0" w:after="0" w:afterAutospacing="0" w:line="560" w:lineRule="exact"/>
        <w:ind w:firstLine="643"/>
        <w:contextualSpacing/>
        <w:jc w:val="both"/>
        <w:rPr>
          <w:rFonts w:ascii="楷体_GB2312" w:hAnsi="Times New Roman" w:eastAsia="楷体_GB2312" w:cs="Times New Roman"/>
          <w:b/>
          <w:color w:val="000000" w:themeColor="text1"/>
          <w:kern w:val="2"/>
          <w:sz w:val="32"/>
          <w:szCs w:val="32"/>
        </w:rPr>
      </w:pPr>
    </w:p>
    <w:p>
      <w:pPr>
        <w:pStyle w:val="11"/>
        <w:shd w:val="clear" w:color="auto" w:fill="FFFFFF"/>
        <w:spacing w:before="0" w:beforeAutospacing="0" w:after="0" w:afterAutospacing="0" w:line="560" w:lineRule="exact"/>
        <w:ind w:firstLine="643"/>
        <w:contextualSpacing/>
        <w:jc w:val="both"/>
        <w:rPr>
          <w:rFonts w:ascii="楷体_GB2312" w:hAnsi="Times New Roman" w:eastAsia="楷体_GB2312" w:cs="Times New Roman"/>
          <w:b/>
          <w:color w:val="000000" w:themeColor="text1"/>
          <w:kern w:val="2"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color w:val="000000" w:themeColor="text1"/>
          <w:kern w:val="2"/>
          <w:sz w:val="32"/>
          <w:szCs w:val="32"/>
        </w:rPr>
        <w:t>（三）医疗器械经营企业许可及备案情况</w:t>
      </w:r>
    </w:p>
    <w:p>
      <w:pPr>
        <w:spacing w:line="560" w:lineRule="exact"/>
        <w:ind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</w:rPr>
        <w:t>2021</w:t>
      </w:r>
      <w:r>
        <w:rPr>
          <w:rFonts w:eastAsia="仿宋_GB2312"/>
          <w:color w:val="000000" w:themeColor="text1"/>
          <w:sz w:val="32"/>
          <w:szCs w:val="32"/>
        </w:rPr>
        <w:t>年</w:t>
      </w:r>
      <w:r>
        <w:rPr>
          <w:rFonts w:hint="eastAsia" w:eastAsia="仿宋_GB2312"/>
          <w:color w:val="000000" w:themeColor="text1"/>
          <w:sz w:val="32"/>
          <w:szCs w:val="32"/>
        </w:rPr>
        <w:t>第4</w:t>
      </w:r>
      <w:r>
        <w:rPr>
          <w:rFonts w:eastAsia="仿宋_GB2312"/>
          <w:color w:val="000000" w:themeColor="text1"/>
          <w:sz w:val="32"/>
          <w:szCs w:val="32"/>
        </w:rPr>
        <w:t>季度</w:t>
      </w:r>
      <w:r>
        <w:rPr>
          <w:rFonts w:hint="eastAsia" w:eastAsia="仿宋_GB2312"/>
          <w:color w:val="000000" w:themeColor="text1"/>
          <w:sz w:val="32"/>
          <w:szCs w:val="32"/>
        </w:rPr>
        <w:t>，仅从事第二类医疗器械经营的企业5595家，仅从事第三类医疗器械经营的企业773家，同时从事第二、三类医疗器械经营的企业4354家。</w:t>
      </w:r>
    </w:p>
    <w:p>
      <w:pPr>
        <w:spacing w:line="560" w:lineRule="exact"/>
        <w:ind w:firstLine="643"/>
        <w:rPr>
          <w:rFonts w:ascii="楷体_GB2312" w:eastAsia="楷体_GB2312"/>
          <w:b/>
          <w:color w:val="000000" w:themeColor="text1"/>
          <w:sz w:val="32"/>
          <w:szCs w:val="32"/>
        </w:rPr>
      </w:pPr>
      <w:r>
        <w:rPr>
          <w:rFonts w:hint="eastAsia" w:ascii="楷体_GB2312" w:eastAsia="楷体_GB2312"/>
          <w:b/>
          <w:color w:val="000000" w:themeColor="text1"/>
          <w:sz w:val="32"/>
          <w:szCs w:val="32"/>
        </w:rPr>
        <w:t>（四）医疗器械日常监管情况</w:t>
      </w:r>
    </w:p>
    <w:p>
      <w:pPr>
        <w:pStyle w:val="11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</w:rPr>
        <w:t>2021</w:t>
      </w:r>
      <w:r>
        <w:rPr>
          <w:rFonts w:eastAsia="仿宋_GB2312"/>
          <w:color w:val="000000" w:themeColor="text1"/>
          <w:sz w:val="32"/>
          <w:szCs w:val="32"/>
        </w:rPr>
        <w:t>年</w:t>
      </w:r>
      <w:r>
        <w:rPr>
          <w:rFonts w:hint="eastAsia" w:eastAsia="仿宋_GB2312"/>
          <w:color w:val="000000" w:themeColor="text1"/>
          <w:sz w:val="32"/>
          <w:szCs w:val="32"/>
        </w:rPr>
        <w:t>第4</w:t>
      </w:r>
      <w:r>
        <w:rPr>
          <w:rFonts w:eastAsia="仿宋_GB2312"/>
          <w:color w:val="000000" w:themeColor="text1"/>
          <w:sz w:val="32"/>
          <w:szCs w:val="32"/>
        </w:rPr>
        <w:t>季度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，全市共检查医疗器械生产企业227家次，全面检查高风险企业含无菌医疗器械的生产企业47家次，含植入性医疗器械的生产企业13家次，第三类医疗器械的生产企业32家次。</w:t>
      </w:r>
    </w:p>
    <w:p>
      <w:pPr>
        <w:pStyle w:val="11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全市共检查医疗器械经营企业、使用单位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、医疗器械网络交易服务第三方平台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3313家次，省级及以下组织医疗器械经营企业飞行检查17家次，存在违法违规的企业或单位83家次，完成整改的企业或单位100家次。</w:t>
      </w:r>
    </w:p>
    <w:p>
      <w:pPr>
        <w:spacing w:line="560" w:lineRule="exact"/>
        <w:ind w:firstLine="643"/>
        <w:rPr>
          <w:rFonts w:ascii="楷体_GB2312" w:eastAsia="楷体_GB2312"/>
          <w:b/>
          <w:color w:val="000000" w:themeColor="text1"/>
          <w:sz w:val="32"/>
          <w:szCs w:val="32"/>
        </w:rPr>
      </w:pPr>
      <w:r>
        <w:rPr>
          <w:rFonts w:hint="eastAsia" w:ascii="楷体_GB2312" w:eastAsia="楷体_GB2312"/>
          <w:b/>
          <w:color w:val="000000" w:themeColor="text1"/>
          <w:sz w:val="32"/>
          <w:szCs w:val="32"/>
        </w:rPr>
        <w:t>（五）地方医疗器械抽验情况</w:t>
      </w:r>
    </w:p>
    <w:p>
      <w:pPr>
        <w:pStyle w:val="11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</w:rPr>
        <w:t>2021</w:t>
      </w:r>
      <w:r>
        <w:rPr>
          <w:rFonts w:eastAsia="仿宋_GB2312"/>
          <w:color w:val="000000" w:themeColor="text1"/>
          <w:sz w:val="32"/>
          <w:szCs w:val="32"/>
        </w:rPr>
        <w:t>年</w:t>
      </w:r>
      <w:r>
        <w:rPr>
          <w:rFonts w:hint="eastAsia" w:eastAsia="仿宋_GB2312"/>
          <w:color w:val="000000" w:themeColor="text1"/>
          <w:sz w:val="32"/>
          <w:szCs w:val="32"/>
        </w:rPr>
        <w:t>第4</w:t>
      </w:r>
      <w:r>
        <w:rPr>
          <w:rFonts w:eastAsia="仿宋_GB2312"/>
          <w:color w:val="000000" w:themeColor="text1"/>
          <w:sz w:val="32"/>
          <w:szCs w:val="32"/>
        </w:rPr>
        <w:t>季度</w:t>
      </w:r>
      <w:r>
        <w:rPr>
          <w:rFonts w:hint="eastAsia" w:eastAsia="仿宋_GB2312"/>
          <w:color w:val="000000" w:themeColor="text1"/>
          <w:sz w:val="32"/>
          <w:szCs w:val="32"/>
        </w:rPr>
        <w:t>，全市共抽</w:t>
      </w:r>
      <w:r>
        <w:rPr>
          <w:rFonts w:hint="eastAsia" w:ascii="楷体_GB2312" w:eastAsia="楷体_GB2312"/>
          <w:color w:val="000000" w:themeColor="text1"/>
          <w:sz w:val="32"/>
          <w:szCs w:val="32"/>
        </w:rPr>
        <w:t>验</w:t>
      </w:r>
      <w:r>
        <w:rPr>
          <w:rFonts w:hint="eastAsia" w:eastAsia="仿宋_GB2312"/>
          <w:color w:val="000000" w:themeColor="text1"/>
          <w:sz w:val="32"/>
          <w:szCs w:val="32"/>
        </w:rPr>
        <w:t>主体数18家，抽</w:t>
      </w:r>
      <w:r>
        <w:rPr>
          <w:rFonts w:hint="eastAsia" w:ascii="楷体_GB2312" w:eastAsia="楷体_GB2312"/>
          <w:color w:val="000000" w:themeColor="text1"/>
          <w:sz w:val="32"/>
          <w:szCs w:val="32"/>
        </w:rPr>
        <w:t>验</w:t>
      </w:r>
      <w:r>
        <w:rPr>
          <w:rFonts w:hint="eastAsia" w:eastAsia="仿宋_GB2312"/>
          <w:color w:val="000000" w:themeColor="text1"/>
          <w:sz w:val="32"/>
          <w:szCs w:val="32"/>
        </w:rPr>
        <w:t>45批次。</w:t>
      </w:r>
    </w:p>
    <w:p>
      <w:pPr>
        <w:pStyle w:val="2"/>
        <w:spacing w:before="0" w:after="0" w:line="560" w:lineRule="exact"/>
        <w:ind w:firstLine="640"/>
        <w:rPr>
          <w:rFonts w:ascii="黑体" w:hAnsi="黑体" w:eastAsia="黑体"/>
          <w:color w:val="000000" w:themeColor="text1"/>
          <w:sz w:val="32"/>
          <w:szCs w:val="32"/>
        </w:rPr>
      </w:pPr>
      <w:bookmarkStart w:id="2" w:name="_Toc91151132"/>
      <w:r>
        <w:rPr>
          <w:rFonts w:hint="eastAsia" w:ascii="黑体" w:hAnsi="黑体" w:eastAsia="黑体"/>
          <w:color w:val="000000" w:themeColor="text1"/>
          <w:sz w:val="32"/>
          <w:szCs w:val="32"/>
        </w:rPr>
        <w:t>三、化妆品监管情况</w:t>
      </w:r>
      <w:bookmarkEnd w:id="2"/>
    </w:p>
    <w:p>
      <w:pPr>
        <w:spacing w:line="560" w:lineRule="exact"/>
        <w:ind w:firstLine="64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</w:rPr>
        <w:t>2021</w:t>
      </w:r>
      <w:r>
        <w:rPr>
          <w:rFonts w:eastAsia="仿宋_GB2312"/>
          <w:color w:val="000000" w:themeColor="text1"/>
          <w:sz w:val="32"/>
          <w:szCs w:val="32"/>
        </w:rPr>
        <w:t>年</w:t>
      </w:r>
      <w:r>
        <w:rPr>
          <w:rFonts w:hint="eastAsia" w:eastAsia="仿宋_GB2312"/>
          <w:color w:val="000000" w:themeColor="text1"/>
          <w:sz w:val="32"/>
          <w:szCs w:val="32"/>
        </w:rPr>
        <w:t>第4</w:t>
      </w:r>
      <w:r>
        <w:rPr>
          <w:rFonts w:eastAsia="仿宋_GB2312"/>
          <w:color w:val="000000" w:themeColor="text1"/>
          <w:sz w:val="32"/>
          <w:szCs w:val="32"/>
        </w:rPr>
        <w:t>季度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，全市共检查化妆品生产企业</w:t>
      </w:r>
      <w:r>
        <w:rPr>
          <w:rFonts w:hint="eastAsia" w:eastAsia="仿宋_GB2312"/>
          <w:color w:val="000000" w:themeColor="text1"/>
          <w:sz w:val="32"/>
          <w:szCs w:val="32"/>
        </w:rPr>
        <w:t>54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家次</w:t>
      </w:r>
      <w:r>
        <w:rPr>
          <w:rFonts w:hint="eastAsia" w:eastAsia="仿宋_GB2312"/>
          <w:color w:val="000000" w:themeColor="text1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抽验化妆品</w:t>
      </w:r>
      <w:r>
        <w:rPr>
          <w:rFonts w:hint="eastAsia" w:eastAsia="仿宋_GB2312"/>
          <w:color w:val="000000" w:themeColor="text1"/>
          <w:sz w:val="32"/>
          <w:szCs w:val="32"/>
        </w:rPr>
        <w:t>25</w:t>
      </w:r>
      <w:r>
        <w:rPr>
          <w:rFonts w:eastAsia="仿宋_GB2312"/>
          <w:color w:val="000000"/>
          <w:sz w:val="32"/>
          <w:szCs w:val="32"/>
        </w:rPr>
        <w:t>批次</w:t>
      </w:r>
      <w:r>
        <w:rPr>
          <w:rFonts w:hint="eastAsia" w:eastAsia="仿宋_GB2312"/>
          <w:color w:val="000000" w:themeColor="text1"/>
          <w:sz w:val="32"/>
          <w:szCs w:val="32"/>
        </w:rPr>
        <w:t>，飞行检查化妆品生产企业3家次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。</w:t>
      </w:r>
    </w:p>
    <w:p>
      <w:pPr>
        <w:pStyle w:val="2"/>
        <w:spacing w:before="0" w:after="0" w:line="560" w:lineRule="exact"/>
        <w:ind w:firstLine="643" w:firstLineChars="200"/>
        <w:contextualSpacing/>
        <w:rPr>
          <w:rFonts w:ascii="黑体" w:hAnsi="黑体" w:eastAsia="黑体"/>
          <w:b w:val="0"/>
          <w:color w:val="000000" w:themeColor="text1"/>
          <w:sz w:val="32"/>
          <w:szCs w:val="32"/>
        </w:rPr>
      </w:pPr>
      <w:bookmarkStart w:id="3" w:name="_Toc91151133"/>
      <w:r>
        <w:rPr>
          <w:rFonts w:hint="eastAsia" w:ascii="黑体" w:hAnsi="黑体" w:eastAsia="黑体"/>
          <w:color w:val="000000" w:themeColor="text1"/>
          <w:sz w:val="32"/>
          <w:szCs w:val="32"/>
        </w:rPr>
        <w:t>四、</w:t>
      </w:r>
      <w:bookmarkStart w:id="4" w:name="_Toc509562819"/>
      <w:r>
        <w:rPr>
          <w:rFonts w:hint="eastAsia" w:ascii="黑体" w:hAnsi="黑体" w:eastAsia="黑体"/>
          <w:color w:val="000000" w:themeColor="text1"/>
          <w:sz w:val="32"/>
          <w:szCs w:val="32"/>
        </w:rPr>
        <w:t>全市查处违法“两品一械”案件情况</w:t>
      </w:r>
      <w:bookmarkEnd w:id="3"/>
      <w:bookmarkEnd w:id="4"/>
    </w:p>
    <w:p>
      <w:pPr>
        <w:spacing w:line="52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第4</w:t>
      </w:r>
      <w:r>
        <w:rPr>
          <w:rFonts w:eastAsia="仿宋_GB2312"/>
          <w:sz w:val="32"/>
          <w:szCs w:val="32"/>
        </w:rPr>
        <w:t>季度</w:t>
      </w:r>
      <w:r>
        <w:rPr>
          <w:rFonts w:hint="eastAsia" w:eastAsia="仿宋_GB2312"/>
          <w:sz w:val="32"/>
          <w:szCs w:val="32"/>
        </w:rPr>
        <w:t>，全市查处违法“两品一械”案件共746件，其中一般程序案件711件，简易程序案件35件。</w:t>
      </w:r>
    </w:p>
    <w:p>
      <w:pPr>
        <w:spacing w:line="560" w:lineRule="exact"/>
        <w:ind w:firstLine="643"/>
        <w:rPr>
          <w:rFonts w:ascii="楷体_GB2312" w:eastAsia="楷体_GB2312"/>
          <w:b/>
          <w:color w:val="000000" w:themeColor="text1"/>
          <w:sz w:val="32"/>
          <w:szCs w:val="32"/>
        </w:rPr>
      </w:pPr>
      <w:r>
        <w:rPr>
          <w:rFonts w:hint="eastAsia" w:ascii="楷体_GB2312" w:eastAsia="楷体_GB2312"/>
          <w:b/>
          <w:color w:val="000000" w:themeColor="text1"/>
          <w:sz w:val="32"/>
          <w:szCs w:val="32"/>
        </w:rPr>
        <w:t>（一）全市违法药品案件查处情况</w:t>
      </w:r>
    </w:p>
    <w:p>
      <w:pPr>
        <w:spacing w:line="560" w:lineRule="exact"/>
        <w:ind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</w:rPr>
        <w:t>2021</w:t>
      </w:r>
      <w:r>
        <w:rPr>
          <w:rFonts w:eastAsia="仿宋_GB2312"/>
          <w:color w:val="000000" w:themeColor="text1"/>
          <w:sz w:val="32"/>
          <w:szCs w:val="32"/>
        </w:rPr>
        <w:t>年</w:t>
      </w:r>
      <w:r>
        <w:rPr>
          <w:rFonts w:hint="eastAsia" w:eastAsia="仿宋_GB2312"/>
          <w:color w:val="000000" w:themeColor="text1"/>
          <w:sz w:val="32"/>
          <w:szCs w:val="32"/>
        </w:rPr>
        <w:t>第4</w:t>
      </w:r>
      <w:r>
        <w:rPr>
          <w:rFonts w:eastAsia="仿宋_GB2312"/>
          <w:color w:val="000000" w:themeColor="text1"/>
          <w:sz w:val="32"/>
          <w:szCs w:val="32"/>
        </w:rPr>
        <w:t>季度</w:t>
      </w:r>
      <w:r>
        <w:rPr>
          <w:rFonts w:hint="eastAsia" w:eastAsia="仿宋_GB2312"/>
          <w:color w:val="000000" w:themeColor="text1"/>
          <w:sz w:val="32"/>
          <w:szCs w:val="32"/>
        </w:rPr>
        <w:t>，全市共查处药品案件489件，其中一般程序案件462件，简易程序案件27件。从违法主体看，生产企业10件、经营企业471件、医疗机构3件、其他违法主体5件。</w:t>
      </w:r>
    </w:p>
    <w:p>
      <w:pPr>
        <w:spacing w:line="560" w:lineRule="exact"/>
        <w:ind w:firstLine="643"/>
        <w:rPr>
          <w:rFonts w:ascii="楷体_GB2312" w:eastAsia="楷体_GB2312"/>
          <w:b/>
          <w:color w:val="000000" w:themeColor="text1"/>
          <w:sz w:val="32"/>
          <w:szCs w:val="32"/>
        </w:rPr>
      </w:pPr>
      <w:r>
        <w:rPr>
          <w:rFonts w:hint="eastAsia" w:ascii="楷体_GB2312" w:eastAsia="楷体_GB2312"/>
          <w:b/>
          <w:color w:val="000000" w:themeColor="text1"/>
          <w:sz w:val="32"/>
          <w:szCs w:val="32"/>
        </w:rPr>
        <w:t>（二）全市违法医疗器械案件查处情况</w:t>
      </w:r>
    </w:p>
    <w:p>
      <w:pPr>
        <w:spacing w:line="560" w:lineRule="exact"/>
        <w:ind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</w:rPr>
        <w:t>2021</w:t>
      </w:r>
      <w:r>
        <w:rPr>
          <w:rFonts w:eastAsia="仿宋_GB2312"/>
          <w:color w:val="000000" w:themeColor="text1"/>
          <w:sz w:val="32"/>
          <w:szCs w:val="32"/>
        </w:rPr>
        <w:t>年</w:t>
      </w:r>
      <w:r>
        <w:rPr>
          <w:rFonts w:hint="eastAsia" w:eastAsia="仿宋_GB2312"/>
          <w:color w:val="000000" w:themeColor="text1"/>
          <w:sz w:val="32"/>
          <w:szCs w:val="32"/>
        </w:rPr>
        <w:t>第4</w:t>
      </w:r>
      <w:r>
        <w:rPr>
          <w:rFonts w:eastAsia="仿宋_GB2312"/>
          <w:color w:val="000000" w:themeColor="text1"/>
          <w:sz w:val="32"/>
          <w:szCs w:val="32"/>
        </w:rPr>
        <w:t>季度</w:t>
      </w:r>
      <w:r>
        <w:rPr>
          <w:rFonts w:hint="eastAsia" w:eastAsia="仿宋_GB2312"/>
          <w:color w:val="000000" w:themeColor="text1"/>
          <w:sz w:val="32"/>
          <w:szCs w:val="32"/>
        </w:rPr>
        <w:t>，全市共查处医疗器械案件219件，其中一般程序案件211件，简易程序案件8件。从违法主体看，生产企业62件、经营企业122件、医疗机构35件。</w:t>
      </w:r>
    </w:p>
    <w:p>
      <w:pPr>
        <w:spacing w:line="560" w:lineRule="exact"/>
        <w:ind w:firstLine="643"/>
        <w:rPr>
          <w:rFonts w:ascii="楷体_GB2312" w:eastAsia="楷体_GB2312"/>
          <w:b/>
          <w:color w:val="000000" w:themeColor="text1"/>
          <w:sz w:val="32"/>
          <w:szCs w:val="32"/>
        </w:rPr>
        <w:sectPr>
          <w:footerReference r:id="rId5" w:type="default"/>
          <w:type w:val="continuous"/>
          <w:pgSz w:w="11906" w:h="16838"/>
          <w:pgMar w:top="1531" w:right="1531" w:bottom="1531" w:left="1531" w:header="851" w:footer="992" w:gutter="0"/>
          <w:cols w:space="720" w:num="1"/>
        </w:sectPr>
      </w:pPr>
    </w:p>
    <w:p>
      <w:pPr>
        <w:spacing w:line="560" w:lineRule="exact"/>
        <w:ind w:firstLine="643"/>
        <w:rPr>
          <w:rFonts w:ascii="楷体_GB2312" w:eastAsia="楷体_GB2312"/>
          <w:color w:val="000000" w:themeColor="text1"/>
          <w:sz w:val="32"/>
          <w:szCs w:val="32"/>
        </w:rPr>
      </w:pPr>
      <w:r>
        <w:rPr>
          <w:rFonts w:hint="eastAsia" w:ascii="楷体_GB2312" w:eastAsia="楷体_GB2312"/>
          <w:b/>
          <w:color w:val="000000" w:themeColor="text1"/>
          <w:sz w:val="32"/>
          <w:szCs w:val="32"/>
        </w:rPr>
        <w:t>（三）全市查处违法化妆品案件情况</w:t>
      </w:r>
    </w:p>
    <w:p>
      <w:pPr>
        <w:spacing w:line="560" w:lineRule="exact"/>
        <w:ind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</w:rPr>
        <w:t>2021</w:t>
      </w:r>
      <w:r>
        <w:rPr>
          <w:rFonts w:eastAsia="仿宋_GB2312"/>
          <w:color w:val="000000" w:themeColor="text1"/>
          <w:sz w:val="32"/>
          <w:szCs w:val="32"/>
        </w:rPr>
        <w:t>年</w:t>
      </w:r>
      <w:r>
        <w:rPr>
          <w:rFonts w:hint="eastAsia" w:eastAsia="仿宋_GB2312"/>
          <w:color w:val="000000" w:themeColor="text1"/>
          <w:sz w:val="32"/>
          <w:szCs w:val="32"/>
        </w:rPr>
        <w:t>第4</w:t>
      </w:r>
      <w:r>
        <w:rPr>
          <w:rFonts w:eastAsia="仿宋_GB2312"/>
          <w:color w:val="000000" w:themeColor="text1"/>
          <w:sz w:val="32"/>
          <w:szCs w:val="32"/>
        </w:rPr>
        <w:t>季度</w:t>
      </w:r>
      <w:r>
        <w:rPr>
          <w:rFonts w:hint="eastAsia" w:eastAsia="仿宋_GB2312"/>
          <w:color w:val="000000" w:themeColor="text1"/>
          <w:sz w:val="32"/>
          <w:szCs w:val="32"/>
        </w:rPr>
        <w:t>，全市共查处化妆品案件38件，均为一般程序案件。从违法主体看，生产企业7件、经营企业23件、</w:t>
      </w:r>
      <w:r>
        <w:rPr>
          <w:rFonts w:eastAsia="仿宋_GB2312"/>
          <w:color w:val="000000"/>
          <w:sz w:val="32"/>
          <w:szCs w:val="32"/>
        </w:rPr>
        <w:t>美容美发机构</w:t>
      </w:r>
      <w:r>
        <w:rPr>
          <w:rFonts w:hint="eastAsia" w:eastAsia="仿宋_GB2312"/>
          <w:color w:val="000000" w:themeColor="text1"/>
          <w:sz w:val="32"/>
          <w:szCs w:val="32"/>
        </w:rPr>
        <w:t>5件、其他</w:t>
      </w:r>
      <w:r>
        <w:rPr>
          <w:rFonts w:eastAsia="仿宋_GB2312"/>
          <w:color w:val="000000"/>
          <w:sz w:val="32"/>
          <w:szCs w:val="32"/>
        </w:rPr>
        <w:t>违法主体</w:t>
      </w:r>
      <w:r>
        <w:rPr>
          <w:rFonts w:hint="eastAsia" w:eastAsia="仿宋_GB2312"/>
          <w:color w:val="000000" w:themeColor="text1"/>
          <w:sz w:val="32"/>
          <w:szCs w:val="32"/>
        </w:rPr>
        <w:t>3件。</w:t>
      </w:r>
    </w:p>
    <w:p>
      <w:pPr>
        <w:spacing w:line="560" w:lineRule="exact"/>
        <w:ind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pict>
          <v:shape id="_x0000_s1031" o:spid="_x0000_s1031" o:spt="202" type="#_x0000_t202" style="position:absolute;left:0pt;margin-left:41.4pt;margin-top:7.65pt;height:192.6pt;width:354.85pt;z-index:251662336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drawing>
                      <wp:inline distT="0" distB="0" distL="0" distR="0">
                        <wp:extent cx="4362450" cy="2333625"/>
                        <wp:effectExtent l="19050" t="0" r="19050" b="0"/>
                        <wp:docPr id="1" name="图表 3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>
      <w:pPr>
        <w:spacing w:line="560" w:lineRule="exact"/>
        <w:ind w:firstLine="640"/>
        <w:rPr>
          <w:rFonts w:eastAsia="仿宋_GB2312"/>
          <w:color w:val="000000" w:themeColor="text1"/>
          <w:sz w:val="32"/>
          <w:szCs w:val="32"/>
        </w:rPr>
      </w:pPr>
    </w:p>
    <w:p>
      <w:pPr>
        <w:spacing w:line="560" w:lineRule="exact"/>
        <w:ind w:firstLine="640"/>
        <w:rPr>
          <w:rFonts w:eastAsia="仿宋_GB2312"/>
          <w:color w:val="000000" w:themeColor="text1"/>
          <w:sz w:val="32"/>
          <w:szCs w:val="32"/>
        </w:rPr>
      </w:pPr>
    </w:p>
    <w:p>
      <w:pPr>
        <w:spacing w:line="560" w:lineRule="exact"/>
        <w:ind w:firstLine="640"/>
        <w:rPr>
          <w:rFonts w:eastAsia="仿宋_GB2312"/>
          <w:color w:val="000000" w:themeColor="text1"/>
          <w:sz w:val="32"/>
          <w:szCs w:val="32"/>
        </w:rPr>
      </w:pPr>
    </w:p>
    <w:p>
      <w:pPr>
        <w:spacing w:line="560" w:lineRule="exact"/>
        <w:ind w:firstLine="640"/>
        <w:rPr>
          <w:rFonts w:eastAsia="仿宋_GB2312"/>
          <w:color w:val="000000" w:themeColor="text1"/>
          <w:sz w:val="32"/>
          <w:szCs w:val="32"/>
        </w:rPr>
      </w:pPr>
    </w:p>
    <w:p>
      <w:pPr>
        <w:spacing w:line="560" w:lineRule="exact"/>
        <w:ind w:firstLine="643"/>
        <w:rPr>
          <w:rFonts w:ascii="楷体_GB2312" w:eastAsia="楷体_GB2312"/>
          <w:b/>
          <w:color w:val="000000" w:themeColor="text1"/>
          <w:sz w:val="32"/>
          <w:szCs w:val="32"/>
        </w:rPr>
      </w:pPr>
    </w:p>
    <w:p>
      <w:pPr>
        <w:spacing w:line="560" w:lineRule="exact"/>
        <w:ind w:firstLine="643"/>
        <w:rPr>
          <w:rFonts w:ascii="楷体_GB2312" w:eastAsia="楷体_GB2312"/>
          <w:b/>
          <w:color w:val="000000" w:themeColor="text1"/>
          <w:sz w:val="32"/>
          <w:szCs w:val="32"/>
        </w:rPr>
      </w:pPr>
    </w:p>
    <w:p>
      <w:pPr>
        <w:spacing w:beforeLines="100" w:line="560" w:lineRule="exact"/>
        <w:ind w:firstLine="641"/>
        <w:rPr>
          <w:rFonts w:ascii="楷体_GB2312" w:eastAsia="楷体_GB2312"/>
          <w:b/>
          <w:color w:val="000000" w:themeColor="text1"/>
          <w:sz w:val="32"/>
          <w:szCs w:val="32"/>
        </w:rPr>
      </w:pPr>
      <w:r>
        <w:rPr>
          <w:rFonts w:hint="eastAsia" w:ascii="楷体_GB2312" w:eastAsia="楷体_GB2312"/>
          <w:b/>
          <w:color w:val="000000" w:themeColor="text1"/>
          <w:sz w:val="32"/>
          <w:szCs w:val="32"/>
        </w:rPr>
        <w:t>（四）全市查办侵权假冒案件情况</w:t>
      </w:r>
    </w:p>
    <w:p>
      <w:pPr>
        <w:spacing w:line="560" w:lineRule="exact"/>
        <w:ind w:firstLine="643"/>
        <w:rPr>
          <w:rFonts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</w:rPr>
        <w:t>2021</w:t>
      </w:r>
      <w:r>
        <w:rPr>
          <w:rFonts w:eastAsia="仿宋_GB2312"/>
          <w:color w:val="000000" w:themeColor="text1"/>
          <w:sz w:val="32"/>
          <w:szCs w:val="32"/>
        </w:rPr>
        <w:t>年</w:t>
      </w:r>
      <w:r>
        <w:rPr>
          <w:rFonts w:hint="eastAsia" w:eastAsia="仿宋_GB2312"/>
          <w:color w:val="000000" w:themeColor="text1"/>
          <w:sz w:val="32"/>
          <w:szCs w:val="32"/>
        </w:rPr>
        <w:t>第4</w:t>
      </w:r>
      <w:r>
        <w:rPr>
          <w:rFonts w:eastAsia="仿宋_GB2312"/>
          <w:color w:val="000000" w:themeColor="text1"/>
          <w:sz w:val="32"/>
          <w:szCs w:val="32"/>
        </w:rPr>
        <w:t>季度</w:t>
      </w:r>
      <w:r>
        <w:rPr>
          <w:rFonts w:hint="eastAsia" w:eastAsia="仿宋_GB2312"/>
          <w:color w:val="000000" w:themeColor="text1"/>
          <w:sz w:val="32"/>
          <w:szCs w:val="32"/>
        </w:rPr>
        <w:t>，药品侵权假冒案件共计立案15件，其中生产销售假药的2件，生产销售劣药的4件，生产销售不符合标准的医疗器械的9件；办结案件31件，其中生产销售假药的2件，生产销售劣药的3件，生产销售不符合标准的医疗器械26件。</w:t>
      </w:r>
    </w:p>
    <w:p>
      <w:pPr>
        <w:spacing w:line="560" w:lineRule="exact"/>
        <w:rPr>
          <w:rFonts w:eastAsia="仿宋_GB2312"/>
          <w:color w:val="000000" w:themeColor="text1"/>
          <w:sz w:val="32"/>
          <w:szCs w:val="32"/>
        </w:rPr>
      </w:pPr>
    </w:p>
    <w:sectPr>
      <w:footerReference r:id="rId6" w:type="default"/>
      <w:type w:val="continuous"/>
      <w:pgSz w:w="11906" w:h="16838"/>
      <w:pgMar w:top="1531" w:right="1531" w:bottom="1531" w:left="1531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090D"/>
    <w:rsid w:val="00001A4D"/>
    <w:rsid w:val="00002439"/>
    <w:rsid w:val="000028FD"/>
    <w:rsid w:val="00004213"/>
    <w:rsid w:val="0000709D"/>
    <w:rsid w:val="00012173"/>
    <w:rsid w:val="000141AA"/>
    <w:rsid w:val="0001500C"/>
    <w:rsid w:val="00015AF0"/>
    <w:rsid w:val="00024400"/>
    <w:rsid w:val="00025E77"/>
    <w:rsid w:val="00033D52"/>
    <w:rsid w:val="00042607"/>
    <w:rsid w:val="0004330E"/>
    <w:rsid w:val="00045707"/>
    <w:rsid w:val="00051CB5"/>
    <w:rsid w:val="00055001"/>
    <w:rsid w:val="00057AC7"/>
    <w:rsid w:val="00060E46"/>
    <w:rsid w:val="00063D40"/>
    <w:rsid w:val="00064BFC"/>
    <w:rsid w:val="00066A68"/>
    <w:rsid w:val="00072D75"/>
    <w:rsid w:val="0007338A"/>
    <w:rsid w:val="00076B79"/>
    <w:rsid w:val="00076FAE"/>
    <w:rsid w:val="00095A50"/>
    <w:rsid w:val="000A1648"/>
    <w:rsid w:val="000A64E1"/>
    <w:rsid w:val="000B4049"/>
    <w:rsid w:val="000B4ECF"/>
    <w:rsid w:val="000B593D"/>
    <w:rsid w:val="000D1CB7"/>
    <w:rsid w:val="000E4243"/>
    <w:rsid w:val="000E4405"/>
    <w:rsid w:val="000E4714"/>
    <w:rsid w:val="000F248D"/>
    <w:rsid w:val="000F3CE4"/>
    <w:rsid w:val="00102320"/>
    <w:rsid w:val="001053A3"/>
    <w:rsid w:val="00113DC0"/>
    <w:rsid w:val="00116FB9"/>
    <w:rsid w:val="00117403"/>
    <w:rsid w:val="00117FBF"/>
    <w:rsid w:val="0012090F"/>
    <w:rsid w:val="0012152E"/>
    <w:rsid w:val="00121555"/>
    <w:rsid w:val="001239B0"/>
    <w:rsid w:val="001274D9"/>
    <w:rsid w:val="00127B8D"/>
    <w:rsid w:val="001327B7"/>
    <w:rsid w:val="00137F86"/>
    <w:rsid w:val="001437A8"/>
    <w:rsid w:val="001448C6"/>
    <w:rsid w:val="001454DA"/>
    <w:rsid w:val="0015623E"/>
    <w:rsid w:val="00157A77"/>
    <w:rsid w:val="00172578"/>
    <w:rsid w:val="00180EE7"/>
    <w:rsid w:val="001915A0"/>
    <w:rsid w:val="00192545"/>
    <w:rsid w:val="0019412E"/>
    <w:rsid w:val="001A27DC"/>
    <w:rsid w:val="001A3B75"/>
    <w:rsid w:val="001A4260"/>
    <w:rsid w:val="001A4F26"/>
    <w:rsid w:val="001A65E1"/>
    <w:rsid w:val="001B17C1"/>
    <w:rsid w:val="001B2615"/>
    <w:rsid w:val="001B3FFA"/>
    <w:rsid w:val="001B78E5"/>
    <w:rsid w:val="001C170B"/>
    <w:rsid w:val="001C2649"/>
    <w:rsid w:val="001C72B4"/>
    <w:rsid w:val="001D4254"/>
    <w:rsid w:val="001F0F33"/>
    <w:rsid w:val="001F1EF6"/>
    <w:rsid w:val="001F4F59"/>
    <w:rsid w:val="001F5F43"/>
    <w:rsid w:val="001F66EF"/>
    <w:rsid w:val="002116FA"/>
    <w:rsid w:val="002120E8"/>
    <w:rsid w:val="00212C92"/>
    <w:rsid w:val="0021318B"/>
    <w:rsid w:val="00223B3B"/>
    <w:rsid w:val="002346DC"/>
    <w:rsid w:val="00237FA4"/>
    <w:rsid w:val="00240B32"/>
    <w:rsid w:val="00241D69"/>
    <w:rsid w:val="002452C1"/>
    <w:rsid w:val="00245D4C"/>
    <w:rsid w:val="00257573"/>
    <w:rsid w:val="002857B5"/>
    <w:rsid w:val="002902C5"/>
    <w:rsid w:val="00291EC9"/>
    <w:rsid w:val="00292776"/>
    <w:rsid w:val="00294BE0"/>
    <w:rsid w:val="00294F81"/>
    <w:rsid w:val="0029520E"/>
    <w:rsid w:val="002952F1"/>
    <w:rsid w:val="002A00ED"/>
    <w:rsid w:val="002A073D"/>
    <w:rsid w:val="002A1592"/>
    <w:rsid w:val="002A49FA"/>
    <w:rsid w:val="002A519D"/>
    <w:rsid w:val="002B7FAC"/>
    <w:rsid w:val="002C0B1F"/>
    <w:rsid w:val="002C0F46"/>
    <w:rsid w:val="002C1E24"/>
    <w:rsid w:val="002C5111"/>
    <w:rsid w:val="002D1540"/>
    <w:rsid w:val="002D3EA9"/>
    <w:rsid w:val="002D448B"/>
    <w:rsid w:val="002D6715"/>
    <w:rsid w:val="002E0EC3"/>
    <w:rsid w:val="002E44FA"/>
    <w:rsid w:val="002E6731"/>
    <w:rsid w:val="002E6908"/>
    <w:rsid w:val="002E7DDE"/>
    <w:rsid w:val="002F0F32"/>
    <w:rsid w:val="003016C3"/>
    <w:rsid w:val="003037BD"/>
    <w:rsid w:val="00307E6B"/>
    <w:rsid w:val="003108DA"/>
    <w:rsid w:val="00314013"/>
    <w:rsid w:val="00314868"/>
    <w:rsid w:val="00321BE9"/>
    <w:rsid w:val="00334020"/>
    <w:rsid w:val="00334D5A"/>
    <w:rsid w:val="003352C5"/>
    <w:rsid w:val="00337B16"/>
    <w:rsid w:val="00344F96"/>
    <w:rsid w:val="00347FA0"/>
    <w:rsid w:val="003504FD"/>
    <w:rsid w:val="00350637"/>
    <w:rsid w:val="0035428B"/>
    <w:rsid w:val="00355975"/>
    <w:rsid w:val="0036490D"/>
    <w:rsid w:val="0037167D"/>
    <w:rsid w:val="00372507"/>
    <w:rsid w:val="00375F44"/>
    <w:rsid w:val="0038460E"/>
    <w:rsid w:val="003906D3"/>
    <w:rsid w:val="00394848"/>
    <w:rsid w:val="00395506"/>
    <w:rsid w:val="003963DF"/>
    <w:rsid w:val="003A0198"/>
    <w:rsid w:val="003A0719"/>
    <w:rsid w:val="003A07F9"/>
    <w:rsid w:val="003A0968"/>
    <w:rsid w:val="003A4304"/>
    <w:rsid w:val="003B6D08"/>
    <w:rsid w:val="003B781F"/>
    <w:rsid w:val="003C0D88"/>
    <w:rsid w:val="003C2C17"/>
    <w:rsid w:val="003D06DC"/>
    <w:rsid w:val="003D1692"/>
    <w:rsid w:val="003D3771"/>
    <w:rsid w:val="003D7E8B"/>
    <w:rsid w:val="003E1D58"/>
    <w:rsid w:val="003E6D53"/>
    <w:rsid w:val="003F0343"/>
    <w:rsid w:val="003F611A"/>
    <w:rsid w:val="003F72E1"/>
    <w:rsid w:val="00403E7D"/>
    <w:rsid w:val="00404FA7"/>
    <w:rsid w:val="00423ACC"/>
    <w:rsid w:val="00426735"/>
    <w:rsid w:val="0043118A"/>
    <w:rsid w:val="004336D6"/>
    <w:rsid w:val="00433B18"/>
    <w:rsid w:val="00436330"/>
    <w:rsid w:val="00436C74"/>
    <w:rsid w:val="00437350"/>
    <w:rsid w:val="00442EEB"/>
    <w:rsid w:val="004456A2"/>
    <w:rsid w:val="00447BDC"/>
    <w:rsid w:val="0045285E"/>
    <w:rsid w:val="004550BC"/>
    <w:rsid w:val="00455B51"/>
    <w:rsid w:val="00461128"/>
    <w:rsid w:val="00466959"/>
    <w:rsid w:val="00466F59"/>
    <w:rsid w:val="004774D7"/>
    <w:rsid w:val="00481598"/>
    <w:rsid w:val="00483771"/>
    <w:rsid w:val="00486148"/>
    <w:rsid w:val="00490C13"/>
    <w:rsid w:val="00493070"/>
    <w:rsid w:val="004939C5"/>
    <w:rsid w:val="00495E92"/>
    <w:rsid w:val="00496D9E"/>
    <w:rsid w:val="004A41C1"/>
    <w:rsid w:val="004A5911"/>
    <w:rsid w:val="004A7C71"/>
    <w:rsid w:val="004A7FCC"/>
    <w:rsid w:val="004B00E2"/>
    <w:rsid w:val="004B44F2"/>
    <w:rsid w:val="004B527E"/>
    <w:rsid w:val="004B6E8A"/>
    <w:rsid w:val="004C30BC"/>
    <w:rsid w:val="004C3669"/>
    <w:rsid w:val="004C65D2"/>
    <w:rsid w:val="004D0B7F"/>
    <w:rsid w:val="004D1DE0"/>
    <w:rsid w:val="004D228A"/>
    <w:rsid w:val="004D2433"/>
    <w:rsid w:val="004D2F59"/>
    <w:rsid w:val="004D58E2"/>
    <w:rsid w:val="004E046C"/>
    <w:rsid w:val="004E1E1A"/>
    <w:rsid w:val="004E291B"/>
    <w:rsid w:val="004E39F9"/>
    <w:rsid w:val="004F1954"/>
    <w:rsid w:val="00500101"/>
    <w:rsid w:val="00506437"/>
    <w:rsid w:val="005074D3"/>
    <w:rsid w:val="005121BA"/>
    <w:rsid w:val="00515EED"/>
    <w:rsid w:val="005171BB"/>
    <w:rsid w:val="00521C22"/>
    <w:rsid w:val="00522EF5"/>
    <w:rsid w:val="00523152"/>
    <w:rsid w:val="005308B8"/>
    <w:rsid w:val="00532C49"/>
    <w:rsid w:val="00533C51"/>
    <w:rsid w:val="0054047B"/>
    <w:rsid w:val="00541462"/>
    <w:rsid w:val="005508AC"/>
    <w:rsid w:val="00551EEC"/>
    <w:rsid w:val="00556536"/>
    <w:rsid w:val="0055658C"/>
    <w:rsid w:val="00562FC0"/>
    <w:rsid w:val="00563909"/>
    <w:rsid w:val="00565E37"/>
    <w:rsid w:val="00567174"/>
    <w:rsid w:val="00574485"/>
    <w:rsid w:val="005765F2"/>
    <w:rsid w:val="00576C57"/>
    <w:rsid w:val="00576D84"/>
    <w:rsid w:val="00582932"/>
    <w:rsid w:val="00587B7B"/>
    <w:rsid w:val="00595CBD"/>
    <w:rsid w:val="005A5CC4"/>
    <w:rsid w:val="005B5959"/>
    <w:rsid w:val="005B5EFB"/>
    <w:rsid w:val="005B600D"/>
    <w:rsid w:val="005B73D4"/>
    <w:rsid w:val="005C1BB8"/>
    <w:rsid w:val="005D10B5"/>
    <w:rsid w:val="005E3DC1"/>
    <w:rsid w:val="005E4149"/>
    <w:rsid w:val="005E5DB7"/>
    <w:rsid w:val="005E73B3"/>
    <w:rsid w:val="005E741C"/>
    <w:rsid w:val="005F1352"/>
    <w:rsid w:val="005F1A88"/>
    <w:rsid w:val="005F373C"/>
    <w:rsid w:val="005F3CFD"/>
    <w:rsid w:val="005F3E86"/>
    <w:rsid w:val="005F5310"/>
    <w:rsid w:val="006049D5"/>
    <w:rsid w:val="00614F65"/>
    <w:rsid w:val="00615288"/>
    <w:rsid w:val="006305E1"/>
    <w:rsid w:val="00634EF1"/>
    <w:rsid w:val="006355F4"/>
    <w:rsid w:val="00653B7D"/>
    <w:rsid w:val="0066244E"/>
    <w:rsid w:val="00663809"/>
    <w:rsid w:val="00664CE8"/>
    <w:rsid w:val="0066542A"/>
    <w:rsid w:val="00666AA2"/>
    <w:rsid w:val="00670E72"/>
    <w:rsid w:val="00674C6D"/>
    <w:rsid w:val="00675254"/>
    <w:rsid w:val="00676182"/>
    <w:rsid w:val="00676392"/>
    <w:rsid w:val="00681B5D"/>
    <w:rsid w:val="00681FF7"/>
    <w:rsid w:val="006829B3"/>
    <w:rsid w:val="00683870"/>
    <w:rsid w:val="00692E3D"/>
    <w:rsid w:val="006A17F5"/>
    <w:rsid w:val="006A20A7"/>
    <w:rsid w:val="006A40A4"/>
    <w:rsid w:val="006A738F"/>
    <w:rsid w:val="006B6658"/>
    <w:rsid w:val="006C5FEC"/>
    <w:rsid w:val="006C7F79"/>
    <w:rsid w:val="006D4EAD"/>
    <w:rsid w:val="006E13BC"/>
    <w:rsid w:val="006E3543"/>
    <w:rsid w:val="006E3DAA"/>
    <w:rsid w:val="006F3AB0"/>
    <w:rsid w:val="00700768"/>
    <w:rsid w:val="00700896"/>
    <w:rsid w:val="00715416"/>
    <w:rsid w:val="00715F9E"/>
    <w:rsid w:val="00716404"/>
    <w:rsid w:val="00717222"/>
    <w:rsid w:val="007236D7"/>
    <w:rsid w:val="00724F19"/>
    <w:rsid w:val="00725ED7"/>
    <w:rsid w:val="007279E1"/>
    <w:rsid w:val="00730A18"/>
    <w:rsid w:val="0073458F"/>
    <w:rsid w:val="0074012C"/>
    <w:rsid w:val="00741C93"/>
    <w:rsid w:val="00742473"/>
    <w:rsid w:val="007430A7"/>
    <w:rsid w:val="00745501"/>
    <w:rsid w:val="00753582"/>
    <w:rsid w:val="00754ED3"/>
    <w:rsid w:val="00755CAF"/>
    <w:rsid w:val="0076660E"/>
    <w:rsid w:val="00771CBE"/>
    <w:rsid w:val="007730FD"/>
    <w:rsid w:val="00774C8D"/>
    <w:rsid w:val="0077526E"/>
    <w:rsid w:val="00781DBE"/>
    <w:rsid w:val="00785E33"/>
    <w:rsid w:val="00785E6C"/>
    <w:rsid w:val="00787005"/>
    <w:rsid w:val="00787472"/>
    <w:rsid w:val="00792731"/>
    <w:rsid w:val="007948C0"/>
    <w:rsid w:val="00794EB0"/>
    <w:rsid w:val="007A56E9"/>
    <w:rsid w:val="007B6D13"/>
    <w:rsid w:val="007C4193"/>
    <w:rsid w:val="007D3A7B"/>
    <w:rsid w:val="007D4C26"/>
    <w:rsid w:val="007E2F6F"/>
    <w:rsid w:val="007E74F9"/>
    <w:rsid w:val="007F27D8"/>
    <w:rsid w:val="007F285E"/>
    <w:rsid w:val="007F3EF0"/>
    <w:rsid w:val="00802E2C"/>
    <w:rsid w:val="00803B53"/>
    <w:rsid w:val="00805612"/>
    <w:rsid w:val="00805B0B"/>
    <w:rsid w:val="00807265"/>
    <w:rsid w:val="0081654F"/>
    <w:rsid w:val="008208DE"/>
    <w:rsid w:val="00821287"/>
    <w:rsid w:val="00822AB9"/>
    <w:rsid w:val="008242EF"/>
    <w:rsid w:val="00825288"/>
    <w:rsid w:val="0082628A"/>
    <w:rsid w:val="00831976"/>
    <w:rsid w:val="0083396B"/>
    <w:rsid w:val="00841B9E"/>
    <w:rsid w:val="00843F9D"/>
    <w:rsid w:val="0084410E"/>
    <w:rsid w:val="0085107C"/>
    <w:rsid w:val="00854246"/>
    <w:rsid w:val="00867FC8"/>
    <w:rsid w:val="00870D0E"/>
    <w:rsid w:val="008723F7"/>
    <w:rsid w:val="008728EA"/>
    <w:rsid w:val="00881536"/>
    <w:rsid w:val="0088488C"/>
    <w:rsid w:val="008851E9"/>
    <w:rsid w:val="00886AEC"/>
    <w:rsid w:val="00887B78"/>
    <w:rsid w:val="00890B26"/>
    <w:rsid w:val="008A6EDF"/>
    <w:rsid w:val="008C5B1B"/>
    <w:rsid w:val="008C6D34"/>
    <w:rsid w:val="008C718F"/>
    <w:rsid w:val="008C7AC0"/>
    <w:rsid w:val="008D54AA"/>
    <w:rsid w:val="008D54C9"/>
    <w:rsid w:val="008D61F5"/>
    <w:rsid w:val="008E3533"/>
    <w:rsid w:val="008E3EAE"/>
    <w:rsid w:val="008E3FB8"/>
    <w:rsid w:val="008E5CCA"/>
    <w:rsid w:val="008F041B"/>
    <w:rsid w:val="008F4415"/>
    <w:rsid w:val="008F734F"/>
    <w:rsid w:val="00902517"/>
    <w:rsid w:val="00902A0F"/>
    <w:rsid w:val="00902D1C"/>
    <w:rsid w:val="009070DE"/>
    <w:rsid w:val="00910042"/>
    <w:rsid w:val="009129D9"/>
    <w:rsid w:val="00916BD7"/>
    <w:rsid w:val="00916EE8"/>
    <w:rsid w:val="00921181"/>
    <w:rsid w:val="009215D3"/>
    <w:rsid w:val="00921CBB"/>
    <w:rsid w:val="00923D47"/>
    <w:rsid w:val="00925084"/>
    <w:rsid w:val="00947BB3"/>
    <w:rsid w:val="0095275A"/>
    <w:rsid w:val="0095395D"/>
    <w:rsid w:val="0095758C"/>
    <w:rsid w:val="009678ED"/>
    <w:rsid w:val="00971357"/>
    <w:rsid w:val="009728BE"/>
    <w:rsid w:val="00972C14"/>
    <w:rsid w:val="00977224"/>
    <w:rsid w:val="00981876"/>
    <w:rsid w:val="00981C1B"/>
    <w:rsid w:val="00992635"/>
    <w:rsid w:val="00996BE0"/>
    <w:rsid w:val="009A314A"/>
    <w:rsid w:val="009B0336"/>
    <w:rsid w:val="009B1A2D"/>
    <w:rsid w:val="009B342A"/>
    <w:rsid w:val="009C0558"/>
    <w:rsid w:val="009C52BE"/>
    <w:rsid w:val="009C53DC"/>
    <w:rsid w:val="009D12CC"/>
    <w:rsid w:val="009D6675"/>
    <w:rsid w:val="009E7AF0"/>
    <w:rsid w:val="009F3F53"/>
    <w:rsid w:val="00A0092C"/>
    <w:rsid w:val="00A038FF"/>
    <w:rsid w:val="00A06404"/>
    <w:rsid w:val="00A1063B"/>
    <w:rsid w:val="00A16288"/>
    <w:rsid w:val="00A231DB"/>
    <w:rsid w:val="00A30CD2"/>
    <w:rsid w:val="00A31583"/>
    <w:rsid w:val="00A338E1"/>
    <w:rsid w:val="00A37A91"/>
    <w:rsid w:val="00A37CB9"/>
    <w:rsid w:val="00A41119"/>
    <w:rsid w:val="00A44582"/>
    <w:rsid w:val="00A467E5"/>
    <w:rsid w:val="00A477E0"/>
    <w:rsid w:val="00A51448"/>
    <w:rsid w:val="00A522F7"/>
    <w:rsid w:val="00A60D8B"/>
    <w:rsid w:val="00A612AE"/>
    <w:rsid w:val="00A64984"/>
    <w:rsid w:val="00A70666"/>
    <w:rsid w:val="00A70BC4"/>
    <w:rsid w:val="00A70D3E"/>
    <w:rsid w:val="00A818A0"/>
    <w:rsid w:val="00A85DD6"/>
    <w:rsid w:val="00A915ED"/>
    <w:rsid w:val="00AA41C4"/>
    <w:rsid w:val="00AB50F5"/>
    <w:rsid w:val="00AB61B8"/>
    <w:rsid w:val="00AC1536"/>
    <w:rsid w:val="00AC20FD"/>
    <w:rsid w:val="00AC277F"/>
    <w:rsid w:val="00AC55FA"/>
    <w:rsid w:val="00AC7DCA"/>
    <w:rsid w:val="00AD2335"/>
    <w:rsid w:val="00AD24DF"/>
    <w:rsid w:val="00AD440C"/>
    <w:rsid w:val="00AD452C"/>
    <w:rsid w:val="00AD5D9C"/>
    <w:rsid w:val="00AD7390"/>
    <w:rsid w:val="00AE1FF2"/>
    <w:rsid w:val="00AF74F2"/>
    <w:rsid w:val="00B06AAF"/>
    <w:rsid w:val="00B07F11"/>
    <w:rsid w:val="00B11259"/>
    <w:rsid w:val="00B235BA"/>
    <w:rsid w:val="00B30F74"/>
    <w:rsid w:val="00B31B19"/>
    <w:rsid w:val="00B346BE"/>
    <w:rsid w:val="00B375B1"/>
    <w:rsid w:val="00B42269"/>
    <w:rsid w:val="00B44266"/>
    <w:rsid w:val="00B4496F"/>
    <w:rsid w:val="00B50225"/>
    <w:rsid w:val="00B61098"/>
    <w:rsid w:val="00B651B5"/>
    <w:rsid w:val="00B70CF1"/>
    <w:rsid w:val="00B718C6"/>
    <w:rsid w:val="00B766B8"/>
    <w:rsid w:val="00B82B02"/>
    <w:rsid w:val="00B839A1"/>
    <w:rsid w:val="00B84F34"/>
    <w:rsid w:val="00B90B46"/>
    <w:rsid w:val="00B92BBB"/>
    <w:rsid w:val="00B972CF"/>
    <w:rsid w:val="00BA1298"/>
    <w:rsid w:val="00BA3B5D"/>
    <w:rsid w:val="00BA783A"/>
    <w:rsid w:val="00BB0052"/>
    <w:rsid w:val="00BB2341"/>
    <w:rsid w:val="00BB57BE"/>
    <w:rsid w:val="00BC3B4C"/>
    <w:rsid w:val="00BD16DE"/>
    <w:rsid w:val="00BD4A22"/>
    <w:rsid w:val="00BF06D3"/>
    <w:rsid w:val="00BF46F8"/>
    <w:rsid w:val="00BF5376"/>
    <w:rsid w:val="00BF7D4A"/>
    <w:rsid w:val="00C06B6C"/>
    <w:rsid w:val="00C06BCD"/>
    <w:rsid w:val="00C103DE"/>
    <w:rsid w:val="00C117BE"/>
    <w:rsid w:val="00C13456"/>
    <w:rsid w:val="00C1556E"/>
    <w:rsid w:val="00C1787A"/>
    <w:rsid w:val="00C20362"/>
    <w:rsid w:val="00C25A84"/>
    <w:rsid w:val="00C37341"/>
    <w:rsid w:val="00C41301"/>
    <w:rsid w:val="00C4165E"/>
    <w:rsid w:val="00C427CC"/>
    <w:rsid w:val="00C43FB2"/>
    <w:rsid w:val="00C44EF7"/>
    <w:rsid w:val="00C46795"/>
    <w:rsid w:val="00C5006E"/>
    <w:rsid w:val="00C5048E"/>
    <w:rsid w:val="00C51AFB"/>
    <w:rsid w:val="00C5211D"/>
    <w:rsid w:val="00C53B00"/>
    <w:rsid w:val="00C57B76"/>
    <w:rsid w:val="00C61135"/>
    <w:rsid w:val="00C63730"/>
    <w:rsid w:val="00C64A04"/>
    <w:rsid w:val="00C6506E"/>
    <w:rsid w:val="00C65D7A"/>
    <w:rsid w:val="00C74D9D"/>
    <w:rsid w:val="00C84815"/>
    <w:rsid w:val="00C8765D"/>
    <w:rsid w:val="00C90759"/>
    <w:rsid w:val="00C9328D"/>
    <w:rsid w:val="00C9697B"/>
    <w:rsid w:val="00CA0B7D"/>
    <w:rsid w:val="00CA3EB8"/>
    <w:rsid w:val="00CA7C55"/>
    <w:rsid w:val="00CB1AA2"/>
    <w:rsid w:val="00CC2142"/>
    <w:rsid w:val="00CC50F1"/>
    <w:rsid w:val="00CC78FB"/>
    <w:rsid w:val="00CD10E0"/>
    <w:rsid w:val="00CD2D84"/>
    <w:rsid w:val="00CD2FA8"/>
    <w:rsid w:val="00CF1D62"/>
    <w:rsid w:val="00CF6C33"/>
    <w:rsid w:val="00CF7C1A"/>
    <w:rsid w:val="00D00143"/>
    <w:rsid w:val="00D026DB"/>
    <w:rsid w:val="00D108E7"/>
    <w:rsid w:val="00D112C8"/>
    <w:rsid w:val="00D12CA0"/>
    <w:rsid w:val="00D13A35"/>
    <w:rsid w:val="00D14FAA"/>
    <w:rsid w:val="00D16A3E"/>
    <w:rsid w:val="00D2736F"/>
    <w:rsid w:val="00D30EA3"/>
    <w:rsid w:val="00D31972"/>
    <w:rsid w:val="00D31F01"/>
    <w:rsid w:val="00D36D4C"/>
    <w:rsid w:val="00D41B7C"/>
    <w:rsid w:val="00D43080"/>
    <w:rsid w:val="00D503DC"/>
    <w:rsid w:val="00D5090D"/>
    <w:rsid w:val="00D51E60"/>
    <w:rsid w:val="00D571EB"/>
    <w:rsid w:val="00D65E6D"/>
    <w:rsid w:val="00D672F4"/>
    <w:rsid w:val="00D678BE"/>
    <w:rsid w:val="00D70925"/>
    <w:rsid w:val="00D71F40"/>
    <w:rsid w:val="00D7586F"/>
    <w:rsid w:val="00D764EC"/>
    <w:rsid w:val="00D8073C"/>
    <w:rsid w:val="00D82789"/>
    <w:rsid w:val="00D82A81"/>
    <w:rsid w:val="00D856B0"/>
    <w:rsid w:val="00D876E1"/>
    <w:rsid w:val="00D92F3E"/>
    <w:rsid w:val="00DA3559"/>
    <w:rsid w:val="00DB21A8"/>
    <w:rsid w:val="00DB33E5"/>
    <w:rsid w:val="00DB4835"/>
    <w:rsid w:val="00DB64BB"/>
    <w:rsid w:val="00DC0B15"/>
    <w:rsid w:val="00DC4310"/>
    <w:rsid w:val="00DD131E"/>
    <w:rsid w:val="00DD1B79"/>
    <w:rsid w:val="00DD399B"/>
    <w:rsid w:val="00DD44D6"/>
    <w:rsid w:val="00DD647A"/>
    <w:rsid w:val="00DE008D"/>
    <w:rsid w:val="00DE3898"/>
    <w:rsid w:val="00DE48D2"/>
    <w:rsid w:val="00DF2E5D"/>
    <w:rsid w:val="00E01D11"/>
    <w:rsid w:val="00E06FC0"/>
    <w:rsid w:val="00E0733D"/>
    <w:rsid w:val="00E07481"/>
    <w:rsid w:val="00E07DB6"/>
    <w:rsid w:val="00E12BF1"/>
    <w:rsid w:val="00E14ECD"/>
    <w:rsid w:val="00E15D89"/>
    <w:rsid w:val="00E176B3"/>
    <w:rsid w:val="00E24657"/>
    <w:rsid w:val="00E24E8F"/>
    <w:rsid w:val="00E36F11"/>
    <w:rsid w:val="00E40414"/>
    <w:rsid w:val="00E42198"/>
    <w:rsid w:val="00E45B63"/>
    <w:rsid w:val="00E519A0"/>
    <w:rsid w:val="00E52F9C"/>
    <w:rsid w:val="00E54DB3"/>
    <w:rsid w:val="00E605AB"/>
    <w:rsid w:val="00E616F6"/>
    <w:rsid w:val="00E62570"/>
    <w:rsid w:val="00E63BCD"/>
    <w:rsid w:val="00E641D9"/>
    <w:rsid w:val="00E71833"/>
    <w:rsid w:val="00E72301"/>
    <w:rsid w:val="00E84534"/>
    <w:rsid w:val="00E86B88"/>
    <w:rsid w:val="00E87497"/>
    <w:rsid w:val="00E93E8F"/>
    <w:rsid w:val="00E94CA2"/>
    <w:rsid w:val="00E96FCA"/>
    <w:rsid w:val="00EA00D0"/>
    <w:rsid w:val="00EA1AFA"/>
    <w:rsid w:val="00EA2474"/>
    <w:rsid w:val="00EA265E"/>
    <w:rsid w:val="00EB1819"/>
    <w:rsid w:val="00EB1CC5"/>
    <w:rsid w:val="00EB3541"/>
    <w:rsid w:val="00EB36AE"/>
    <w:rsid w:val="00EB4D21"/>
    <w:rsid w:val="00EC607F"/>
    <w:rsid w:val="00EC7292"/>
    <w:rsid w:val="00ED668C"/>
    <w:rsid w:val="00EE4935"/>
    <w:rsid w:val="00EE6CEA"/>
    <w:rsid w:val="00EF1505"/>
    <w:rsid w:val="00EF1698"/>
    <w:rsid w:val="00EF4695"/>
    <w:rsid w:val="00F0238B"/>
    <w:rsid w:val="00F063EB"/>
    <w:rsid w:val="00F06D96"/>
    <w:rsid w:val="00F11DA8"/>
    <w:rsid w:val="00F12F9A"/>
    <w:rsid w:val="00F14497"/>
    <w:rsid w:val="00F17331"/>
    <w:rsid w:val="00F2298F"/>
    <w:rsid w:val="00F332E8"/>
    <w:rsid w:val="00F35AEF"/>
    <w:rsid w:val="00F361AD"/>
    <w:rsid w:val="00F460D5"/>
    <w:rsid w:val="00F53230"/>
    <w:rsid w:val="00F53826"/>
    <w:rsid w:val="00F56DAD"/>
    <w:rsid w:val="00F611E3"/>
    <w:rsid w:val="00F66ED4"/>
    <w:rsid w:val="00F81A0B"/>
    <w:rsid w:val="00F81B6F"/>
    <w:rsid w:val="00F81BB9"/>
    <w:rsid w:val="00F87C40"/>
    <w:rsid w:val="00FA0FD3"/>
    <w:rsid w:val="00FA4D2B"/>
    <w:rsid w:val="00FA61C3"/>
    <w:rsid w:val="00FB1A43"/>
    <w:rsid w:val="00FB1E8D"/>
    <w:rsid w:val="00FB25B2"/>
    <w:rsid w:val="00FB2AFC"/>
    <w:rsid w:val="00FB33B1"/>
    <w:rsid w:val="00FD5683"/>
    <w:rsid w:val="00FE0DDB"/>
    <w:rsid w:val="00FE276E"/>
    <w:rsid w:val="00FE4B59"/>
    <w:rsid w:val="00FF30EC"/>
    <w:rsid w:val="46BE2370"/>
    <w:rsid w:val="76AD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24"/>
    <w:semiHidden/>
    <w:unhideWhenUsed/>
    <w:qFormat/>
    <w:uiPriority w:val="0"/>
    <w:pPr>
      <w:shd w:val="clear" w:color="auto" w:fill="000080"/>
    </w:pPr>
    <w:rPr>
      <w:rFonts w:ascii="Times New Roman" w:hAnsi="Times New Roman"/>
      <w:szCs w:val="24"/>
    </w:rPr>
  </w:style>
  <w:style w:type="paragraph" w:styleId="5">
    <w:name w:val="annotation text"/>
    <w:basedOn w:val="1"/>
    <w:link w:val="21"/>
    <w:semiHidden/>
    <w:unhideWhenUsed/>
    <w:qFormat/>
    <w:uiPriority w:val="0"/>
    <w:pPr>
      <w:jc w:val="left"/>
    </w:pPr>
    <w:rPr>
      <w:rFonts w:ascii="Times New Roman" w:hAnsi="Times New Roman"/>
      <w:szCs w:val="24"/>
    </w:rPr>
  </w:style>
  <w:style w:type="paragraph" w:styleId="6">
    <w:name w:val="Date"/>
    <w:basedOn w:val="1"/>
    <w:next w:val="1"/>
    <w:link w:val="28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6"/>
    <w:semiHidden/>
    <w:unhideWhenUsed/>
    <w:qFormat/>
    <w:uiPriority w:val="0"/>
    <w:rPr>
      <w:rFonts w:ascii="Times New Roman" w:hAnsi="Times New Roman"/>
      <w:sz w:val="18"/>
      <w:szCs w:val="18"/>
    </w:rPr>
  </w:style>
  <w:style w:type="paragraph" w:styleId="8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ind w:right="360"/>
      <w:jc w:val="right"/>
    </w:pPr>
    <w:rPr>
      <w:rFonts w:ascii="Times New Roman" w:hAnsi="Times New Roman"/>
      <w:sz w:val="18"/>
      <w:szCs w:val="18"/>
    </w:rPr>
  </w:style>
  <w:style w:type="paragraph" w:styleId="9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rPr>
      <w:rFonts w:ascii="Times New Roman" w:hAnsi="Times New Roman"/>
      <w:szCs w:val="24"/>
    </w:rPr>
  </w:style>
  <w:style w:type="paragraph" w:styleId="11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annotation subject"/>
    <w:basedOn w:val="5"/>
    <w:next w:val="5"/>
    <w:link w:val="25"/>
    <w:semiHidden/>
    <w:unhideWhenUsed/>
    <w:qFormat/>
    <w:uiPriority w:val="0"/>
    <w:rPr>
      <w:b/>
      <w:bCs/>
    </w:rPr>
  </w:style>
  <w:style w:type="table" w:styleId="14">
    <w:name w:val="Table Grid"/>
    <w:basedOn w:val="13"/>
    <w:qFormat/>
    <w:uiPriority w:val="0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FollowedHyperlink"/>
    <w:semiHidden/>
    <w:unhideWhenUsed/>
    <w:qFormat/>
    <w:uiPriority w:val="99"/>
    <w:rPr>
      <w:color w:val="800080"/>
      <w:u w:val="single"/>
    </w:rPr>
  </w:style>
  <w:style w:type="character" w:styleId="17">
    <w:name w:val="Hyperlink"/>
    <w:unhideWhenUsed/>
    <w:qFormat/>
    <w:uiPriority w:val="99"/>
    <w:rPr>
      <w:color w:val="0563C1"/>
      <w:u w:val="single"/>
    </w:rPr>
  </w:style>
  <w:style w:type="character" w:styleId="18">
    <w:name w:val="annotation reference"/>
    <w:semiHidden/>
    <w:unhideWhenUsed/>
    <w:qFormat/>
    <w:uiPriority w:val="0"/>
    <w:rPr>
      <w:sz w:val="21"/>
      <w:szCs w:val="21"/>
    </w:rPr>
  </w:style>
  <w:style w:type="character" w:customStyle="1" w:styleId="19">
    <w:name w:val="标题 1 Char"/>
    <w:link w:val="2"/>
    <w:qFormat/>
    <w:uiPriority w:val="0"/>
    <w:rPr>
      <w:rFonts w:ascii="Times New Roman" w:hAnsi="Times New Roman"/>
      <w:b/>
      <w:bCs/>
      <w:kern w:val="44"/>
      <w:sz w:val="44"/>
      <w:szCs w:val="44"/>
    </w:rPr>
  </w:style>
  <w:style w:type="character" w:customStyle="1" w:styleId="20">
    <w:name w:val="标题 2 Char"/>
    <w:link w:val="3"/>
    <w:semiHidden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21">
    <w:name w:val="批注文字 Char"/>
    <w:link w:val="5"/>
    <w:semiHidden/>
    <w:qFormat/>
    <w:uiPriority w:val="0"/>
    <w:rPr>
      <w:rFonts w:ascii="Times New Roman" w:hAnsi="Times New Roman"/>
      <w:kern w:val="2"/>
      <w:sz w:val="21"/>
      <w:szCs w:val="24"/>
    </w:rPr>
  </w:style>
  <w:style w:type="character" w:customStyle="1" w:styleId="22">
    <w:name w:val="页眉 Char"/>
    <w:link w:val="9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3">
    <w:name w:val="页脚 Char"/>
    <w:link w:val="8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4">
    <w:name w:val="文档结构图 Char"/>
    <w:link w:val="4"/>
    <w:semiHidden/>
    <w:qFormat/>
    <w:uiPriority w:val="0"/>
    <w:rPr>
      <w:rFonts w:ascii="Times New Roman" w:hAnsi="Times New Roman"/>
      <w:kern w:val="2"/>
      <w:sz w:val="21"/>
      <w:szCs w:val="24"/>
      <w:shd w:val="clear" w:color="auto" w:fill="000080"/>
    </w:rPr>
  </w:style>
  <w:style w:type="character" w:customStyle="1" w:styleId="25">
    <w:name w:val="批注主题 Char"/>
    <w:link w:val="12"/>
    <w:semiHidden/>
    <w:qFormat/>
    <w:uiPriority w:val="0"/>
    <w:rPr>
      <w:rFonts w:ascii="Times New Roman" w:hAnsi="Times New Roman"/>
      <w:b/>
      <w:bCs/>
      <w:kern w:val="2"/>
      <w:sz w:val="21"/>
      <w:szCs w:val="24"/>
    </w:rPr>
  </w:style>
  <w:style w:type="character" w:customStyle="1" w:styleId="26">
    <w:name w:val="批注框文本 Char"/>
    <w:link w:val="7"/>
    <w:semiHidden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27">
    <w:name w:val="页脚 Char1"/>
    <w:semiHidden/>
    <w:qFormat/>
    <w:uiPriority w:val="99"/>
    <w:rPr>
      <w:kern w:val="2"/>
      <w:sz w:val="18"/>
      <w:szCs w:val="18"/>
    </w:rPr>
  </w:style>
  <w:style w:type="character" w:customStyle="1" w:styleId="28">
    <w:name w:val="日期 Char"/>
    <w:link w:val="6"/>
    <w:semiHidden/>
    <w:qFormat/>
    <w:uiPriority w:val="99"/>
    <w:rPr>
      <w:kern w:val="2"/>
      <w:sz w:val="21"/>
      <w:szCs w:val="22"/>
    </w:rPr>
  </w:style>
  <w:style w:type="paragraph" w:styleId="2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2.xml"/><Relationship Id="rId8" Type="http://schemas.openxmlformats.org/officeDocument/2006/relationships/chart" Target="charts/chart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chart" Target="charts/chart3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themeOverride" Target="../theme/themeOverride1.xml"/><Relationship Id="rId1" Type="http://schemas.openxmlformats.org/officeDocument/2006/relationships/package" Target="../embeddings/Workbook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themeOverride" Target="../theme/themeOverride2.xml"/><Relationship Id="rId1" Type="http://schemas.openxmlformats.org/officeDocument/2006/relationships/package" Target="../embeddings/Workbook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药品经营企业许可情况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en-US"/>
                      <a:t>129</a:t>
                    </a:r>
                    <a:r>
                      <a:rPr lang="zh-CN" altLang="en-US"/>
                      <a:t>家</a:t>
                    </a:r>
                    <a:endParaRPr lang="en-US" altLang="en-US"/>
                  </a:p>
                </c:rich>
              </c:tx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55</a:t>
                    </a:r>
                    <a:r>
                      <a:rPr lang="zh-CN" altLang="en-US"/>
                      <a:t>家</a:t>
                    </a:r>
                    <a:endParaRPr lang="en-US" altLang="en-US"/>
                  </a:p>
                </c:rich>
              </c:tx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en-US"/>
                      <a:t>1634</a:t>
                    </a:r>
                    <a:r>
                      <a:rPr lang="zh-CN" altLang="en-US"/>
                      <a:t>家</a:t>
                    </a:r>
                    <a:endParaRPr lang="en-US" altLang="en-US"/>
                  </a:p>
                </c:rich>
              </c:tx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en-US"/>
                      <a:t>3242</a:t>
                    </a:r>
                    <a:r>
                      <a:rPr lang="zh-CN" altLang="en-US"/>
                      <a:t>家</a:t>
                    </a:r>
                    <a:endParaRPr lang="en-US" altLang="en-US"/>
                  </a:p>
                </c:rich>
              </c:tx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Sheet1!$A$2:$A$5</c:f>
              <c:strCache>
                <c:ptCount val="4"/>
                <c:pt idx="0">
                  <c:v>批发企业</c:v>
                </c:pt>
                <c:pt idx="1">
                  <c:v>零售连锁总部</c:v>
                </c:pt>
                <c:pt idx="2">
                  <c:v>零售连锁门店</c:v>
                </c:pt>
                <c:pt idx="3">
                  <c:v>零售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129</c:v>
                </c:pt>
                <c:pt idx="1">
                  <c:v>55</c:v>
                </c:pt>
                <c:pt idx="2">
                  <c:v>1634</c:v>
                </c:pt>
                <c:pt idx="3">
                  <c:v>3242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8414336"/>
        <c:axId val="178416256"/>
      </c:barChart>
      <c:catAx>
        <c:axId val="178414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78416256"/>
        <c:crosses val="autoZero"/>
        <c:auto val="1"/>
        <c:lblAlgn val="ctr"/>
        <c:lblOffset val="100"/>
        <c:noMultiLvlLbl val="0"/>
      </c:catAx>
      <c:valAx>
        <c:axId val="178416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7841433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/>
              <a:t>医疗器械生产企业许可情况</a:t>
            </a:r>
            <a:endParaRPr lang="zh-CN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-0.140172838657177"/>
                  <c:y val="0.0380680201119438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354</a:t>
                    </a:r>
                    <a:r>
                      <a:rPr lang="zh-CN"/>
                      <a:t>家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20353012641979"/>
                  <c:y val="-0.155132340385165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243</a:t>
                    </a:r>
                    <a:r>
                      <a:rPr lang="zh-CN"/>
                      <a:t>家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0686908732478309"/>
                  <c:y val="0.129878174113778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90</a:t>
                    </a:r>
                    <a:r>
                      <a:rPr lang="zh-CN"/>
                      <a:t>家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Sheet1!$A$2:$A$4</c:f>
              <c:strCache>
                <c:ptCount val="3"/>
                <c:pt idx="0">
                  <c:v>生产一类医疗器械产品的企业</c:v>
                </c:pt>
                <c:pt idx="1">
                  <c:v>生产二类医疗器械产品的企业</c:v>
                </c:pt>
                <c:pt idx="2">
                  <c:v>生产三类医疗器械产品的企业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354</c:v>
                </c:pt>
                <c:pt idx="1">
                  <c:v>243</c:v>
                </c:pt>
                <c:pt idx="2">
                  <c:v>90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zero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0775458610761626"/>
          <c:y val="0.0649270157019846"/>
          <c:w val="0.725014018669577"/>
          <c:h val="0.8131629598931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一般程序案件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Sheet1!$A$2:$A$4</c:f>
              <c:strCache>
                <c:ptCount val="3"/>
                <c:pt idx="0">
                  <c:v>药品</c:v>
                </c:pt>
                <c:pt idx="1">
                  <c:v>医疗器械</c:v>
                </c:pt>
                <c:pt idx="2">
                  <c:v>化妆品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462</c:v>
                </c:pt>
                <c:pt idx="1">
                  <c:v>211</c:v>
                </c:pt>
                <c:pt idx="2">
                  <c:v>38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简易程序案件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Sheet1!$A$2:$A$4</c:f>
              <c:strCache>
                <c:ptCount val="3"/>
                <c:pt idx="0">
                  <c:v>药品</c:v>
                </c:pt>
                <c:pt idx="1">
                  <c:v>医疗器械</c:v>
                </c:pt>
                <c:pt idx="2">
                  <c:v>化妆品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27</c:v>
                </c:pt>
                <c:pt idx="1">
                  <c:v>8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501696"/>
        <c:axId val="180957184"/>
      </c:barChart>
      <c:catAx>
        <c:axId val="179501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80957184"/>
        <c:crosses val="autoZero"/>
        <c:auto val="1"/>
        <c:lblAlgn val="ctr"/>
        <c:lblOffset val="100"/>
        <c:noMultiLvlLbl val="0"/>
      </c:catAx>
      <c:valAx>
        <c:axId val="180957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79501696"/>
        <c:crosses val="autoZero"/>
        <c:crossBetween val="between"/>
      </c:valAx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0.34022</cdr:x>
      <cdr:y>0.38596</cdr:y>
    </cdr:from>
    <cdr:to>
      <cdr:x>0.39767</cdr:x>
      <cdr:y>0.43509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1443990" y="838200"/>
          <a:ext cx="243840" cy="106680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vert="horz" wrap="square" lIns="45720" tIns="45720" rIns="45720" bIns="45720" rtlCol="0" anchor="t" anchorCtr="0">
          <a:normAutofit/>
        </a:bodyPr>
        <a:lstStyle/>
        <a:p>
          <a:endParaRPr lang="zh-CN" alt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  <customShpInfo spid="_x0000_s1027"/>
    <customShpInfo spid="_x0000_s103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01AE5C-02F2-4117-963F-002D14EE52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319</Words>
  <Characters>1821</Characters>
  <Lines>15</Lines>
  <Paragraphs>4</Paragraphs>
  <TotalTime>0</TotalTime>
  <ScaleCrop>false</ScaleCrop>
  <LinksUpToDate>false</LinksUpToDate>
  <CharactersWithSpaces>2136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2022-04-21T09:14:00Z</dcterms:created>
  <dc:creator>esen</dc:creator>
  <cp:lastModifiedBy>dell</cp:lastModifiedBy>
  <cp:lastPrinted>2020-12-03T00:08:00Z</cp:lastPrinted>
  <dcterms:modified xsi:type="dcterms:W3CDTF">2022-04-27T03:28:01Z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