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theme/themeOverride2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CB" w:rsidRDefault="00D43DCB">
      <w:pPr>
        <w:spacing w:before="468" w:line="40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</w:p>
    <w:p w:rsidR="00D43DCB" w:rsidRDefault="00D43DCB">
      <w:pPr>
        <w:spacing w:before="468" w:line="4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D43DCB" w:rsidRDefault="009B38BC">
      <w:pPr>
        <w:spacing w:before="468" w:line="1200" w:lineRule="exact"/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天津市药品监督管理</w:t>
      </w:r>
    </w:p>
    <w:p w:rsidR="00D43DCB" w:rsidRDefault="009B38BC">
      <w:pPr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统</w:t>
      </w: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计</w:t>
      </w: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报</w:t>
      </w: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告</w:t>
      </w:r>
    </w:p>
    <w:p w:rsidR="00D43DCB" w:rsidRDefault="009B38BC">
      <w:pPr>
        <w:tabs>
          <w:tab w:val="left" w:pos="6440"/>
        </w:tabs>
        <w:spacing w:before="120" w:after="120"/>
        <w:jc w:val="center"/>
        <w:rPr>
          <w:rFonts w:ascii="仿宋" w:hAnsi="仿宋"/>
          <w:b/>
          <w:bCs/>
          <w:color w:val="000000" w:themeColor="text1"/>
          <w:sz w:val="44"/>
          <w:szCs w:val="44"/>
        </w:rPr>
      </w:pPr>
      <w:r>
        <w:rPr>
          <w:rFonts w:ascii="仿宋" w:hAnsi="仿宋" w:hint="eastAsia"/>
          <w:b/>
          <w:bCs/>
          <w:color w:val="000000" w:themeColor="text1"/>
          <w:sz w:val="44"/>
          <w:szCs w:val="44"/>
        </w:rPr>
        <w:t>（</w:t>
      </w:r>
      <w:r>
        <w:rPr>
          <w:rFonts w:ascii="仿宋" w:hAnsi="仿宋" w:hint="eastAsia"/>
          <w:color w:val="000000" w:themeColor="text1"/>
          <w:sz w:val="44"/>
          <w:szCs w:val="44"/>
        </w:rPr>
        <w:t>2022</w:t>
      </w:r>
      <w:r>
        <w:rPr>
          <w:rFonts w:ascii="仿宋" w:hAnsi="仿宋"/>
          <w:b/>
          <w:bCs/>
          <w:color w:val="000000" w:themeColor="text1"/>
          <w:sz w:val="44"/>
          <w:szCs w:val="44"/>
        </w:rPr>
        <w:t>年</w:t>
      </w:r>
      <w:r>
        <w:rPr>
          <w:rFonts w:ascii="仿宋" w:hAnsi="仿宋" w:hint="eastAsia"/>
          <w:b/>
          <w:bCs/>
          <w:color w:val="000000" w:themeColor="text1"/>
          <w:sz w:val="44"/>
          <w:szCs w:val="44"/>
        </w:rPr>
        <w:t>第三</w:t>
      </w:r>
      <w:r>
        <w:rPr>
          <w:rFonts w:ascii="仿宋" w:hAnsi="仿宋"/>
          <w:b/>
          <w:bCs/>
          <w:color w:val="000000" w:themeColor="text1"/>
          <w:sz w:val="44"/>
          <w:szCs w:val="44"/>
        </w:rPr>
        <w:t>季度）</w:t>
      </w: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D43DCB">
      <w:pPr>
        <w:ind w:firstLine="412"/>
        <w:rPr>
          <w:color w:val="000000" w:themeColor="text1"/>
        </w:rPr>
      </w:pPr>
    </w:p>
    <w:p w:rsidR="00D43DCB" w:rsidRDefault="009B38BC">
      <w:pPr>
        <w:spacing w:before="312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天津市药品监督管理局</w:t>
      </w:r>
    </w:p>
    <w:p w:rsidR="00D43DCB" w:rsidRDefault="009B38BC">
      <w:pPr>
        <w:tabs>
          <w:tab w:val="center" w:pos="4422"/>
          <w:tab w:val="right" w:pos="8844"/>
        </w:tabs>
        <w:spacing w:before="156"/>
        <w:jc w:val="center"/>
        <w:rPr>
          <w:rFonts w:ascii="Times New Roman" w:eastAsia="黑体" w:hAnsi="Times New Roman"/>
          <w:color w:val="000000" w:themeColor="text1"/>
          <w:sz w:val="36"/>
          <w:szCs w:val="36"/>
        </w:rPr>
      </w:pPr>
      <w:r>
        <w:rPr>
          <w:rFonts w:ascii="Times New Roman" w:eastAsia="黑体" w:hAnsi="Times New Roman"/>
          <w:bCs/>
          <w:caps/>
          <w:color w:val="000000" w:themeColor="text1"/>
          <w:sz w:val="36"/>
          <w:szCs w:val="36"/>
        </w:rPr>
        <w:t>20</w:t>
      </w:r>
      <w:r>
        <w:rPr>
          <w:rFonts w:ascii="Times New Roman" w:eastAsia="黑体" w:hAnsi="Times New Roman" w:hint="eastAsia"/>
          <w:bCs/>
          <w:caps/>
          <w:color w:val="000000" w:themeColor="text1"/>
          <w:sz w:val="36"/>
          <w:szCs w:val="36"/>
        </w:rPr>
        <w:t>22</w:t>
      </w:r>
      <w:r>
        <w:rPr>
          <w:rFonts w:ascii="Times New Roman" w:eastAsia="黑体" w:hAnsi="Times New Roman"/>
          <w:color w:val="000000" w:themeColor="text1"/>
          <w:sz w:val="36"/>
          <w:szCs w:val="36"/>
        </w:rPr>
        <w:t>年</w:t>
      </w:r>
      <w:r>
        <w:rPr>
          <w:rFonts w:ascii="Times New Roman" w:eastAsia="黑体" w:hAnsi="Times New Roman" w:hint="eastAsia"/>
          <w:color w:val="000000" w:themeColor="text1"/>
          <w:sz w:val="36"/>
          <w:szCs w:val="36"/>
        </w:rPr>
        <w:t>11</w:t>
      </w:r>
      <w:r>
        <w:rPr>
          <w:rFonts w:ascii="Times New Roman" w:eastAsia="黑体" w:hAnsi="Times New Roman"/>
          <w:color w:val="000000" w:themeColor="text1"/>
          <w:sz w:val="36"/>
          <w:szCs w:val="36"/>
        </w:rPr>
        <w:t>月</w:t>
      </w:r>
    </w:p>
    <w:p w:rsidR="00D43DCB" w:rsidRDefault="00D43DCB">
      <w:pPr>
        <w:tabs>
          <w:tab w:val="center" w:pos="4422"/>
          <w:tab w:val="right" w:pos="8844"/>
        </w:tabs>
        <w:spacing w:before="156"/>
        <w:jc w:val="left"/>
        <w:rPr>
          <w:rFonts w:ascii="黑体" w:eastAsia="黑体" w:hAnsi="黑体"/>
          <w:color w:val="000000" w:themeColor="text1"/>
          <w:sz w:val="36"/>
          <w:szCs w:val="36"/>
        </w:rPr>
      </w:pPr>
    </w:p>
    <w:p w:rsidR="00D43DCB" w:rsidRDefault="009B38BC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说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明</w:t>
      </w:r>
    </w:p>
    <w:p w:rsidR="00D43DCB" w:rsidRDefault="00D43DCB">
      <w:pPr>
        <w:spacing w:line="590" w:lineRule="exact"/>
        <w:ind w:firstLine="632"/>
        <w:rPr>
          <w:rFonts w:eastAsia="仿宋_GB2312"/>
          <w:color w:val="000000" w:themeColor="text1"/>
          <w:spacing w:val="4"/>
          <w:sz w:val="32"/>
          <w:szCs w:val="32"/>
        </w:rPr>
      </w:pPr>
    </w:p>
    <w:p w:rsidR="00D43DCB" w:rsidRDefault="009B38BC">
      <w:pPr>
        <w:spacing w:line="590" w:lineRule="exact"/>
        <w:ind w:firstLine="632"/>
        <w:rPr>
          <w:rFonts w:eastAsia="仿宋_GB2312"/>
          <w:color w:val="000000" w:themeColor="text1"/>
          <w:spacing w:val="4"/>
          <w:sz w:val="32"/>
          <w:szCs w:val="32"/>
        </w:rPr>
      </w:pPr>
      <w:r>
        <w:rPr>
          <w:rFonts w:eastAsia="仿宋_GB2312" w:hint="eastAsia"/>
          <w:color w:val="000000" w:themeColor="text1"/>
          <w:spacing w:val="4"/>
          <w:sz w:val="32"/>
          <w:szCs w:val="32"/>
        </w:rPr>
        <w:t>本报告数据来源于国家药品监督管理局药品监督管理统计信息系统，数据报告期为</w:t>
      </w: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 w:hint="eastAsia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7</w:t>
      </w:r>
      <w:r>
        <w:rPr>
          <w:rFonts w:eastAsia="仿宋_GB2312" w:hint="eastAsia"/>
          <w:color w:val="000000" w:themeColor="text1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日至</w:t>
      </w: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 w:hint="eastAsia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9</w:t>
      </w:r>
      <w:r>
        <w:rPr>
          <w:rFonts w:eastAsia="仿宋_GB2312" w:hint="eastAsia"/>
          <w:color w:val="000000" w:themeColor="text1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sz w:val="32"/>
          <w:szCs w:val="32"/>
        </w:rPr>
        <w:t>30</w:t>
      </w:r>
      <w:r>
        <w:rPr>
          <w:rFonts w:eastAsia="仿宋_GB2312" w:hint="eastAsia"/>
          <w:color w:val="000000" w:themeColor="text1"/>
          <w:sz w:val="32"/>
          <w:szCs w:val="32"/>
        </w:rPr>
        <w:t>日</w:t>
      </w:r>
      <w:r>
        <w:rPr>
          <w:rFonts w:eastAsia="仿宋_GB2312" w:hint="eastAsia"/>
          <w:color w:val="000000" w:themeColor="text1"/>
          <w:spacing w:val="4"/>
          <w:sz w:val="32"/>
          <w:szCs w:val="32"/>
        </w:rPr>
        <w:t>。报告分别对药品、医疗器械、化妆品的相关行政受理、审批、监管等情况进行汇总，供药品监管系统参考使用。</w:t>
      </w:r>
    </w:p>
    <w:p w:rsidR="00D43DCB" w:rsidRDefault="00D43DCB">
      <w:pPr>
        <w:spacing w:line="590" w:lineRule="exact"/>
        <w:ind w:firstLine="632"/>
        <w:rPr>
          <w:rFonts w:eastAsia="仿宋_GB2312"/>
          <w:color w:val="000000" w:themeColor="text1"/>
          <w:spacing w:val="4"/>
          <w:sz w:val="32"/>
          <w:szCs w:val="32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D43DCB">
      <w:pPr>
        <w:spacing w:before="156" w:line="600" w:lineRule="exact"/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D43DCB" w:rsidRDefault="009B38BC">
      <w:pPr>
        <w:spacing w:before="156" w:line="600" w:lineRule="exact"/>
        <w:jc w:val="center"/>
      </w:pPr>
      <w:r>
        <w:rPr>
          <w:rFonts w:ascii="黑体" w:eastAsia="黑体" w:hint="eastAsia"/>
          <w:color w:val="000000" w:themeColor="text1"/>
          <w:sz w:val="44"/>
          <w:szCs w:val="44"/>
        </w:rPr>
        <w:lastRenderedPageBreak/>
        <w:t>目</w:t>
      </w:r>
      <w:r>
        <w:rPr>
          <w:rFonts w:ascii="黑体" w:eastAsia="黑体" w:hint="eastAsia"/>
          <w:color w:val="000000" w:themeColor="text1"/>
          <w:sz w:val="44"/>
          <w:szCs w:val="44"/>
        </w:rPr>
        <w:t xml:space="preserve">  </w:t>
      </w:r>
      <w:r>
        <w:rPr>
          <w:rFonts w:ascii="黑体" w:eastAsia="黑体" w:hint="eastAsia"/>
          <w:color w:val="000000" w:themeColor="text1"/>
          <w:sz w:val="44"/>
          <w:szCs w:val="44"/>
        </w:rPr>
        <w:t>录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fldChar w:fldCharType="begin"/>
      </w:r>
      <w:r>
        <w:rPr>
          <w:rFonts w:ascii="仿宋_GB2312" w:eastAsia="仿宋_GB2312" w:hint="eastAsia"/>
          <w:color w:val="000000" w:themeColor="text1"/>
          <w:sz w:val="28"/>
          <w:szCs w:val="28"/>
        </w:rPr>
        <w:instrText xml:space="preserve"> TOC \o "1-1" \h \z \u </w:instrTex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fldChar w:fldCharType="separate"/>
      </w:r>
    </w:p>
    <w:p w:rsidR="00D43DCB" w:rsidRDefault="009B38BC">
      <w:pPr>
        <w:pStyle w:val="10"/>
        <w:tabs>
          <w:tab w:val="right" w:leader="dot" w:pos="8947"/>
        </w:tabs>
        <w:rPr>
          <w:rFonts w:ascii="仿宋_GB2312" w:eastAsia="仿宋_GB2312" w:hAnsiTheme="minorHAnsi" w:cstheme="minorBidi"/>
          <w:sz w:val="28"/>
          <w:szCs w:val="28"/>
        </w:rPr>
      </w:pPr>
      <w:hyperlink w:anchor="_Toc91151130" w:history="1">
        <w:r>
          <w:rPr>
            <w:rStyle w:val="ad"/>
            <w:rFonts w:ascii="仿宋_GB2312" w:eastAsia="仿宋_GB2312" w:hAnsi="黑体" w:hint="eastAsia"/>
            <w:sz w:val="28"/>
            <w:szCs w:val="28"/>
          </w:rPr>
          <w:t>一、药品监管情况</w:t>
        </w:r>
        <w:r>
          <w:rPr>
            <w:rFonts w:ascii="仿宋_GB2312" w:eastAsia="仿宋_GB2312" w:hint="eastAsia"/>
            <w:sz w:val="28"/>
            <w:szCs w:val="28"/>
          </w:rPr>
          <w:tab/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PAGEREF _Toc91151130 \h </w:instrText>
        </w:r>
        <w:r>
          <w:rPr>
            <w:rFonts w:ascii="仿宋_GB2312" w:eastAsia="仿宋_GB2312" w:hint="eastAsia"/>
            <w:sz w:val="28"/>
            <w:szCs w:val="28"/>
          </w:rPr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hyperlink>
    </w:p>
    <w:p w:rsidR="00D43DCB" w:rsidRDefault="009B38BC">
      <w:pPr>
        <w:pStyle w:val="10"/>
        <w:tabs>
          <w:tab w:val="right" w:leader="dot" w:pos="8947"/>
        </w:tabs>
        <w:rPr>
          <w:rFonts w:ascii="仿宋_GB2312" w:eastAsia="仿宋_GB2312" w:hAnsiTheme="minorHAnsi" w:cstheme="minorBidi"/>
          <w:sz w:val="28"/>
          <w:szCs w:val="28"/>
        </w:rPr>
      </w:pPr>
      <w:hyperlink w:anchor="_Toc91151131" w:history="1">
        <w:r>
          <w:rPr>
            <w:rStyle w:val="ad"/>
            <w:rFonts w:ascii="仿宋_GB2312" w:eastAsia="仿宋_GB2312" w:hAnsi="黑体" w:hint="eastAsia"/>
            <w:sz w:val="28"/>
            <w:szCs w:val="28"/>
          </w:rPr>
          <w:t>二、医疗器械监管情况</w:t>
        </w:r>
        <w:r>
          <w:rPr>
            <w:rFonts w:ascii="仿宋_GB2312" w:eastAsia="仿宋_GB2312" w:hint="eastAsia"/>
            <w:sz w:val="28"/>
            <w:szCs w:val="28"/>
          </w:rPr>
          <w:tab/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PAGEREF _Toc91151131 \h </w:instrText>
        </w:r>
        <w:r>
          <w:rPr>
            <w:rFonts w:ascii="仿宋_GB2312" w:eastAsia="仿宋_GB2312" w:hint="eastAsia"/>
            <w:sz w:val="28"/>
            <w:szCs w:val="28"/>
          </w:rPr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hyperlink>
    </w:p>
    <w:p w:rsidR="00D43DCB" w:rsidRDefault="009B38BC">
      <w:pPr>
        <w:pStyle w:val="10"/>
        <w:tabs>
          <w:tab w:val="right" w:leader="dot" w:pos="8947"/>
        </w:tabs>
        <w:rPr>
          <w:rFonts w:ascii="仿宋_GB2312" w:eastAsia="仿宋_GB2312" w:hAnsiTheme="minorHAnsi" w:cstheme="minorBidi"/>
          <w:sz w:val="28"/>
          <w:szCs w:val="28"/>
        </w:rPr>
      </w:pPr>
      <w:hyperlink w:anchor="_Toc91151132" w:history="1">
        <w:r>
          <w:rPr>
            <w:rStyle w:val="ad"/>
            <w:rFonts w:ascii="仿宋_GB2312" w:eastAsia="仿宋_GB2312" w:hAnsi="黑体" w:hint="eastAsia"/>
            <w:sz w:val="28"/>
            <w:szCs w:val="28"/>
          </w:rPr>
          <w:t>三、化妆品监管情况</w:t>
        </w:r>
        <w:r>
          <w:rPr>
            <w:rFonts w:ascii="仿宋_GB2312" w:eastAsia="仿宋_GB2312" w:hint="eastAsia"/>
            <w:sz w:val="28"/>
            <w:szCs w:val="28"/>
          </w:rPr>
          <w:tab/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PAGEREF _Toc9</w:instrText>
        </w:r>
        <w:r>
          <w:rPr>
            <w:rFonts w:ascii="仿宋_GB2312" w:eastAsia="仿宋_GB2312" w:hint="eastAsia"/>
            <w:sz w:val="28"/>
            <w:szCs w:val="28"/>
          </w:rPr>
          <w:instrText xml:space="preserve">1151132 \h </w:instrText>
        </w:r>
        <w:r>
          <w:rPr>
            <w:rFonts w:ascii="仿宋_GB2312" w:eastAsia="仿宋_GB2312" w:hint="eastAsia"/>
            <w:sz w:val="28"/>
            <w:szCs w:val="28"/>
          </w:rPr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hyperlink>
    </w:p>
    <w:p w:rsidR="00D43DCB" w:rsidRDefault="009B38BC">
      <w:pPr>
        <w:pStyle w:val="10"/>
        <w:tabs>
          <w:tab w:val="right" w:leader="dot" w:pos="8947"/>
        </w:tabs>
        <w:rPr>
          <w:rFonts w:ascii="仿宋_GB2312" w:eastAsia="仿宋_GB2312" w:hAnsiTheme="minorHAnsi" w:cstheme="minorBidi"/>
          <w:sz w:val="28"/>
          <w:szCs w:val="28"/>
        </w:rPr>
      </w:pPr>
      <w:hyperlink w:anchor="_Toc91151133" w:history="1">
        <w:r>
          <w:rPr>
            <w:rStyle w:val="ad"/>
            <w:rFonts w:ascii="仿宋_GB2312" w:eastAsia="仿宋_GB2312" w:hAnsi="黑体" w:hint="eastAsia"/>
            <w:sz w:val="28"/>
            <w:szCs w:val="28"/>
          </w:rPr>
          <w:t>四、全市查处违法“两品一械”案件情况</w:t>
        </w:r>
        <w:r>
          <w:rPr>
            <w:rFonts w:ascii="仿宋_GB2312" w:eastAsia="仿宋_GB2312" w:hint="eastAsia"/>
            <w:sz w:val="28"/>
            <w:szCs w:val="28"/>
          </w:rPr>
          <w:tab/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PAGEREF _Toc91151133 \h </w:instrText>
        </w:r>
        <w:r>
          <w:rPr>
            <w:rFonts w:ascii="仿宋_GB2312" w:eastAsia="仿宋_GB2312" w:hint="eastAsia"/>
            <w:sz w:val="28"/>
            <w:szCs w:val="28"/>
          </w:rPr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hyperlink>
    </w:p>
    <w:p w:rsidR="00D43DCB" w:rsidRDefault="009B38BC">
      <w:pPr>
        <w:spacing w:before="156" w:line="560" w:lineRule="exact"/>
        <w:rPr>
          <w:rFonts w:ascii="仿宋_GB2312" w:eastAsia="仿宋_GB2312"/>
          <w:color w:val="000000" w:themeColor="text1"/>
          <w:sz w:val="28"/>
          <w:szCs w:val="28"/>
        </w:rPr>
        <w:sectPr w:rsidR="00D43DCB">
          <w:pgSz w:w="11906" w:h="16838"/>
          <w:pgMar w:top="1928" w:right="1361" w:bottom="1928" w:left="1588" w:header="720" w:footer="1531" w:gutter="0"/>
          <w:pgNumType w:start="0"/>
          <w:cols w:space="720"/>
          <w:docGrid w:type="linesAndChars" w:linePitch="312" w:charSpace="-819"/>
        </w:sect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fldChar w:fldCharType="end"/>
      </w:r>
    </w:p>
    <w:p w:rsidR="00D43DCB" w:rsidRDefault="00D43DCB">
      <w:pPr>
        <w:pStyle w:val="1"/>
        <w:spacing w:before="0" w:after="0" w:line="560" w:lineRule="exact"/>
        <w:ind w:firstLine="640"/>
        <w:contextualSpacing/>
        <w:rPr>
          <w:rFonts w:ascii="黑体" w:eastAsia="黑体" w:hAnsi="黑体"/>
          <w:b w:val="0"/>
          <w:bCs w:val="0"/>
          <w:color w:val="000000" w:themeColor="text1"/>
          <w:sz w:val="32"/>
          <w:szCs w:val="32"/>
        </w:rPr>
        <w:sectPr w:rsidR="00D43DCB">
          <w:footerReference w:type="default" r:id="rId9"/>
          <w:type w:val="continuous"/>
          <w:pgSz w:w="11906" w:h="16838"/>
          <w:pgMar w:top="1531" w:right="1531" w:bottom="1531" w:left="1531" w:header="851" w:footer="992" w:gutter="0"/>
          <w:pgNumType w:start="1"/>
          <w:cols w:space="720"/>
        </w:sectPr>
      </w:pPr>
    </w:p>
    <w:p w:rsidR="00D43DCB" w:rsidRDefault="009B38BC">
      <w:pPr>
        <w:pStyle w:val="1"/>
        <w:spacing w:before="0" w:after="0" w:line="560" w:lineRule="exact"/>
        <w:ind w:firstLine="640"/>
        <w:contextualSpacing/>
        <w:rPr>
          <w:rFonts w:ascii="黑体" w:eastAsia="黑体" w:hAnsi="黑体"/>
          <w:b w:val="0"/>
          <w:bCs w:val="0"/>
          <w:color w:val="000000" w:themeColor="text1"/>
          <w:sz w:val="32"/>
          <w:szCs w:val="32"/>
        </w:rPr>
      </w:pPr>
      <w:bookmarkStart w:id="1" w:name="_Toc91151130"/>
      <w:r>
        <w:rPr>
          <w:rFonts w:ascii="黑体" w:eastAsia="黑体" w:hAnsi="黑体" w:hint="eastAsia"/>
          <w:b w:val="0"/>
          <w:bCs w:val="0"/>
          <w:color w:val="000000" w:themeColor="text1"/>
          <w:sz w:val="32"/>
          <w:szCs w:val="32"/>
        </w:rPr>
        <w:lastRenderedPageBreak/>
        <w:t>一、药品监管情况</w:t>
      </w:r>
      <w:bookmarkEnd w:id="1"/>
    </w:p>
    <w:p w:rsidR="00D43DCB" w:rsidRDefault="009B38BC">
      <w:pPr>
        <w:spacing w:line="480" w:lineRule="exact"/>
        <w:ind w:firstLineChars="200"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（一）药品经营企业许可情况</w:t>
      </w:r>
    </w:p>
    <w:p w:rsidR="00D43DCB" w:rsidRDefault="009B38B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季度</w:t>
      </w:r>
      <w:r>
        <w:rPr>
          <w:rFonts w:eastAsia="仿宋_GB2312" w:hint="eastAsia"/>
          <w:sz w:val="32"/>
          <w:szCs w:val="32"/>
        </w:rPr>
        <w:t>，全市期末实有药品经营企业</w:t>
      </w:r>
      <w:r>
        <w:rPr>
          <w:rFonts w:eastAsia="仿宋_GB2312"/>
          <w:sz w:val="32"/>
          <w:szCs w:val="32"/>
        </w:rPr>
        <w:t>5080</w:t>
      </w:r>
      <w:r>
        <w:rPr>
          <w:rFonts w:eastAsia="仿宋_GB2312" w:hint="eastAsia"/>
          <w:sz w:val="32"/>
          <w:szCs w:val="32"/>
        </w:rPr>
        <w:t>家，其中批发企业</w:t>
      </w:r>
      <w:r>
        <w:rPr>
          <w:rFonts w:eastAsia="仿宋_GB2312"/>
          <w:sz w:val="32"/>
          <w:szCs w:val="32"/>
        </w:rPr>
        <w:t>128</w:t>
      </w:r>
      <w:r>
        <w:rPr>
          <w:rFonts w:eastAsia="仿宋_GB2312" w:hint="eastAsia"/>
          <w:sz w:val="32"/>
          <w:szCs w:val="32"/>
        </w:rPr>
        <w:t>家，零售连锁总部</w:t>
      </w:r>
      <w:r>
        <w:rPr>
          <w:rFonts w:eastAsia="仿宋_GB2312"/>
          <w:sz w:val="32"/>
          <w:szCs w:val="32"/>
        </w:rPr>
        <w:t>57</w:t>
      </w:r>
      <w:r>
        <w:rPr>
          <w:rFonts w:eastAsia="仿宋_GB2312" w:hint="eastAsia"/>
          <w:sz w:val="32"/>
          <w:szCs w:val="32"/>
        </w:rPr>
        <w:t>家，零售连锁门店</w:t>
      </w:r>
      <w:r>
        <w:rPr>
          <w:rFonts w:eastAsia="仿宋_GB2312"/>
          <w:sz w:val="32"/>
          <w:szCs w:val="32"/>
        </w:rPr>
        <w:t>1771</w:t>
      </w:r>
      <w:r>
        <w:rPr>
          <w:rFonts w:eastAsia="仿宋_GB2312" w:hint="eastAsia"/>
          <w:sz w:val="32"/>
          <w:szCs w:val="32"/>
        </w:rPr>
        <w:t>家，零售</w:t>
      </w:r>
      <w:r>
        <w:rPr>
          <w:rFonts w:eastAsia="仿宋_GB2312"/>
          <w:sz w:val="32"/>
          <w:szCs w:val="32"/>
        </w:rPr>
        <w:t>3124</w:t>
      </w:r>
      <w:r>
        <w:rPr>
          <w:rFonts w:eastAsia="仿宋_GB2312" w:hint="eastAsia"/>
          <w:sz w:val="32"/>
          <w:szCs w:val="32"/>
        </w:rPr>
        <w:t>家。</w:t>
      </w:r>
    </w:p>
    <w:p w:rsidR="00D43DCB" w:rsidRDefault="009B38BC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145415</wp:posOffset>
                </wp:positionV>
                <wp:extent cx="4686300" cy="3116580"/>
                <wp:effectExtent l="12700" t="12065" r="6350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1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43DCB" w:rsidRDefault="009B38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14850" cy="3057525"/>
                                  <wp:effectExtent l="0" t="0" r="0" b="9525"/>
                                  <wp:docPr id="3" name="图表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33.25pt;margin-top:11.45pt;height:245.4pt;width:369pt;z-index:251659264;mso-width-relative:page;mso-height-relative:page;" fillcolor="#FFFFFF" filled="t" stroked="t" coordsize="21600,21600" o:gfxdata="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FUX9fZAAAACQEAAA8AAAAAAAAAAQAgAAAAIgAAAGRycy9kb3ducmV2Lnht&#10;bFBLAQIUABQAAAAIAIdO4kDRmu0vMQIAAIc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514850" cy="3057525"/>
                            <wp:effectExtent l="0" t="0" r="0" b="9525"/>
                            <wp:docPr id="3" name="图表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（二）药品日常监管情况</w:t>
      </w:r>
    </w:p>
    <w:p w:rsidR="00D43DCB" w:rsidRDefault="009B38BC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，全市共检查药品生产企业</w:t>
      </w:r>
      <w:r>
        <w:rPr>
          <w:rFonts w:eastAsia="仿宋_GB2312" w:hint="eastAsia"/>
          <w:color w:val="000000" w:themeColor="text1"/>
          <w:sz w:val="32"/>
          <w:szCs w:val="32"/>
        </w:rPr>
        <w:t>100</w:t>
      </w:r>
      <w:r>
        <w:rPr>
          <w:rFonts w:eastAsia="仿宋_GB2312" w:hint="eastAsia"/>
          <w:color w:val="000000" w:themeColor="text1"/>
          <w:sz w:val="32"/>
          <w:szCs w:val="32"/>
        </w:rPr>
        <w:t>家次</w:t>
      </w:r>
      <w:r>
        <w:rPr>
          <w:rFonts w:eastAsia="仿宋_GB2312" w:hint="eastAsia"/>
          <w:sz w:val="32"/>
          <w:szCs w:val="32"/>
        </w:rPr>
        <w:t>，发现违法的生产企业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家次，发现违规的生产企业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家次，</w:t>
      </w:r>
      <w:r>
        <w:rPr>
          <w:rFonts w:eastAsia="仿宋_GB2312" w:hint="eastAsia"/>
          <w:color w:val="000000" w:themeColor="text1"/>
          <w:sz w:val="32"/>
          <w:szCs w:val="32"/>
        </w:rPr>
        <w:t>完成整改的生产企业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 w:hint="eastAsia"/>
          <w:color w:val="000000" w:themeColor="text1"/>
          <w:sz w:val="32"/>
          <w:szCs w:val="32"/>
        </w:rPr>
        <w:t>家次；药品经营批发企业</w:t>
      </w:r>
      <w:r>
        <w:rPr>
          <w:rFonts w:eastAsia="仿宋_GB2312" w:hint="eastAsia"/>
          <w:color w:val="000000" w:themeColor="text1"/>
          <w:sz w:val="32"/>
          <w:szCs w:val="32"/>
        </w:rPr>
        <w:t>66</w:t>
      </w:r>
      <w:r>
        <w:rPr>
          <w:rFonts w:eastAsia="仿宋_GB2312" w:hint="eastAsia"/>
          <w:color w:val="000000" w:themeColor="text1"/>
          <w:sz w:val="32"/>
          <w:szCs w:val="32"/>
        </w:rPr>
        <w:t>家次，发现违法违规的企业</w:t>
      </w:r>
      <w:r>
        <w:rPr>
          <w:rFonts w:eastAsia="仿宋_GB2312" w:hint="eastAsia"/>
          <w:color w:val="000000" w:themeColor="text1"/>
          <w:sz w:val="32"/>
          <w:szCs w:val="32"/>
        </w:rPr>
        <w:t>6</w:t>
      </w:r>
      <w:r>
        <w:rPr>
          <w:rFonts w:eastAsia="仿宋_GB2312" w:hint="eastAsia"/>
          <w:color w:val="000000" w:themeColor="text1"/>
          <w:sz w:val="32"/>
          <w:szCs w:val="32"/>
        </w:rPr>
        <w:t>家次，完成整改的企业</w:t>
      </w:r>
      <w:r>
        <w:rPr>
          <w:rFonts w:eastAsia="仿宋_GB2312" w:hint="eastAsia"/>
          <w:color w:val="000000" w:themeColor="text1"/>
          <w:sz w:val="32"/>
          <w:szCs w:val="32"/>
        </w:rPr>
        <w:t>6</w:t>
      </w:r>
      <w:r>
        <w:rPr>
          <w:rFonts w:eastAsia="仿宋_GB2312" w:hint="eastAsia"/>
          <w:color w:val="000000" w:themeColor="text1"/>
          <w:sz w:val="32"/>
          <w:szCs w:val="32"/>
        </w:rPr>
        <w:t>家次，立案查处企业</w:t>
      </w:r>
      <w:r>
        <w:rPr>
          <w:rFonts w:eastAsia="仿宋_GB2312" w:hint="eastAsia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家次；检查经营企业、使用单位</w:t>
      </w:r>
      <w:r>
        <w:rPr>
          <w:rFonts w:eastAsia="仿宋_GB2312"/>
          <w:color w:val="000000" w:themeColor="text1"/>
          <w:sz w:val="32"/>
          <w:szCs w:val="32"/>
        </w:rPr>
        <w:t>4145</w:t>
      </w:r>
      <w:r>
        <w:rPr>
          <w:rFonts w:eastAsia="仿宋_GB2312" w:hint="eastAsia"/>
          <w:color w:val="000000" w:themeColor="text1"/>
          <w:sz w:val="32"/>
          <w:szCs w:val="32"/>
        </w:rPr>
        <w:t>家次，发现违法违规的经营企业、使用单位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11</w:t>
      </w:r>
      <w:r>
        <w:rPr>
          <w:rFonts w:eastAsia="仿宋_GB2312" w:hint="eastAsia"/>
          <w:color w:val="000000" w:themeColor="text1"/>
          <w:sz w:val="32"/>
          <w:szCs w:val="32"/>
        </w:rPr>
        <w:t>家次，完成整改的经营企业、使用单位</w:t>
      </w:r>
      <w:r>
        <w:rPr>
          <w:rFonts w:eastAsia="仿宋_GB2312" w:hint="eastAsia"/>
          <w:color w:val="000000" w:themeColor="text1"/>
          <w:sz w:val="32"/>
          <w:szCs w:val="32"/>
        </w:rPr>
        <w:t>21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家次，立案查处企业、单位</w:t>
      </w:r>
      <w:r>
        <w:rPr>
          <w:rFonts w:eastAsia="仿宋_GB2312"/>
          <w:color w:val="000000" w:themeColor="text1"/>
          <w:sz w:val="32"/>
          <w:szCs w:val="32"/>
        </w:rPr>
        <w:t>210</w:t>
      </w:r>
      <w:r>
        <w:rPr>
          <w:rFonts w:eastAsia="仿宋_GB2312" w:hint="eastAsia"/>
          <w:color w:val="000000" w:themeColor="text1"/>
          <w:sz w:val="32"/>
          <w:szCs w:val="32"/>
        </w:rPr>
        <w:t>家次。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（三）</w:t>
      </w:r>
      <w:r>
        <w:rPr>
          <w:rFonts w:ascii="楷体_GB2312" w:eastAsia="楷体_GB2312"/>
          <w:b/>
          <w:color w:val="000000" w:themeColor="text1"/>
          <w:sz w:val="32"/>
          <w:szCs w:val="32"/>
        </w:rPr>
        <w:t>互联网药品</w:t>
      </w: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信息</w:t>
      </w:r>
      <w:r>
        <w:rPr>
          <w:rFonts w:ascii="楷体_GB2312" w:eastAsia="楷体_GB2312"/>
          <w:b/>
          <w:color w:val="000000" w:themeColor="text1"/>
          <w:sz w:val="32"/>
          <w:szCs w:val="32"/>
        </w:rPr>
        <w:t>服务机构审批情况</w:t>
      </w:r>
    </w:p>
    <w:p w:rsidR="00D43DCB" w:rsidRDefault="009B38BC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全市共审批互联网药品信息服务机构期末实有</w:t>
      </w:r>
      <w:r>
        <w:rPr>
          <w:rFonts w:eastAsia="仿宋_GB2312" w:hint="eastAsia"/>
          <w:color w:val="000000" w:themeColor="text1"/>
          <w:sz w:val="32"/>
          <w:szCs w:val="32"/>
        </w:rPr>
        <w:t>439</w:t>
      </w:r>
      <w:r>
        <w:rPr>
          <w:rFonts w:eastAsia="仿宋_GB2312" w:hint="eastAsia"/>
          <w:color w:val="000000" w:themeColor="text1"/>
          <w:sz w:val="32"/>
          <w:szCs w:val="32"/>
        </w:rPr>
        <w:t>件。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（四）地方药品抽检情况</w:t>
      </w:r>
    </w:p>
    <w:p w:rsidR="00D43DCB" w:rsidRDefault="009B38BC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，全市共抽检主体数</w:t>
      </w:r>
      <w:r>
        <w:rPr>
          <w:rFonts w:eastAsia="仿宋_GB2312" w:hint="eastAsia"/>
          <w:color w:val="000000" w:themeColor="text1"/>
          <w:sz w:val="32"/>
          <w:szCs w:val="32"/>
        </w:rPr>
        <w:t>527</w:t>
      </w:r>
      <w:r>
        <w:rPr>
          <w:rFonts w:eastAsia="仿宋_GB2312" w:hint="eastAsia"/>
          <w:color w:val="000000" w:themeColor="text1"/>
          <w:sz w:val="32"/>
          <w:szCs w:val="32"/>
        </w:rPr>
        <w:t>家，抽检</w:t>
      </w:r>
      <w:r>
        <w:rPr>
          <w:rFonts w:eastAsia="仿宋_GB2312" w:hint="eastAsia"/>
          <w:color w:val="000000" w:themeColor="text1"/>
          <w:sz w:val="32"/>
          <w:szCs w:val="32"/>
        </w:rPr>
        <w:t>2545</w:t>
      </w:r>
      <w:r>
        <w:rPr>
          <w:rFonts w:eastAsia="仿宋_GB2312" w:hint="eastAsia"/>
          <w:color w:val="000000" w:themeColor="text1"/>
          <w:sz w:val="32"/>
          <w:szCs w:val="32"/>
        </w:rPr>
        <w:t>批次。</w:t>
      </w:r>
    </w:p>
    <w:p w:rsidR="00D43DCB" w:rsidRDefault="00D43DCB">
      <w:pPr>
        <w:sectPr w:rsidR="00D43DCB">
          <w:footerReference w:type="default" r:id="rId12"/>
          <w:pgSz w:w="11906" w:h="16838"/>
          <w:pgMar w:top="1531" w:right="1531" w:bottom="1531" w:left="1531" w:header="851" w:footer="992" w:gutter="0"/>
          <w:pgNumType w:start="1"/>
          <w:cols w:space="720"/>
        </w:sectPr>
      </w:pPr>
    </w:p>
    <w:p w:rsidR="00D43DCB" w:rsidRDefault="009B38BC">
      <w:pPr>
        <w:pStyle w:val="1"/>
        <w:spacing w:before="0" w:after="0" w:line="560" w:lineRule="exact"/>
        <w:ind w:firstLine="640"/>
        <w:contextualSpacing/>
        <w:rPr>
          <w:rFonts w:ascii="黑体" w:eastAsia="黑体" w:hAnsi="黑体"/>
          <w:b w:val="0"/>
          <w:bCs w:val="0"/>
          <w:color w:val="000000" w:themeColor="text1"/>
          <w:sz w:val="32"/>
          <w:szCs w:val="32"/>
        </w:rPr>
      </w:pPr>
      <w:bookmarkStart w:id="2" w:name="_Toc91151131"/>
      <w:r>
        <w:rPr>
          <w:rFonts w:ascii="黑体" w:eastAsia="黑体" w:hAnsi="黑体" w:hint="eastAsia"/>
          <w:b w:val="0"/>
          <w:bCs w:val="0"/>
          <w:color w:val="000000" w:themeColor="text1"/>
          <w:sz w:val="32"/>
          <w:szCs w:val="32"/>
        </w:rPr>
        <w:lastRenderedPageBreak/>
        <w:t>二、医疗器械监管情况</w:t>
      </w:r>
      <w:bookmarkEnd w:id="2"/>
    </w:p>
    <w:p w:rsidR="00D43DCB" w:rsidRDefault="009B38BC">
      <w:pPr>
        <w:spacing w:line="560" w:lineRule="exact"/>
        <w:ind w:firstLine="643"/>
        <w:rPr>
          <w:rFonts w:ascii="楷体_GB2312" w:eastAsia="楷体_GB2312" w:hAnsi="Times New Roman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（一）医疗器械注册审批情况</w:t>
      </w:r>
    </w:p>
    <w:p w:rsidR="00D43DCB" w:rsidRDefault="009B38BC">
      <w:pPr>
        <w:spacing w:line="560" w:lineRule="exact"/>
        <w:ind w:firstLine="640"/>
        <w:rPr>
          <w:rFonts w:ascii="Times New Roman"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，全市境内第一类医疗器械本期备案</w:t>
      </w:r>
      <w:r>
        <w:rPr>
          <w:rFonts w:eastAsia="仿宋_GB2312" w:hint="eastAsia"/>
          <w:color w:val="000000" w:themeColor="text1"/>
          <w:sz w:val="32"/>
          <w:szCs w:val="32"/>
        </w:rPr>
        <w:t>201</w:t>
      </w:r>
      <w:r>
        <w:rPr>
          <w:rFonts w:eastAsia="仿宋_GB2312" w:hint="eastAsia"/>
          <w:color w:val="000000" w:themeColor="text1"/>
          <w:sz w:val="32"/>
          <w:szCs w:val="32"/>
        </w:rPr>
        <w:t>件；批准境内第二类医疗器械首次注册</w:t>
      </w:r>
      <w:r>
        <w:rPr>
          <w:rFonts w:eastAsia="仿宋_GB2312" w:hint="eastAsia"/>
          <w:color w:val="000000" w:themeColor="text1"/>
          <w:sz w:val="32"/>
          <w:szCs w:val="32"/>
        </w:rPr>
        <w:t>104</w:t>
      </w:r>
      <w:r>
        <w:rPr>
          <w:rFonts w:eastAsia="仿宋_GB2312" w:hint="eastAsia"/>
          <w:color w:val="000000" w:themeColor="text1"/>
          <w:sz w:val="32"/>
          <w:szCs w:val="32"/>
        </w:rPr>
        <w:t>件、延续注册</w:t>
      </w:r>
      <w:r>
        <w:rPr>
          <w:rFonts w:eastAsia="仿宋_GB2312" w:hint="eastAsia"/>
          <w:color w:val="000000" w:themeColor="text1"/>
          <w:sz w:val="32"/>
          <w:szCs w:val="32"/>
        </w:rPr>
        <w:t>97</w:t>
      </w:r>
      <w:r>
        <w:rPr>
          <w:rFonts w:eastAsia="仿宋_GB2312" w:hint="eastAsia"/>
          <w:color w:val="000000" w:themeColor="text1"/>
          <w:sz w:val="32"/>
          <w:szCs w:val="32"/>
        </w:rPr>
        <w:t>件、许可事项变更</w:t>
      </w:r>
      <w:r>
        <w:rPr>
          <w:rFonts w:eastAsia="仿宋_GB2312" w:hint="eastAsia"/>
          <w:color w:val="000000" w:themeColor="text1"/>
          <w:sz w:val="32"/>
          <w:szCs w:val="32"/>
        </w:rPr>
        <w:t>80</w:t>
      </w:r>
      <w:r>
        <w:rPr>
          <w:rFonts w:eastAsia="仿宋_GB2312" w:hint="eastAsia"/>
          <w:color w:val="000000" w:themeColor="text1"/>
          <w:sz w:val="32"/>
          <w:szCs w:val="32"/>
        </w:rPr>
        <w:t>件，期末实有</w:t>
      </w:r>
      <w:r>
        <w:rPr>
          <w:rFonts w:eastAsia="仿宋_GB2312" w:hint="eastAsia"/>
          <w:color w:val="000000" w:themeColor="text1"/>
          <w:sz w:val="32"/>
          <w:szCs w:val="32"/>
        </w:rPr>
        <w:t>1781</w:t>
      </w:r>
      <w:r>
        <w:rPr>
          <w:rFonts w:eastAsia="仿宋_GB2312" w:hint="eastAsia"/>
          <w:color w:val="000000" w:themeColor="text1"/>
          <w:sz w:val="32"/>
          <w:szCs w:val="32"/>
        </w:rPr>
        <w:t>件。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（二）医疗器械生产企业许可及备案情况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，全市共有医疗器械生产企业</w:t>
      </w:r>
      <w:r>
        <w:rPr>
          <w:rFonts w:eastAsia="仿宋_GB2312"/>
          <w:color w:val="000000" w:themeColor="text1"/>
          <w:sz w:val="32"/>
          <w:szCs w:val="32"/>
        </w:rPr>
        <w:t>616</w:t>
      </w:r>
      <w:r>
        <w:rPr>
          <w:rFonts w:eastAsia="仿宋_GB2312" w:hint="eastAsia"/>
          <w:color w:val="000000" w:themeColor="text1"/>
          <w:sz w:val="32"/>
          <w:szCs w:val="32"/>
        </w:rPr>
        <w:t>家，生产一类医疗器械产品的企业</w:t>
      </w:r>
      <w:r>
        <w:rPr>
          <w:rFonts w:eastAsia="仿宋_GB2312"/>
          <w:color w:val="000000" w:themeColor="text1"/>
          <w:sz w:val="32"/>
          <w:szCs w:val="32"/>
        </w:rPr>
        <w:t>412</w:t>
      </w:r>
      <w:r>
        <w:rPr>
          <w:rFonts w:eastAsia="仿宋_GB2312" w:hint="eastAsia"/>
          <w:color w:val="000000" w:themeColor="text1"/>
          <w:sz w:val="32"/>
          <w:szCs w:val="32"/>
        </w:rPr>
        <w:t>家，生产二类医疗器械产品的企业</w:t>
      </w:r>
      <w:r>
        <w:rPr>
          <w:rFonts w:eastAsia="仿宋_GB2312"/>
          <w:color w:val="000000" w:themeColor="text1"/>
          <w:sz w:val="32"/>
          <w:szCs w:val="32"/>
        </w:rPr>
        <w:t>216</w:t>
      </w:r>
      <w:r>
        <w:rPr>
          <w:rFonts w:eastAsia="仿宋_GB2312" w:hint="eastAsia"/>
          <w:color w:val="000000" w:themeColor="text1"/>
          <w:sz w:val="32"/>
          <w:szCs w:val="32"/>
        </w:rPr>
        <w:t>家，生产三类医疗器械产品的企业</w:t>
      </w:r>
      <w:r>
        <w:rPr>
          <w:rFonts w:eastAsia="仿宋_GB2312"/>
          <w:color w:val="000000" w:themeColor="text1"/>
          <w:sz w:val="32"/>
          <w:szCs w:val="32"/>
        </w:rPr>
        <w:t>95</w:t>
      </w:r>
      <w:r>
        <w:rPr>
          <w:rFonts w:eastAsia="仿宋_GB2312" w:hint="eastAsia"/>
          <w:color w:val="000000" w:themeColor="text1"/>
          <w:sz w:val="32"/>
          <w:szCs w:val="32"/>
        </w:rPr>
        <w:t>家。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137795</wp:posOffset>
                </wp:positionV>
                <wp:extent cx="4625340" cy="2636520"/>
                <wp:effectExtent l="5080" t="13970" r="8255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43DCB" w:rsidRDefault="009B38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1500" cy="2533650"/>
                                  <wp:effectExtent l="0" t="0" r="0" b="0"/>
                                  <wp:docPr id="2" name="图表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3" o:spid="_x0000_s1026" o:spt="202" type="#_x0000_t202" style="position:absolute;left:0pt;margin-left:41.65pt;margin-top:10.85pt;height:207.6pt;width:364.2pt;z-index:251660288;mso-width-relative:page;mso-height-relative:page;" fillcolor="#FFFFFF" filled="t" stroked="t" coordsize="21600,21600" o:gfxdata="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uLvwNgAAAAJAQAADwAAAAAAAAABACAAAAAiAAAAZHJzL2Rvd25yZXYueG1s&#10;UEsBAhQAFAAAAAgAh07iQJw887k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381500" cy="2533650"/>
                            <wp:effectExtent l="0" t="0" r="0" b="0"/>
                            <wp:docPr id="2" name="图表 1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pStyle w:val="a9"/>
        <w:shd w:val="clear" w:color="auto" w:fill="FFFFFF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hAnsi="Times New Roman" w:cs="Times New Roman"/>
          <w:b/>
          <w:color w:val="000000" w:themeColor="text1"/>
          <w:kern w:val="2"/>
          <w:sz w:val="32"/>
          <w:szCs w:val="32"/>
        </w:rPr>
      </w:pPr>
    </w:p>
    <w:p w:rsidR="00D43DCB" w:rsidRDefault="00D43DCB">
      <w:pPr>
        <w:pStyle w:val="a9"/>
        <w:shd w:val="clear" w:color="auto" w:fill="FFFFFF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hAnsi="Times New Roman" w:cs="Times New Roman"/>
          <w:b/>
          <w:color w:val="000000" w:themeColor="text1"/>
          <w:kern w:val="2"/>
          <w:sz w:val="32"/>
          <w:szCs w:val="32"/>
        </w:rPr>
      </w:pPr>
    </w:p>
    <w:p w:rsidR="00D43DCB" w:rsidRDefault="009B38BC">
      <w:pPr>
        <w:pStyle w:val="a9"/>
        <w:shd w:val="clear" w:color="auto" w:fill="FFFFFF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hAnsi="Times New Roman" w:cs="Times New Roman"/>
          <w:b/>
          <w:color w:val="000000" w:themeColor="text1"/>
          <w:kern w:val="2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 w:themeColor="text1"/>
          <w:kern w:val="2"/>
          <w:sz w:val="32"/>
          <w:szCs w:val="32"/>
        </w:rPr>
        <w:t>（三）医疗器械经营企业许可及备案情况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，仅从事第二类医疗器械经营的企业</w:t>
      </w:r>
      <w:r>
        <w:rPr>
          <w:rFonts w:eastAsia="仿宋_GB2312"/>
          <w:color w:val="000000" w:themeColor="text1"/>
          <w:sz w:val="32"/>
          <w:szCs w:val="32"/>
        </w:rPr>
        <w:t>5812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家，仅从事第三类医疗器械经营的企业</w:t>
      </w:r>
      <w:r>
        <w:rPr>
          <w:rFonts w:eastAsia="仿宋_GB2312"/>
          <w:color w:val="000000" w:themeColor="text1"/>
          <w:sz w:val="32"/>
          <w:szCs w:val="32"/>
        </w:rPr>
        <w:t>803</w:t>
      </w:r>
      <w:r>
        <w:rPr>
          <w:rFonts w:eastAsia="仿宋_GB2312" w:hint="eastAsia"/>
          <w:color w:val="000000" w:themeColor="text1"/>
          <w:sz w:val="32"/>
          <w:szCs w:val="32"/>
        </w:rPr>
        <w:t>家，同时从事第二、三类医疗器械经营的企业</w:t>
      </w:r>
      <w:r>
        <w:rPr>
          <w:rFonts w:eastAsia="仿宋_GB2312"/>
          <w:color w:val="000000" w:themeColor="text1"/>
          <w:sz w:val="32"/>
          <w:szCs w:val="32"/>
        </w:rPr>
        <w:t>4734</w:t>
      </w:r>
      <w:r>
        <w:rPr>
          <w:rFonts w:eastAsia="仿宋_GB2312" w:hint="eastAsia"/>
          <w:color w:val="000000" w:themeColor="text1"/>
          <w:sz w:val="32"/>
          <w:szCs w:val="32"/>
        </w:rPr>
        <w:t>家。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（四）医疗器械日常监管情况</w:t>
      </w:r>
    </w:p>
    <w:p w:rsidR="00D43DCB" w:rsidRDefault="009B38BC">
      <w:pPr>
        <w:pStyle w:val="a9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，全市共检查医疗器械生产企业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247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家次，全面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检查高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风险企业含无菌医疗器械的生产企业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家次，含植入性医疗器械的生产企业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家次，第三类医疗器械的生产企业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本级自行组织医疗器械生产企业飞行检查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家次。</w:t>
      </w:r>
    </w:p>
    <w:p w:rsidR="00D43DCB" w:rsidRDefault="009B38BC">
      <w:pPr>
        <w:pStyle w:val="a9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全市共检查医疗器械经营企业、使用单位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、医疗器械网络交易服务第三方平台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2608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家次，存在违法违规的企业或单位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家次，完成整改的企业或单位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46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家次。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（五）医疗器械网络交易服务第三方平台备案</w:t>
      </w:r>
      <w:r>
        <w:rPr>
          <w:rFonts w:ascii="楷体_GB2312" w:eastAsia="楷体_GB2312"/>
          <w:b/>
          <w:color w:val="000000" w:themeColor="text1"/>
          <w:sz w:val="32"/>
          <w:szCs w:val="32"/>
        </w:rPr>
        <w:t>情况</w:t>
      </w:r>
    </w:p>
    <w:p w:rsidR="00D43DCB" w:rsidRDefault="009B38BC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int="eastAsia"/>
          <w:sz w:val="32"/>
          <w:szCs w:val="32"/>
        </w:rPr>
        <w:t>提供医疗器械网络交易服务第三方平台服务的企业</w:t>
      </w:r>
      <w:r>
        <w:rPr>
          <w:rFonts w:ascii="Times New Roman" w:eastAsia="仿宋_GB2312" w:hint="eastAsia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家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（六）地方医疗器械抽验情况</w:t>
      </w:r>
    </w:p>
    <w:p w:rsidR="00D43DCB" w:rsidRDefault="009B38BC">
      <w:pPr>
        <w:pStyle w:val="a9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Calibri" w:cs="Times New Roman"/>
          <w:kern w:val="2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</w:t>
      </w:r>
      <w:r>
        <w:rPr>
          <w:rFonts w:ascii="Times New Roman" w:eastAsia="仿宋_GB2312" w:hAnsi="Calibri" w:cs="Times New Roman" w:hint="eastAsia"/>
          <w:kern w:val="2"/>
          <w:sz w:val="32"/>
          <w:szCs w:val="32"/>
        </w:rPr>
        <w:t>市共抽验主体数</w:t>
      </w:r>
      <w:r>
        <w:rPr>
          <w:rFonts w:ascii="Times New Roman" w:eastAsia="仿宋_GB2312" w:hAnsi="Calibri" w:cs="Times New Roman" w:hint="eastAsia"/>
          <w:kern w:val="2"/>
          <w:sz w:val="32"/>
          <w:szCs w:val="32"/>
        </w:rPr>
        <w:t>78</w:t>
      </w:r>
      <w:r>
        <w:rPr>
          <w:rFonts w:ascii="Times New Roman" w:eastAsia="仿宋_GB2312" w:hAnsi="Calibri" w:cs="Times New Roman" w:hint="eastAsia"/>
          <w:kern w:val="2"/>
          <w:sz w:val="32"/>
          <w:szCs w:val="32"/>
        </w:rPr>
        <w:t>家，抽验</w:t>
      </w:r>
      <w:r>
        <w:rPr>
          <w:rFonts w:ascii="Times New Roman" w:eastAsia="仿宋_GB2312" w:hAnsi="Calibri" w:cs="Times New Roman" w:hint="eastAsia"/>
          <w:kern w:val="2"/>
          <w:sz w:val="32"/>
          <w:szCs w:val="32"/>
        </w:rPr>
        <w:t>97</w:t>
      </w:r>
      <w:r>
        <w:rPr>
          <w:rFonts w:ascii="Times New Roman" w:eastAsia="仿宋_GB2312" w:hAnsi="Calibri" w:cs="Times New Roman" w:hint="eastAsia"/>
          <w:kern w:val="2"/>
          <w:sz w:val="32"/>
          <w:szCs w:val="32"/>
        </w:rPr>
        <w:t>批次。</w:t>
      </w:r>
    </w:p>
    <w:p w:rsidR="00D43DCB" w:rsidRDefault="009B38BC">
      <w:pPr>
        <w:pStyle w:val="1"/>
        <w:spacing w:before="0" w:after="0"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bookmarkStart w:id="3" w:name="_Toc91151132"/>
      <w:r>
        <w:rPr>
          <w:rFonts w:ascii="黑体" w:eastAsia="黑体" w:hAnsi="黑体" w:hint="eastAsia"/>
          <w:color w:val="000000" w:themeColor="text1"/>
          <w:sz w:val="32"/>
          <w:szCs w:val="32"/>
        </w:rPr>
        <w:t>三、化妆品监管情况</w:t>
      </w:r>
      <w:bookmarkEnd w:id="3"/>
    </w:p>
    <w:p w:rsidR="00D43DCB" w:rsidRDefault="009B38BC">
      <w:pPr>
        <w:spacing w:line="560" w:lineRule="exact"/>
        <w:ind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，全市共检查化妆品生产企业</w:t>
      </w:r>
      <w:r>
        <w:rPr>
          <w:rFonts w:eastAsia="仿宋_GB2312" w:hint="eastAsia"/>
          <w:color w:val="000000" w:themeColor="text1"/>
          <w:sz w:val="32"/>
          <w:szCs w:val="32"/>
        </w:rPr>
        <w:t>29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家次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抽验化妆品</w:t>
      </w:r>
      <w:r>
        <w:rPr>
          <w:rFonts w:eastAsia="仿宋_GB2312" w:hint="eastAsia"/>
          <w:color w:val="000000" w:themeColor="text1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eastAsia="仿宋_GB2312" w:hint="eastAsia"/>
          <w:color w:val="000000" w:themeColor="text1"/>
          <w:sz w:val="32"/>
          <w:szCs w:val="32"/>
        </w:rPr>
        <w:t>，飞行检查化妆品生产企业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家次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D43DCB" w:rsidRDefault="009B38BC">
      <w:pPr>
        <w:pStyle w:val="1"/>
        <w:spacing w:before="0" w:after="0" w:line="560" w:lineRule="exact"/>
        <w:ind w:firstLineChars="200" w:firstLine="643"/>
        <w:contextualSpacing/>
        <w:rPr>
          <w:rFonts w:ascii="黑体" w:eastAsia="黑体" w:hAnsi="黑体"/>
          <w:b w:val="0"/>
          <w:color w:val="000000" w:themeColor="text1"/>
          <w:sz w:val="32"/>
          <w:szCs w:val="32"/>
        </w:rPr>
      </w:pPr>
      <w:bookmarkStart w:id="4" w:name="_Toc91151133"/>
      <w:r>
        <w:rPr>
          <w:rFonts w:ascii="黑体" w:eastAsia="黑体" w:hAnsi="黑体" w:hint="eastAsia"/>
          <w:color w:val="000000" w:themeColor="text1"/>
          <w:sz w:val="32"/>
          <w:szCs w:val="32"/>
        </w:rPr>
        <w:t>四、</w:t>
      </w:r>
      <w:bookmarkStart w:id="5" w:name="_Toc509562819"/>
      <w:r>
        <w:rPr>
          <w:rFonts w:ascii="黑体" w:eastAsia="黑体" w:hAnsi="黑体" w:hint="eastAsia"/>
          <w:color w:val="000000" w:themeColor="text1"/>
          <w:sz w:val="32"/>
          <w:szCs w:val="32"/>
        </w:rPr>
        <w:t>全市查处违法“两品</w:t>
      </w:r>
      <w:proofErr w:type="gramStart"/>
      <w:r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黑体" w:eastAsia="黑体" w:hAnsi="黑体" w:hint="eastAsia"/>
          <w:color w:val="000000" w:themeColor="text1"/>
          <w:sz w:val="32"/>
          <w:szCs w:val="32"/>
        </w:rPr>
        <w:t>械”案件情况</w:t>
      </w:r>
      <w:bookmarkEnd w:id="4"/>
      <w:bookmarkEnd w:id="5"/>
    </w:p>
    <w:p w:rsidR="00D43DCB" w:rsidRDefault="009B38BC">
      <w:pPr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季度</w:t>
      </w:r>
      <w:r>
        <w:rPr>
          <w:rFonts w:eastAsia="仿宋_GB2312" w:hint="eastAsia"/>
          <w:sz w:val="32"/>
          <w:szCs w:val="32"/>
        </w:rPr>
        <w:t>，全市查处违法“两品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械”案件共</w:t>
      </w:r>
      <w:r>
        <w:rPr>
          <w:rFonts w:eastAsia="仿宋_GB2312"/>
          <w:sz w:val="32"/>
          <w:szCs w:val="32"/>
        </w:rPr>
        <w:t>461</w:t>
      </w:r>
      <w:r>
        <w:rPr>
          <w:rFonts w:eastAsia="仿宋_GB2312" w:hint="eastAsia"/>
          <w:sz w:val="32"/>
          <w:szCs w:val="32"/>
        </w:rPr>
        <w:t>件，其中一般程序案件</w:t>
      </w:r>
      <w:r>
        <w:rPr>
          <w:rFonts w:eastAsia="仿宋_GB2312"/>
          <w:sz w:val="32"/>
          <w:szCs w:val="32"/>
        </w:rPr>
        <w:t>455</w:t>
      </w:r>
      <w:r>
        <w:rPr>
          <w:rFonts w:eastAsia="仿宋_GB2312" w:hint="eastAsia"/>
          <w:sz w:val="32"/>
          <w:szCs w:val="32"/>
        </w:rPr>
        <w:t>件，简易程序案件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件。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（一）全市违法药品案件查处情况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，全市共查处药品案件</w:t>
      </w:r>
      <w:r>
        <w:rPr>
          <w:rFonts w:eastAsia="仿宋_GB2312" w:hint="eastAsia"/>
          <w:color w:val="000000" w:themeColor="text1"/>
          <w:sz w:val="32"/>
          <w:szCs w:val="32"/>
        </w:rPr>
        <w:t>315</w:t>
      </w:r>
      <w:r>
        <w:rPr>
          <w:rFonts w:eastAsia="仿宋_GB2312" w:hint="eastAsia"/>
          <w:color w:val="000000" w:themeColor="text1"/>
          <w:sz w:val="32"/>
          <w:szCs w:val="32"/>
        </w:rPr>
        <w:t>件，其中一般程序案件</w:t>
      </w:r>
      <w:r>
        <w:rPr>
          <w:rFonts w:eastAsia="仿宋_GB2312" w:hint="eastAsia"/>
          <w:color w:val="000000" w:themeColor="text1"/>
          <w:sz w:val="32"/>
          <w:szCs w:val="32"/>
        </w:rPr>
        <w:t>311</w:t>
      </w:r>
      <w:r>
        <w:rPr>
          <w:rFonts w:eastAsia="仿宋_GB2312" w:hint="eastAsia"/>
          <w:color w:val="000000" w:themeColor="text1"/>
          <w:sz w:val="32"/>
          <w:szCs w:val="32"/>
        </w:rPr>
        <w:t>件，简易程序案件</w:t>
      </w:r>
      <w:r>
        <w:rPr>
          <w:rFonts w:eastAsia="仿宋_GB2312" w:hint="eastAsia"/>
          <w:color w:val="000000" w:themeColor="text1"/>
          <w:sz w:val="32"/>
          <w:szCs w:val="32"/>
        </w:rPr>
        <w:t>4</w:t>
      </w:r>
      <w:r>
        <w:rPr>
          <w:rFonts w:eastAsia="仿宋_GB2312" w:hint="eastAsia"/>
          <w:color w:val="000000" w:themeColor="text1"/>
          <w:sz w:val="32"/>
          <w:szCs w:val="32"/>
        </w:rPr>
        <w:t>件。从违法主体看，生产企业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11</w:t>
      </w:r>
      <w:r>
        <w:rPr>
          <w:rFonts w:eastAsia="仿宋_GB2312" w:hint="eastAsia"/>
          <w:color w:val="000000" w:themeColor="text1"/>
          <w:sz w:val="32"/>
          <w:szCs w:val="32"/>
        </w:rPr>
        <w:t>件、经营企业</w:t>
      </w:r>
      <w:r>
        <w:rPr>
          <w:rFonts w:eastAsia="仿宋_GB2312" w:hint="eastAsia"/>
          <w:color w:val="000000" w:themeColor="text1"/>
          <w:sz w:val="32"/>
          <w:szCs w:val="32"/>
        </w:rPr>
        <w:t>295</w:t>
      </w:r>
      <w:r>
        <w:rPr>
          <w:rFonts w:eastAsia="仿宋_GB2312" w:hint="eastAsia"/>
          <w:color w:val="000000" w:themeColor="text1"/>
          <w:sz w:val="32"/>
          <w:szCs w:val="32"/>
        </w:rPr>
        <w:t>件、医疗机构</w:t>
      </w:r>
      <w:r>
        <w:rPr>
          <w:rFonts w:eastAsia="仿宋_GB2312"/>
          <w:color w:val="000000" w:themeColor="text1"/>
          <w:sz w:val="32"/>
          <w:szCs w:val="32"/>
        </w:rPr>
        <w:t>/</w:t>
      </w:r>
      <w:r>
        <w:rPr>
          <w:rFonts w:eastAsia="仿宋_GB2312"/>
          <w:color w:val="000000" w:themeColor="text1"/>
          <w:sz w:val="32"/>
          <w:szCs w:val="32"/>
        </w:rPr>
        <w:t>美容美发机构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 w:hint="eastAsia"/>
          <w:color w:val="000000" w:themeColor="text1"/>
          <w:sz w:val="32"/>
          <w:szCs w:val="32"/>
        </w:rPr>
        <w:t>件、其他违法主体</w:t>
      </w:r>
      <w:r>
        <w:rPr>
          <w:rFonts w:eastAsia="仿宋_GB2312" w:hint="eastAsia"/>
          <w:color w:val="000000" w:themeColor="text1"/>
          <w:sz w:val="32"/>
          <w:szCs w:val="32"/>
        </w:rPr>
        <w:t>7</w:t>
      </w:r>
      <w:r>
        <w:rPr>
          <w:rFonts w:eastAsia="仿宋_GB2312" w:hint="eastAsia"/>
          <w:color w:val="000000" w:themeColor="text1"/>
          <w:sz w:val="32"/>
          <w:szCs w:val="32"/>
        </w:rPr>
        <w:t>件。</w:t>
      </w:r>
    </w:p>
    <w:p w:rsidR="00D43DCB" w:rsidRDefault="009B38BC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（二）全市违法医疗器械案件查处情况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，全市共查处医疗器械案件</w:t>
      </w:r>
      <w:r>
        <w:rPr>
          <w:rFonts w:eastAsia="仿宋_GB2312" w:hint="eastAsia"/>
          <w:color w:val="000000" w:themeColor="text1"/>
          <w:sz w:val="32"/>
          <w:szCs w:val="32"/>
        </w:rPr>
        <w:t>115</w:t>
      </w:r>
      <w:r>
        <w:rPr>
          <w:rFonts w:eastAsia="仿宋_GB2312" w:hint="eastAsia"/>
          <w:color w:val="000000" w:themeColor="text1"/>
          <w:sz w:val="32"/>
          <w:szCs w:val="32"/>
        </w:rPr>
        <w:t>件，其中一般程序案件</w:t>
      </w:r>
      <w:r>
        <w:rPr>
          <w:rFonts w:eastAsia="仿宋_GB2312" w:hint="eastAsia"/>
          <w:color w:val="000000" w:themeColor="text1"/>
          <w:sz w:val="32"/>
          <w:szCs w:val="32"/>
        </w:rPr>
        <w:t>113</w:t>
      </w:r>
      <w:r>
        <w:rPr>
          <w:rFonts w:eastAsia="仿宋_GB2312" w:hint="eastAsia"/>
          <w:color w:val="000000" w:themeColor="text1"/>
          <w:sz w:val="32"/>
          <w:szCs w:val="32"/>
        </w:rPr>
        <w:t>件，简易程序案件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 w:hint="eastAsia"/>
          <w:color w:val="000000" w:themeColor="text1"/>
          <w:sz w:val="32"/>
          <w:szCs w:val="32"/>
        </w:rPr>
        <w:t>件。从违法主体看，生产企业</w:t>
      </w:r>
      <w:r>
        <w:rPr>
          <w:rFonts w:eastAsia="仿宋_GB2312" w:hint="eastAsia"/>
          <w:color w:val="000000" w:themeColor="text1"/>
          <w:sz w:val="32"/>
          <w:szCs w:val="32"/>
        </w:rPr>
        <w:t>56</w:t>
      </w:r>
      <w:r>
        <w:rPr>
          <w:rFonts w:eastAsia="仿宋_GB2312" w:hint="eastAsia"/>
          <w:color w:val="000000" w:themeColor="text1"/>
          <w:sz w:val="32"/>
          <w:szCs w:val="32"/>
        </w:rPr>
        <w:t>件、经营企业</w:t>
      </w:r>
      <w:r>
        <w:rPr>
          <w:rFonts w:eastAsia="仿宋_GB2312" w:hint="eastAsia"/>
          <w:color w:val="000000" w:themeColor="text1"/>
          <w:sz w:val="32"/>
          <w:szCs w:val="32"/>
        </w:rPr>
        <w:t>49</w:t>
      </w:r>
      <w:r>
        <w:rPr>
          <w:rFonts w:eastAsia="仿宋_GB2312" w:hint="eastAsia"/>
          <w:color w:val="000000" w:themeColor="text1"/>
          <w:sz w:val="32"/>
          <w:szCs w:val="32"/>
        </w:rPr>
        <w:t>件、医疗机构</w:t>
      </w:r>
      <w:r>
        <w:rPr>
          <w:rFonts w:eastAsia="仿宋_GB2312"/>
          <w:color w:val="000000" w:themeColor="text1"/>
          <w:sz w:val="32"/>
          <w:szCs w:val="32"/>
        </w:rPr>
        <w:t>/</w:t>
      </w:r>
      <w:r>
        <w:rPr>
          <w:rFonts w:eastAsia="仿宋_GB2312"/>
          <w:color w:val="000000" w:themeColor="text1"/>
          <w:sz w:val="32"/>
          <w:szCs w:val="32"/>
        </w:rPr>
        <w:t>美容美发机构</w:t>
      </w:r>
      <w:r>
        <w:rPr>
          <w:rFonts w:eastAsia="仿宋_GB2312" w:hint="eastAsia"/>
          <w:color w:val="000000" w:themeColor="text1"/>
          <w:sz w:val="32"/>
          <w:szCs w:val="32"/>
        </w:rPr>
        <w:t>9</w:t>
      </w:r>
      <w:r>
        <w:rPr>
          <w:rFonts w:eastAsia="仿宋_GB2312" w:hint="eastAsia"/>
          <w:color w:val="000000" w:themeColor="text1"/>
          <w:sz w:val="32"/>
          <w:szCs w:val="32"/>
        </w:rPr>
        <w:t>件、其他违法主体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件。</w:t>
      </w:r>
    </w:p>
    <w:p w:rsidR="00D43DCB" w:rsidRDefault="00D43DCB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  <w:sectPr w:rsidR="00D43DCB">
          <w:footerReference w:type="default" r:id="rId15"/>
          <w:type w:val="continuous"/>
          <w:pgSz w:w="11906" w:h="16838"/>
          <w:pgMar w:top="1531" w:right="1531" w:bottom="1531" w:left="1531" w:header="851" w:footer="992" w:gutter="0"/>
          <w:cols w:space="720"/>
        </w:sectPr>
      </w:pPr>
    </w:p>
    <w:p w:rsidR="00D43DCB" w:rsidRDefault="009B38BC">
      <w:pPr>
        <w:spacing w:line="560" w:lineRule="exact"/>
        <w:ind w:firstLine="643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lastRenderedPageBreak/>
        <w:t>（三）全市查处违法化妆品案件情况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，全市共查处化妆品案件</w:t>
      </w:r>
      <w:r>
        <w:rPr>
          <w:rFonts w:eastAsia="仿宋_GB2312" w:hint="eastAsia"/>
          <w:color w:val="000000" w:themeColor="text1"/>
          <w:sz w:val="32"/>
          <w:szCs w:val="32"/>
        </w:rPr>
        <w:t>31</w:t>
      </w:r>
      <w:r>
        <w:rPr>
          <w:rFonts w:eastAsia="仿宋_GB2312" w:hint="eastAsia"/>
          <w:color w:val="000000" w:themeColor="text1"/>
          <w:sz w:val="32"/>
          <w:szCs w:val="32"/>
        </w:rPr>
        <w:t>件，均为一般程序案件。从违法主体看，生产企业</w:t>
      </w:r>
      <w:r>
        <w:rPr>
          <w:rFonts w:eastAsia="仿宋_GB2312" w:hint="eastAsia"/>
          <w:color w:val="000000" w:themeColor="text1"/>
          <w:sz w:val="32"/>
          <w:szCs w:val="32"/>
        </w:rPr>
        <w:t>9</w:t>
      </w:r>
      <w:r>
        <w:rPr>
          <w:rFonts w:eastAsia="仿宋_GB2312" w:hint="eastAsia"/>
          <w:color w:val="000000" w:themeColor="text1"/>
          <w:sz w:val="32"/>
          <w:szCs w:val="32"/>
        </w:rPr>
        <w:t>件、经营企业</w:t>
      </w:r>
      <w:r>
        <w:rPr>
          <w:rFonts w:eastAsia="仿宋_GB2312" w:hint="eastAsia"/>
          <w:color w:val="000000" w:themeColor="text1"/>
          <w:sz w:val="32"/>
          <w:szCs w:val="32"/>
        </w:rPr>
        <w:t>19</w:t>
      </w:r>
      <w:r>
        <w:rPr>
          <w:rFonts w:eastAsia="仿宋_GB2312" w:hint="eastAsia"/>
          <w:color w:val="000000" w:themeColor="text1"/>
          <w:sz w:val="32"/>
          <w:szCs w:val="32"/>
        </w:rPr>
        <w:t>件、医疗机构</w:t>
      </w:r>
      <w:r>
        <w:rPr>
          <w:rFonts w:eastAsia="仿宋_GB2312"/>
          <w:color w:val="000000" w:themeColor="text1"/>
          <w:sz w:val="32"/>
          <w:szCs w:val="32"/>
        </w:rPr>
        <w:t>/</w:t>
      </w:r>
      <w:r>
        <w:rPr>
          <w:rFonts w:eastAsia="仿宋_GB2312"/>
          <w:color w:val="000000"/>
          <w:sz w:val="32"/>
          <w:szCs w:val="32"/>
        </w:rPr>
        <w:t>美容美发机构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 w:hint="eastAsia"/>
          <w:color w:val="000000" w:themeColor="text1"/>
          <w:sz w:val="32"/>
          <w:szCs w:val="32"/>
        </w:rPr>
        <w:t>件、其他</w:t>
      </w:r>
      <w:r>
        <w:rPr>
          <w:rFonts w:eastAsia="仿宋_GB2312"/>
          <w:color w:val="000000"/>
          <w:sz w:val="32"/>
          <w:szCs w:val="32"/>
        </w:rPr>
        <w:t>违法主体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件。</w:t>
      </w:r>
    </w:p>
    <w:p w:rsidR="00D43DCB" w:rsidRDefault="009B38BC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97155</wp:posOffset>
                </wp:positionV>
                <wp:extent cx="4506595" cy="2446020"/>
                <wp:effectExtent l="11430" t="11430" r="635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6595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43DCB" w:rsidRDefault="009B38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62450" cy="2333625"/>
                                  <wp:effectExtent l="19050" t="0" r="19050" b="0"/>
                                  <wp:docPr id="1" name="图表 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7" o:spid="_x0000_s1026" o:spt="202" type="#_x0000_t202" style="position:absolute;left:0pt;margin-left:41.4pt;margin-top:7.65pt;height:192.6pt;width:354.85pt;z-index:251661312;mso-width-relative:page;mso-height-relative:page;" fillcolor="#FFFFFF" filled="t" stroked="t" coordsize="21600,21600" o:gfxdata="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29GqTYAAAACQEAAA8AAAAAAAAAAQAgAAAAIgAAAGRycy9kb3ducmV2Lnht&#10;bFBLAQIUABQAAAAIAIdO4kCFycsiMgIAAIc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362450" cy="2333625"/>
                            <wp:effectExtent l="19050" t="0" r="19050" b="0"/>
                            <wp:docPr id="1" name="图表 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</w:p>
    <w:p w:rsidR="00D43DCB" w:rsidRDefault="00D43DCB">
      <w:pPr>
        <w:spacing w:line="56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</w:p>
    <w:p w:rsidR="00D43DCB" w:rsidRDefault="009B38BC">
      <w:pPr>
        <w:spacing w:beforeLines="100" w:before="240" w:line="560" w:lineRule="exact"/>
        <w:ind w:firstLine="641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（四）全市查办侵权假冒案件情况</w:t>
      </w:r>
    </w:p>
    <w:p w:rsidR="00D43DCB" w:rsidRDefault="009B38BC">
      <w:pPr>
        <w:spacing w:line="56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2022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季度</w:t>
      </w:r>
      <w:r>
        <w:rPr>
          <w:rFonts w:eastAsia="仿宋_GB2312" w:hint="eastAsia"/>
          <w:color w:val="000000" w:themeColor="text1"/>
          <w:sz w:val="32"/>
          <w:szCs w:val="32"/>
        </w:rPr>
        <w:t>，药品侵权假冒案件共计立案</w:t>
      </w:r>
      <w:r>
        <w:rPr>
          <w:rFonts w:eastAsia="仿宋_GB2312" w:hint="eastAsia"/>
          <w:color w:val="000000" w:themeColor="text1"/>
          <w:sz w:val="32"/>
          <w:szCs w:val="32"/>
        </w:rPr>
        <w:t>25</w:t>
      </w:r>
      <w:r>
        <w:rPr>
          <w:rFonts w:eastAsia="仿宋_GB2312" w:hint="eastAsia"/>
          <w:color w:val="000000" w:themeColor="text1"/>
          <w:sz w:val="32"/>
          <w:szCs w:val="32"/>
        </w:rPr>
        <w:t>件，其中生产销售假药的</w:t>
      </w:r>
      <w:r>
        <w:rPr>
          <w:rFonts w:eastAsia="仿宋_GB2312" w:hint="eastAsia"/>
          <w:color w:val="000000" w:themeColor="text1"/>
          <w:sz w:val="32"/>
          <w:szCs w:val="32"/>
        </w:rPr>
        <w:t>4</w:t>
      </w:r>
      <w:r>
        <w:rPr>
          <w:rFonts w:eastAsia="仿宋_GB2312" w:hint="eastAsia"/>
          <w:color w:val="000000" w:themeColor="text1"/>
          <w:sz w:val="32"/>
          <w:szCs w:val="32"/>
        </w:rPr>
        <w:t>件，生产销售劣药的</w:t>
      </w:r>
      <w:r>
        <w:rPr>
          <w:rFonts w:eastAsia="仿宋_GB2312" w:hint="eastAsia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件，生产销售不符合标准的医疗器械的</w:t>
      </w:r>
      <w:r>
        <w:rPr>
          <w:rFonts w:eastAsia="仿宋_GB2312" w:hint="eastAsia"/>
          <w:color w:val="000000" w:themeColor="text1"/>
          <w:sz w:val="32"/>
          <w:szCs w:val="32"/>
        </w:rPr>
        <w:t>15</w:t>
      </w:r>
      <w:r>
        <w:rPr>
          <w:rFonts w:eastAsia="仿宋_GB2312" w:hint="eastAsia"/>
          <w:color w:val="000000" w:themeColor="text1"/>
          <w:sz w:val="32"/>
          <w:szCs w:val="32"/>
        </w:rPr>
        <w:t>件，生产销售假冒化妆品的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件；办结案件</w:t>
      </w:r>
      <w:r>
        <w:rPr>
          <w:rFonts w:eastAsia="仿宋_GB2312"/>
          <w:color w:val="000000" w:themeColor="text1"/>
          <w:sz w:val="32"/>
          <w:szCs w:val="32"/>
        </w:rPr>
        <w:t>30</w:t>
      </w:r>
      <w:r>
        <w:rPr>
          <w:rFonts w:eastAsia="仿宋_GB2312" w:hint="eastAsia"/>
          <w:color w:val="000000" w:themeColor="text1"/>
          <w:sz w:val="32"/>
          <w:szCs w:val="32"/>
        </w:rPr>
        <w:t>件，其中生产销售假药的</w:t>
      </w:r>
      <w:r>
        <w:rPr>
          <w:rFonts w:eastAsia="仿宋_GB2312" w:hint="eastAsia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件，生产销售劣药的</w:t>
      </w:r>
      <w:r>
        <w:rPr>
          <w:rFonts w:eastAsia="仿宋_GB2312" w:hint="eastAsia"/>
          <w:color w:val="000000" w:themeColor="text1"/>
          <w:sz w:val="32"/>
          <w:szCs w:val="32"/>
        </w:rPr>
        <w:t>8</w:t>
      </w:r>
      <w:r>
        <w:rPr>
          <w:rFonts w:eastAsia="仿宋_GB2312" w:hint="eastAsia"/>
          <w:color w:val="000000" w:themeColor="text1"/>
          <w:sz w:val="32"/>
          <w:szCs w:val="32"/>
        </w:rPr>
        <w:t>件，生产销售不符合标准的医疗器械</w:t>
      </w:r>
      <w:r>
        <w:rPr>
          <w:rFonts w:eastAsia="仿宋_GB2312" w:hint="eastAsia"/>
          <w:color w:val="000000" w:themeColor="text1"/>
          <w:sz w:val="32"/>
          <w:szCs w:val="32"/>
        </w:rPr>
        <w:t>16</w:t>
      </w:r>
      <w:r>
        <w:rPr>
          <w:rFonts w:eastAsia="仿宋_GB2312" w:hint="eastAsia"/>
          <w:color w:val="000000" w:themeColor="text1"/>
          <w:sz w:val="32"/>
          <w:szCs w:val="32"/>
        </w:rPr>
        <w:t>件，生产销售假冒化妆品的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件。</w:t>
      </w:r>
    </w:p>
    <w:sectPr w:rsidR="00D43DCB">
      <w:footerReference w:type="default" r:id="rId18"/>
      <w:type w:val="continuous"/>
      <w:pgSz w:w="11906" w:h="16838"/>
      <w:pgMar w:top="1531" w:right="1531" w:bottom="1531" w:left="153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BC" w:rsidRDefault="009B38BC">
      <w:r>
        <w:separator/>
      </w:r>
    </w:p>
  </w:endnote>
  <w:endnote w:type="continuationSeparator" w:id="0">
    <w:p w:rsidR="009B38BC" w:rsidRDefault="009B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B" w:rsidRDefault="009B38BC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D43DCB" w:rsidRDefault="00D43D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B" w:rsidRDefault="009B38BC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D77AC6" w:rsidRPr="00D77AC6">
      <w:rPr>
        <w:noProof/>
        <w:lang w:val="zh-CN"/>
      </w:rPr>
      <w:t>2</w:t>
    </w:r>
    <w:r>
      <w:rPr>
        <w:lang w:val="zh-CN"/>
      </w:rPr>
      <w:fldChar w:fldCharType="end"/>
    </w:r>
  </w:p>
  <w:p w:rsidR="00D43DCB" w:rsidRDefault="00D43DC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B" w:rsidRDefault="009B38BC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D77AC6" w:rsidRPr="00D77AC6">
      <w:rPr>
        <w:noProof/>
        <w:lang w:val="zh-CN"/>
      </w:rPr>
      <w:t>4</w:t>
    </w:r>
    <w:r>
      <w:rPr>
        <w:lang w:val="zh-CN"/>
      </w:rPr>
      <w:fldChar w:fldCharType="end"/>
    </w:r>
  </w:p>
  <w:p w:rsidR="00D43DCB" w:rsidRDefault="00D43DC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B" w:rsidRDefault="009B38BC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:rsidR="00D43DCB" w:rsidRDefault="00D43D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BC" w:rsidRDefault="009B38BC">
      <w:r>
        <w:separator/>
      </w:r>
    </w:p>
  </w:footnote>
  <w:footnote w:type="continuationSeparator" w:id="0">
    <w:p w:rsidR="009B38BC" w:rsidRDefault="009B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NDc0ZDk5ZmZlMTdhN2JkMmRkZWVjMDBhMDEyNGIifQ=="/>
  </w:docVars>
  <w:rsids>
    <w:rsidRoot w:val="00D5090D"/>
    <w:rsid w:val="00001A4D"/>
    <w:rsid w:val="00002439"/>
    <w:rsid w:val="000028FD"/>
    <w:rsid w:val="00004213"/>
    <w:rsid w:val="0000709D"/>
    <w:rsid w:val="00012173"/>
    <w:rsid w:val="000141AA"/>
    <w:rsid w:val="0001500C"/>
    <w:rsid w:val="00015AF0"/>
    <w:rsid w:val="00024400"/>
    <w:rsid w:val="00025E77"/>
    <w:rsid w:val="00033D52"/>
    <w:rsid w:val="00042607"/>
    <w:rsid w:val="0004330E"/>
    <w:rsid w:val="00045707"/>
    <w:rsid w:val="00051CB5"/>
    <w:rsid w:val="00055001"/>
    <w:rsid w:val="00057AC7"/>
    <w:rsid w:val="00060E46"/>
    <w:rsid w:val="00063D40"/>
    <w:rsid w:val="00064BFC"/>
    <w:rsid w:val="00066A68"/>
    <w:rsid w:val="00067E98"/>
    <w:rsid w:val="00072D75"/>
    <w:rsid w:val="0007338A"/>
    <w:rsid w:val="00076B79"/>
    <w:rsid w:val="00076FAE"/>
    <w:rsid w:val="00095A50"/>
    <w:rsid w:val="000A1648"/>
    <w:rsid w:val="000A2783"/>
    <w:rsid w:val="000A64E1"/>
    <w:rsid w:val="000B4049"/>
    <w:rsid w:val="000B4ECF"/>
    <w:rsid w:val="000B593D"/>
    <w:rsid w:val="000D1CB7"/>
    <w:rsid w:val="000E157C"/>
    <w:rsid w:val="000E4243"/>
    <w:rsid w:val="000E4405"/>
    <w:rsid w:val="000E4714"/>
    <w:rsid w:val="000F248D"/>
    <w:rsid w:val="000F3CE4"/>
    <w:rsid w:val="00102320"/>
    <w:rsid w:val="001053A3"/>
    <w:rsid w:val="00113DC0"/>
    <w:rsid w:val="00116FB9"/>
    <w:rsid w:val="00117403"/>
    <w:rsid w:val="00117FBF"/>
    <w:rsid w:val="0012090F"/>
    <w:rsid w:val="0012152E"/>
    <w:rsid w:val="00121555"/>
    <w:rsid w:val="001239B0"/>
    <w:rsid w:val="001274D9"/>
    <w:rsid w:val="00127B8D"/>
    <w:rsid w:val="001327B7"/>
    <w:rsid w:val="00137F86"/>
    <w:rsid w:val="001437A8"/>
    <w:rsid w:val="001448C6"/>
    <w:rsid w:val="001454DA"/>
    <w:rsid w:val="0015623E"/>
    <w:rsid w:val="00157A77"/>
    <w:rsid w:val="00172578"/>
    <w:rsid w:val="00180EE7"/>
    <w:rsid w:val="001915A0"/>
    <w:rsid w:val="001924C4"/>
    <w:rsid w:val="00192545"/>
    <w:rsid w:val="0019412E"/>
    <w:rsid w:val="001A27DC"/>
    <w:rsid w:val="001A3B75"/>
    <w:rsid w:val="001A4260"/>
    <w:rsid w:val="001A4F26"/>
    <w:rsid w:val="001A65E1"/>
    <w:rsid w:val="001B17C1"/>
    <w:rsid w:val="001B2615"/>
    <w:rsid w:val="001B3FFA"/>
    <w:rsid w:val="001B78E5"/>
    <w:rsid w:val="001C170B"/>
    <w:rsid w:val="001C2649"/>
    <w:rsid w:val="001C72B4"/>
    <w:rsid w:val="001D4254"/>
    <w:rsid w:val="001F0F33"/>
    <w:rsid w:val="001F1EF6"/>
    <w:rsid w:val="001F4F59"/>
    <w:rsid w:val="001F5F43"/>
    <w:rsid w:val="001F66EF"/>
    <w:rsid w:val="002062AA"/>
    <w:rsid w:val="002116FA"/>
    <w:rsid w:val="002120E8"/>
    <w:rsid w:val="00212C92"/>
    <w:rsid w:val="0021318B"/>
    <w:rsid w:val="00223B3B"/>
    <w:rsid w:val="002346DC"/>
    <w:rsid w:val="00237FA4"/>
    <w:rsid w:val="00240B32"/>
    <w:rsid w:val="00241D69"/>
    <w:rsid w:val="002452C1"/>
    <w:rsid w:val="00245D4C"/>
    <w:rsid w:val="00257573"/>
    <w:rsid w:val="002857B5"/>
    <w:rsid w:val="002902C5"/>
    <w:rsid w:val="00291EC9"/>
    <w:rsid w:val="00292776"/>
    <w:rsid w:val="00294BE0"/>
    <w:rsid w:val="00294F81"/>
    <w:rsid w:val="0029520E"/>
    <w:rsid w:val="002952F1"/>
    <w:rsid w:val="002A00ED"/>
    <w:rsid w:val="002A073D"/>
    <w:rsid w:val="002A1592"/>
    <w:rsid w:val="002A49FA"/>
    <w:rsid w:val="002A519D"/>
    <w:rsid w:val="002B7FAC"/>
    <w:rsid w:val="002C0B1F"/>
    <w:rsid w:val="002C0F46"/>
    <w:rsid w:val="002C1E24"/>
    <w:rsid w:val="002C5111"/>
    <w:rsid w:val="002D1540"/>
    <w:rsid w:val="002D3EA9"/>
    <w:rsid w:val="002D448B"/>
    <w:rsid w:val="002D6715"/>
    <w:rsid w:val="002E0EC3"/>
    <w:rsid w:val="002E44FA"/>
    <w:rsid w:val="002E6731"/>
    <w:rsid w:val="002E6908"/>
    <w:rsid w:val="002E7DDE"/>
    <w:rsid w:val="002F0F32"/>
    <w:rsid w:val="002F1157"/>
    <w:rsid w:val="003016C3"/>
    <w:rsid w:val="003037BD"/>
    <w:rsid w:val="00307E6B"/>
    <w:rsid w:val="003108DA"/>
    <w:rsid w:val="00314013"/>
    <w:rsid w:val="00314868"/>
    <w:rsid w:val="00321BE9"/>
    <w:rsid w:val="00334020"/>
    <w:rsid w:val="00334D5A"/>
    <w:rsid w:val="003352C5"/>
    <w:rsid w:val="00337B16"/>
    <w:rsid w:val="00344F96"/>
    <w:rsid w:val="00347FA0"/>
    <w:rsid w:val="003504FD"/>
    <w:rsid w:val="00350637"/>
    <w:rsid w:val="0035428B"/>
    <w:rsid w:val="00355975"/>
    <w:rsid w:val="0036490D"/>
    <w:rsid w:val="0037167D"/>
    <w:rsid w:val="00372507"/>
    <w:rsid w:val="00375F44"/>
    <w:rsid w:val="0038460E"/>
    <w:rsid w:val="003906D3"/>
    <w:rsid w:val="00393A9A"/>
    <w:rsid w:val="00394848"/>
    <w:rsid w:val="00395506"/>
    <w:rsid w:val="003963DF"/>
    <w:rsid w:val="003A0198"/>
    <w:rsid w:val="003A0719"/>
    <w:rsid w:val="003A07F9"/>
    <w:rsid w:val="003A0968"/>
    <w:rsid w:val="003A4304"/>
    <w:rsid w:val="003B427B"/>
    <w:rsid w:val="003B6D08"/>
    <w:rsid w:val="003B781F"/>
    <w:rsid w:val="003C0D88"/>
    <w:rsid w:val="003C2C17"/>
    <w:rsid w:val="003D06DC"/>
    <w:rsid w:val="003D1692"/>
    <w:rsid w:val="003D3771"/>
    <w:rsid w:val="003D7E8B"/>
    <w:rsid w:val="003E1D58"/>
    <w:rsid w:val="003E6D53"/>
    <w:rsid w:val="003F0343"/>
    <w:rsid w:val="003F611A"/>
    <w:rsid w:val="003F72E1"/>
    <w:rsid w:val="00403E7D"/>
    <w:rsid w:val="00404FA7"/>
    <w:rsid w:val="00423ACC"/>
    <w:rsid w:val="00426735"/>
    <w:rsid w:val="0043118A"/>
    <w:rsid w:val="004336D6"/>
    <w:rsid w:val="00433B18"/>
    <w:rsid w:val="00436330"/>
    <w:rsid w:val="00436C74"/>
    <w:rsid w:val="00437350"/>
    <w:rsid w:val="0044262C"/>
    <w:rsid w:val="00442EEB"/>
    <w:rsid w:val="004456A2"/>
    <w:rsid w:val="00447BDC"/>
    <w:rsid w:val="0045285E"/>
    <w:rsid w:val="004550BC"/>
    <w:rsid w:val="00455B51"/>
    <w:rsid w:val="00461128"/>
    <w:rsid w:val="00466959"/>
    <w:rsid w:val="00466F59"/>
    <w:rsid w:val="004774D7"/>
    <w:rsid w:val="00481598"/>
    <w:rsid w:val="00483771"/>
    <w:rsid w:val="00486148"/>
    <w:rsid w:val="00490C13"/>
    <w:rsid w:val="00493070"/>
    <w:rsid w:val="004939C5"/>
    <w:rsid w:val="00495E92"/>
    <w:rsid w:val="00496D9E"/>
    <w:rsid w:val="004A41C1"/>
    <w:rsid w:val="004A5911"/>
    <w:rsid w:val="004A7C71"/>
    <w:rsid w:val="004A7FCC"/>
    <w:rsid w:val="004B00E2"/>
    <w:rsid w:val="004B44F2"/>
    <w:rsid w:val="004B527E"/>
    <w:rsid w:val="004B6E8A"/>
    <w:rsid w:val="004C30BC"/>
    <w:rsid w:val="004C3669"/>
    <w:rsid w:val="004C65D2"/>
    <w:rsid w:val="004D0B7F"/>
    <w:rsid w:val="004D1DE0"/>
    <w:rsid w:val="004D228A"/>
    <w:rsid w:val="004D2433"/>
    <w:rsid w:val="004D2F59"/>
    <w:rsid w:val="004D58E2"/>
    <w:rsid w:val="004E046C"/>
    <w:rsid w:val="004E1E1A"/>
    <w:rsid w:val="004E291B"/>
    <w:rsid w:val="004E39F9"/>
    <w:rsid w:val="004F1954"/>
    <w:rsid w:val="00500101"/>
    <w:rsid w:val="00506437"/>
    <w:rsid w:val="005074D3"/>
    <w:rsid w:val="005121BA"/>
    <w:rsid w:val="00515EED"/>
    <w:rsid w:val="005171BB"/>
    <w:rsid w:val="00521C22"/>
    <w:rsid w:val="00522EF5"/>
    <w:rsid w:val="00523152"/>
    <w:rsid w:val="005308B8"/>
    <w:rsid w:val="00532C49"/>
    <w:rsid w:val="00533C51"/>
    <w:rsid w:val="0054047B"/>
    <w:rsid w:val="00541462"/>
    <w:rsid w:val="00541EBD"/>
    <w:rsid w:val="005508AC"/>
    <w:rsid w:val="00551EEC"/>
    <w:rsid w:val="00556536"/>
    <w:rsid w:val="0055658C"/>
    <w:rsid w:val="00562FC0"/>
    <w:rsid w:val="00563909"/>
    <w:rsid w:val="00565E37"/>
    <w:rsid w:val="00567174"/>
    <w:rsid w:val="00574485"/>
    <w:rsid w:val="005765F2"/>
    <w:rsid w:val="00576C57"/>
    <w:rsid w:val="00576D84"/>
    <w:rsid w:val="00582932"/>
    <w:rsid w:val="00584FF0"/>
    <w:rsid w:val="00587B7B"/>
    <w:rsid w:val="00595CBD"/>
    <w:rsid w:val="005A5CC4"/>
    <w:rsid w:val="005B5959"/>
    <w:rsid w:val="005B5EFB"/>
    <w:rsid w:val="005B600D"/>
    <w:rsid w:val="005B73D4"/>
    <w:rsid w:val="005C1BB8"/>
    <w:rsid w:val="005D10B5"/>
    <w:rsid w:val="005E3DC1"/>
    <w:rsid w:val="005E4149"/>
    <w:rsid w:val="005E5DB7"/>
    <w:rsid w:val="005E73B3"/>
    <w:rsid w:val="005E741C"/>
    <w:rsid w:val="005F1352"/>
    <w:rsid w:val="005F1A88"/>
    <w:rsid w:val="005F373C"/>
    <w:rsid w:val="005F3CFD"/>
    <w:rsid w:val="005F3E86"/>
    <w:rsid w:val="005F5310"/>
    <w:rsid w:val="006049D5"/>
    <w:rsid w:val="00614F65"/>
    <w:rsid w:val="00615288"/>
    <w:rsid w:val="006305E1"/>
    <w:rsid w:val="00634EF1"/>
    <w:rsid w:val="006355F4"/>
    <w:rsid w:val="00653B7D"/>
    <w:rsid w:val="0066244E"/>
    <w:rsid w:val="00663809"/>
    <w:rsid w:val="00664CE8"/>
    <w:rsid w:val="0066542A"/>
    <w:rsid w:val="00666AA2"/>
    <w:rsid w:val="00670E72"/>
    <w:rsid w:val="006721C9"/>
    <w:rsid w:val="00674C6D"/>
    <w:rsid w:val="00675254"/>
    <w:rsid w:val="0067585C"/>
    <w:rsid w:val="00676182"/>
    <w:rsid w:val="00676392"/>
    <w:rsid w:val="00681B5D"/>
    <w:rsid w:val="00681FF7"/>
    <w:rsid w:val="006829B3"/>
    <w:rsid w:val="00683870"/>
    <w:rsid w:val="00692E3D"/>
    <w:rsid w:val="006A17F5"/>
    <w:rsid w:val="006A20A7"/>
    <w:rsid w:val="006A40A4"/>
    <w:rsid w:val="006A738F"/>
    <w:rsid w:val="006B6658"/>
    <w:rsid w:val="006C25D8"/>
    <w:rsid w:val="006C5FEC"/>
    <w:rsid w:val="006C7F79"/>
    <w:rsid w:val="006D4EAD"/>
    <w:rsid w:val="006E13BC"/>
    <w:rsid w:val="006E3543"/>
    <w:rsid w:val="006E3DAA"/>
    <w:rsid w:val="006F272C"/>
    <w:rsid w:val="006F3AB0"/>
    <w:rsid w:val="00700768"/>
    <w:rsid w:val="00700896"/>
    <w:rsid w:val="00710E50"/>
    <w:rsid w:val="00715416"/>
    <w:rsid w:val="00715F9E"/>
    <w:rsid w:val="00716404"/>
    <w:rsid w:val="00717222"/>
    <w:rsid w:val="007236D7"/>
    <w:rsid w:val="00724F19"/>
    <w:rsid w:val="00725ED7"/>
    <w:rsid w:val="007279E1"/>
    <w:rsid w:val="00730A18"/>
    <w:rsid w:val="0073458F"/>
    <w:rsid w:val="0074012C"/>
    <w:rsid w:val="00741C93"/>
    <w:rsid w:val="00742473"/>
    <w:rsid w:val="007430A7"/>
    <w:rsid w:val="00745501"/>
    <w:rsid w:val="00751C45"/>
    <w:rsid w:val="00753582"/>
    <w:rsid w:val="00754ED3"/>
    <w:rsid w:val="00755CAF"/>
    <w:rsid w:val="0076660E"/>
    <w:rsid w:val="00771CBE"/>
    <w:rsid w:val="007730FD"/>
    <w:rsid w:val="00774C8D"/>
    <w:rsid w:val="0077526E"/>
    <w:rsid w:val="00781DBE"/>
    <w:rsid w:val="00785E33"/>
    <w:rsid w:val="00785E6C"/>
    <w:rsid w:val="00787005"/>
    <w:rsid w:val="00787472"/>
    <w:rsid w:val="00792731"/>
    <w:rsid w:val="007948C0"/>
    <w:rsid w:val="00794EB0"/>
    <w:rsid w:val="007A56E9"/>
    <w:rsid w:val="007B6D13"/>
    <w:rsid w:val="007C4193"/>
    <w:rsid w:val="007D3A7B"/>
    <w:rsid w:val="007D4C26"/>
    <w:rsid w:val="007E2F6F"/>
    <w:rsid w:val="007E74F9"/>
    <w:rsid w:val="007F27D8"/>
    <w:rsid w:val="007F285E"/>
    <w:rsid w:val="007F3EF0"/>
    <w:rsid w:val="0080097D"/>
    <w:rsid w:val="00802E2C"/>
    <w:rsid w:val="00803B53"/>
    <w:rsid w:val="00805612"/>
    <w:rsid w:val="00805B0B"/>
    <w:rsid w:val="00807265"/>
    <w:rsid w:val="0081654F"/>
    <w:rsid w:val="008208DE"/>
    <w:rsid w:val="00821287"/>
    <w:rsid w:val="00822AB9"/>
    <w:rsid w:val="008242EF"/>
    <w:rsid w:val="00825288"/>
    <w:rsid w:val="0082628A"/>
    <w:rsid w:val="00831976"/>
    <w:rsid w:val="0083396B"/>
    <w:rsid w:val="00841B9E"/>
    <w:rsid w:val="00843F9D"/>
    <w:rsid w:val="0084410E"/>
    <w:rsid w:val="0085107C"/>
    <w:rsid w:val="00854246"/>
    <w:rsid w:val="00861C89"/>
    <w:rsid w:val="00867FC8"/>
    <w:rsid w:val="00870D0E"/>
    <w:rsid w:val="008723F7"/>
    <w:rsid w:val="008728EA"/>
    <w:rsid w:val="00881536"/>
    <w:rsid w:val="0088488C"/>
    <w:rsid w:val="008851E9"/>
    <w:rsid w:val="00886AEC"/>
    <w:rsid w:val="00887B78"/>
    <w:rsid w:val="00890B26"/>
    <w:rsid w:val="008A6EDF"/>
    <w:rsid w:val="008C5B1B"/>
    <w:rsid w:val="008C6D34"/>
    <w:rsid w:val="008C718F"/>
    <w:rsid w:val="008C7AC0"/>
    <w:rsid w:val="008D54AA"/>
    <w:rsid w:val="008D54C9"/>
    <w:rsid w:val="008D61F5"/>
    <w:rsid w:val="008E3533"/>
    <w:rsid w:val="008E3EAE"/>
    <w:rsid w:val="008E3FB8"/>
    <w:rsid w:val="008E4924"/>
    <w:rsid w:val="008E5CCA"/>
    <w:rsid w:val="008E78D0"/>
    <w:rsid w:val="008F041B"/>
    <w:rsid w:val="008F4415"/>
    <w:rsid w:val="008F734F"/>
    <w:rsid w:val="00902517"/>
    <w:rsid w:val="00902A0F"/>
    <w:rsid w:val="00902D1C"/>
    <w:rsid w:val="00906CE2"/>
    <w:rsid w:val="009070DE"/>
    <w:rsid w:val="00910042"/>
    <w:rsid w:val="009129D9"/>
    <w:rsid w:val="00916BD7"/>
    <w:rsid w:val="00916EE8"/>
    <w:rsid w:val="00921181"/>
    <w:rsid w:val="009215D3"/>
    <w:rsid w:val="00921CBB"/>
    <w:rsid w:val="00923D47"/>
    <w:rsid w:val="00925084"/>
    <w:rsid w:val="00947BB3"/>
    <w:rsid w:val="0095275A"/>
    <w:rsid w:val="0095395D"/>
    <w:rsid w:val="0095758C"/>
    <w:rsid w:val="009678ED"/>
    <w:rsid w:val="00971357"/>
    <w:rsid w:val="009728BE"/>
    <w:rsid w:val="00972C14"/>
    <w:rsid w:val="00977224"/>
    <w:rsid w:val="00981876"/>
    <w:rsid w:val="00981C1B"/>
    <w:rsid w:val="00992635"/>
    <w:rsid w:val="00996BE0"/>
    <w:rsid w:val="009A314A"/>
    <w:rsid w:val="009B0336"/>
    <w:rsid w:val="009B1A2D"/>
    <w:rsid w:val="009B208A"/>
    <w:rsid w:val="009B342A"/>
    <w:rsid w:val="009B38BC"/>
    <w:rsid w:val="009C0558"/>
    <w:rsid w:val="009C52BE"/>
    <w:rsid w:val="009C53DC"/>
    <w:rsid w:val="009D12CC"/>
    <w:rsid w:val="009D6675"/>
    <w:rsid w:val="009E7AF0"/>
    <w:rsid w:val="009F3F53"/>
    <w:rsid w:val="009F683B"/>
    <w:rsid w:val="00A0092C"/>
    <w:rsid w:val="00A038FF"/>
    <w:rsid w:val="00A06404"/>
    <w:rsid w:val="00A1063B"/>
    <w:rsid w:val="00A16288"/>
    <w:rsid w:val="00A231DB"/>
    <w:rsid w:val="00A30CD2"/>
    <w:rsid w:val="00A31583"/>
    <w:rsid w:val="00A338E1"/>
    <w:rsid w:val="00A37A91"/>
    <w:rsid w:val="00A37CB9"/>
    <w:rsid w:val="00A41119"/>
    <w:rsid w:val="00A44582"/>
    <w:rsid w:val="00A467E5"/>
    <w:rsid w:val="00A477E0"/>
    <w:rsid w:val="00A51448"/>
    <w:rsid w:val="00A522F7"/>
    <w:rsid w:val="00A60D8B"/>
    <w:rsid w:val="00A612AE"/>
    <w:rsid w:val="00A64984"/>
    <w:rsid w:val="00A70666"/>
    <w:rsid w:val="00A70BC4"/>
    <w:rsid w:val="00A70D3E"/>
    <w:rsid w:val="00A818A0"/>
    <w:rsid w:val="00A85DD6"/>
    <w:rsid w:val="00A915ED"/>
    <w:rsid w:val="00AA41C4"/>
    <w:rsid w:val="00AB50F5"/>
    <w:rsid w:val="00AB61B8"/>
    <w:rsid w:val="00AB6E32"/>
    <w:rsid w:val="00AC1536"/>
    <w:rsid w:val="00AC20FD"/>
    <w:rsid w:val="00AC277F"/>
    <w:rsid w:val="00AC55FA"/>
    <w:rsid w:val="00AC7DCA"/>
    <w:rsid w:val="00AD2335"/>
    <w:rsid w:val="00AD24DF"/>
    <w:rsid w:val="00AD440C"/>
    <w:rsid w:val="00AD452C"/>
    <w:rsid w:val="00AD5D9C"/>
    <w:rsid w:val="00AD7390"/>
    <w:rsid w:val="00AE1FF2"/>
    <w:rsid w:val="00AF74F2"/>
    <w:rsid w:val="00B00B01"/>
    <w:rsid w:val="00B06AAF"/>
    <w:rsid w:val="00B07F11"/>
    <w:rsid w:val="00B11259"/>
    <w:rsid w:val="00B235BA"/>
    <w:rsid w:val="00B30F74"/>
    <w:rsid w:val="00B31B19"/>
    <w:rsid w:val="00B346BE"/>
    <w:rsid w:val="00B375B1"/>
    <w:rsid w:val="00B42269"/>
    <w:rsid w:val="00B44266"/>
    <w:rsid w:val="00B4496F"/>
    <w:rsid w:val="00B50225"/>
    <w:rsid w:val="00B527DE"/>
    <w:rsid w:val="00B61098"/>
    <w:rsid w:val="00B651B5"/>
    <w:rsid w:val="00B70CF1"/>
    <w:rsid w:val="00B718C6"/>
    <w:rsid w:val="00B766B8"/>
    <w:rsid w:val="00B82B02"/>
    <w:rsid w:val="00B839A1"/>
    <w:rsid w:val="00B84F34"/>
    <w:rsid w:val="00B90B46"/>
    <w:rsid w:val="00B92BBB"/>
    <w:rsid w:val="00B972CF"/>
    <w:rsid w:val="00BA1298"/>
    <w:rsid w:val="00BA3B5D"/>
    <w:rsid w:val="00BA783A"/>
    <w:rsid w:val="00BB0052"/>
    <w:rsid w:val="00BB2341"/>
    <w:rsid w:val="00BB57BE"/>
    <w:rsid w:val="00BC3B4C"/>
    <w:rsid w:val="00BD16DE"/>
    <w:rsid w:val="00BD4A22"/>
    <w:rsid w:val="00BF06D3"/>
    <w:rsid w:val="00BF46F8"/>
    <w:rsid w:val="00BF5376"/>
    <w:rsid w:val="00BF7D4A"/>
    <w:rsid w:val="00C06B6C"/>
    <w:rsid w:val="00C06BCD"/>
    <w:rsid w:val="00C103DE"/>
    <w:rsid w:val="00C117BE"/>
    <w:rsid w:val="00C13456"/>
    <w:rsid w:val="00C1556E"/>
    <w:rsid w:val="00C1787A"/>
    <w:rsid w:val="00C20362"/>
    <w:rsid w:val="00C25A84"/>
    <w:rsid w:val="00C3633A"/>
    <w:rsid w:val="00C37341"/>
    <w:rsid w:val="00C41301"/>
    <w:rsid w:val="00C4165E"/>
    <w:rsid w:val="00C427CC"/>
    <w:rsid w:val="00C43FB2"/>
    <w:rsid w:val="00C44EF7"/>
    <w:rsid w:val="00C46795"/>
    <w:rsid w:val="00C5006E"/>
    <w:rsid w:val="00C5048E"/>
    <w:rsid w:val="00C51AFB"/>
    <w:rsid w:val="00C5211D"/>
    <w:rsid w:val="00C53B00"/>
    <w:rsid w:val="00C57B76"/>
    <w:rsid w:val="00C61135"/>
    <w:rsid w:val="00C63730"/>
    <w:rsid w:val="00C64A04"/>
    <w:rsid w:val="00C6506E"/>
    <w:rsid w:val="00C65D7A"/>
    <w:rsid w:val="00C74D9D"/>
    <w:rsid w:val="00C84815"/>
    <w:rsid w:val="00C8765D"/>
    <w:rsid w:val="00C90759"/>
    <w:rsid w:val="00C9328D"/>
    <w:rsid w:val="00C9697B"/>
    <w:rsid w:val="00CA0B7D"/>
    <w:rsid w:val="00CA3EB8"/>
    <w:rsid w:val="00CA7C55"/>
    <w:rsid w:val="00CB1AA2"/>
    <w:rsid w:val="00CC2142"/>
    <w:rsid w:val="00CC50F1"/>
    <w:rsid w:val="00CC78FB"/>
    <w:rsid w:val="00CD10E0"/>
    <w:rsid w:val="00CD2D84"/>
    <w:rsid w:val="00CD2FA8"/>
    <w:rsid w:val="00CF1D62"/>
    <w:rsid w:val="00CF6C33"/>
    <w:rsid w:val="00CF7C1A"/>
    <w:rsid w:val="00D00143"/>
    <w:rsid w:val="00D026DB"/>
    <w:rsid w:val="00D108E7"/>
    <w:rsid w:val="00D112C8"/>
    <w:rsid w:val="00D12CA0"/>
    <w:rsid w:val="00D13A35"/>
    <w:rsid w:val="00D14FAA"/>
    <w:rsid w:val="00D16A3E"/>
    <w:rsid w:val="00D2736F"/>
    <w:rsid w:val="00D30EA3"/>
    <w:rsid w:val="00D31972"/>
    <w:rsid w:val="00D31F01"/>
    <w:rsid w:val="00D36D4C"/>
    <w:rsid w:val="00D41580"/>
    <w:rsid w:val="00D41B7C"/>
    <w:rsid w:val="00D43080"/>
    <w:rsid w:val="00D43DCB"/>
    <w:rsid w:val="00D503DC"/>
    <w:rsid w:val="00D5090D"/>
    <w:rsid w:val="00D51E60"/>
    <w:rsid w:val="00D571EB"/>
    <w:rsid w:val="00D65E6D"/>
    <w:rsid w:val="00D672F4"/>
    <w:rsid w:val="00D678BE"/>
    <w:rsid w:val="00D70925"/>
    <w:rsid w:val="00D71F40"/>
    <w:rsid w:val="00D7586F"/>
    <w:rsid w:val="00D764EC"/>
    <w:rsid w:val="00D77AC6"/>
    <w:rsid w:val="00D8073C"/>
    <w:rsid w:val="00D82789"/>
    <w:rsid w:val="00D82A81"/>
    <w:rsid w:val="00D856B0"/>
    <w:rsid w:val="00D876E1"/>
    <w:rsid w:val="00D92F3E"/>
    <w:rsid w:val="00DA3559"/>
    <w:rsid w:val="00DB21A8"/>
    <w:rsid w:val="00DB33E5"/>
    <w:rsid w:val="00DB4835"/>
    <w:rsid w:val="00DB64BB"/>
    <w:rsid w:val="00DC0B15"/>
    <w:rsid w:val="00DC4310"/>
    <w:rsid w:val="00DD131E"/>
    <w:rsid w:val="00DD1B79"/>
    <w:rsid w:val="00DD399B"/>
    <w:rsid w:val="00DD44D6"/>
    <w:rsid w:val="00DD647A"/>
    <w:rsid w:val="00DE008D"/>
    <w:rsid w:val="00DE3898"/>
    <w:rsid w:val="00DE48D2"/>
    <w:rsid w:val="00DF2E5D"/>
    <w:rsid w:val="00E01D11"/>
    <w:rsid w:val="00E06FC0"/>
    <w:rsid w:val="00E0733D"/>
    <w:rsid w:val="00E07481"/>
    <w:rsid w:val="00E07DB6"/>
    <w:rsid w:val="00E12BF1"/>
    <w:rsid w:val="00E14ECD"/>
    <w:rsid w:val="00E15D89"/>
    <w:rsid w:val="00E172DE"/>
    <w:rsid w:val="00E176B3"/>
    <w:rsid w:val="00E24657"/>
    <w:rsid w:val="00E24E8F"/>
    <w:rsid w:val="00E36F11"/>
    <w:rsid w:val="00E40414"/>
    <w:rsid w:val="00E42198"/>
    <w:rsid w:val="00E45B63"/>
    <w:rsid w:val="00E519A0"/>
    <w:rsid w:val="00E52F9C"/>
    <w:rsid w:val="00E54DB3"/>
    <w:rsid w:val="00E605AB"/>
    <w:rsid w:val="00E616F6"/>
    <w:rsid w:val="00E62570"/>
    <w:rsid w:val="00E63BCD"/>
    <w:rsid w:val="00E641D9"/>
    <w:rsid w:val="00E67A5A"/>
    <w:rsid w:val="00E71833"/>
    <w:rsid w:val="00E72301"/>
    <w:rsid w:val="00E84534"/>
    <w:rsid w:val="00E86B88"/>
    <w:rsid w:val="00E87497"/>
    <w:rsid w:val="00E93E8F"/>
    <w:rsid w:val="00E94CA2"/>
    <w:rsid w:val="00E96FCA"/>
    <w:rsid w:val="00EA00D0"/>
    <w:rsid w:val="00EA1AFA"/>
    <w:rsid w:val="00EA2474"/>
    <w:rsid w:val="00EA265E"/>
    <w:rsid w:val="00EB1819"/>
    <w:rsid w:val="00EB1CC5"/>
    <w:rsid w:val="00EB3541"/>
    <w:rsid w:val="00EB36AE"/>
    <w:rsid w:val="00EB4D21"/>
    <w:rsid w:val="00EC1031"/>
    <w:rsid w:val="00EC607F"/>
    <w:rsid w:val="00EC7292"/>
    <w:rsid w:val="00ED668C"/>
    <w:rsid w:val="00EE0757"/>
    <w:rsid w:val="00EE4935"/>
    <w:rsid w:val="00EE6CEA"/>
    <w:rsid w:val="00EF1505"/>
    <w:rsid w:val="00EF1698"/>
    <w:rsid w:val="00EF4695"/>
    <w:rsid w:val="00F0238B"/>
    <w:rsid w:val="00F063EB"/>
    <w:rsid w:val="00F06D96"/>
    <w:rsid w:val="00F11DA8"/>
    <w:rsid w:val="00F12F9A"/>
    <w:rsid w:val="00F14497"/>
    <w:rsid w:val="00F17331"/>
    <w:rsid w:val="00F2298F"/>
    <w:rsid w:val="00F241A4"/>
    <w:rsid w:val="00F332E8"/>
    <w:rsid w:val="00F35AEF"/>
    <w:rsid w:val="00F361AD"/>
    <w:rsid w:val="00F460D5"/>
    <w:rsid w:val="00F53230"/>
    <w:rsid w:val="00F53826"/>
    <w:rsid w:val="00F56DAD"/>
    <w:rsid w:val="00F576A4"/>
    <w:rsid w:val="00F611E3"/>
    <w:rsid w:val="00F66ED4"/>
    <w:rsid w:val="00F81A0B"/>
    <w:rsid w:val="00F81B6F"/>
    <w:rsid w:val="00F81BB9"/>
    <w:rsid w:val="00F87C40"/>
    <w:rsid w:val="00FA0FD3"/>
    <w:rsid w:val="00FA4D2B"/>
    <w:rsid w:val="00FA61C3"/>
    <w:rsid w:val="00FB1A43"/>
    <w:rsid w:val="00FB1E8D"/>
    <w:rsid w:val="00FB25B2"/>
    <w:rsid w:val="00FB2AFC"/>
    <w:rsid w:val="00FB33B1"/>
    <w:rsid w:val="00FD5683"/>
    <w:rsid w:val="00FE0DDB"/>
    <w:rsid w:val="00FE276E"/>
    <w:rsid w:val="00FE4B59"/>
    <w:rsid w:val="00FF2788"/>
    <w:rsid w:val="00FF30EC"/>
    <w:rsid w:val="46BE2370"/>
    <w:rsid w:val="56A7470F"/>
    <w:rsid w:val="5A9E7C8D"/>
    <w:rsid w:val="76AD194F"/>
    <w:rsid w:val="784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semiHidden="0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pPr>
      <w:shd w:val="clear" w:color="auto" w:fill="000080"/>
    </w:pPr>
    <w:rPr>
      <w:rFonts w:ascii="Times New Roman" w:hAnsi="Times New Roman"/>
      <w:szCs w:val="24"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semiHidden/>
    <w:unhideWhenUsed/>
    <w:qFormat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ind w:right="360"/>
      <w:jc w:val="right"/>
    </w:pPr>
    <w:rPr>
      <w:rFonts w:ascii="Times New Roman" w:hAnsi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  <w:szCs w:val="24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qFormat/>
    <w:rPr>
      <w:color w:val="800080"/>
      <w:u w:val="single"/>
    </w:rPr>
  </w:style>
  <w:style w:type="character" w:styleId="ad">
    <w:name w:val="Hyperlink"/>
    <w:uiPriority w:val="99"/>
    <w:unhideWhenUsed/>
    <w:qFormat/>
    <w:rPr>
      <w:color w:val="0563C1"/>
      <w:u w:val="single"/>
    </w:rPr>
  </w:style>
  <w:style w:type="character" w:styleId="ae">
    <w:name w:val="annotation reference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0">
    <w:name w:val="批注文字 Char"/>
    <w:link w:val="a4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页眉 Char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文档结构图 Char"/>
    <w:link w:val="a3"/>
    <w:semiHidden/>
    <w:qFormat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Char5">
    <w:name w:val="批注主题 Char"/>
    <w:link w:val="aa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2">
    <w:name w:val="批注框文本 Char"/>
    <w:link w:val="a6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10">
    <w:name w:val="页脚 Char1"/>
    <w:uiPriority w:val="99"/>
    <w:semiHidden/>
    <w:qFormat/>
    <w:rPr>
      <w:kern w:val="2"/>
      <w:sz w:val="18"/>
      <w:szCs w:val="18"/>
    </w:rPr>
  </w:style>
  <w:style w:type="character" w:customStyle="1" w:styleId="Char1">
    <w:name w:val="日期 Char"/>
    <w:link w:val="a5"/>
    <w:uiPriority w:val="99"/>
    <w:semiHidden/>
    <w:qFormat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semiHidden="0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pPr>
      <w:shd w:val="clear" w:color="auto" w:fill="000080"/>
    </w:pPr>
    <w:rPr>
      <w:rFonts w:ascii="Times New Roman" w:hAnsi="Times New Roman"/>
      <w:szCs w:val="24"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semiHidden/>
    <w:unhideWhenUsed/>
    <w:qFormat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ind w:right="360"/>
      <w:jc w:val="right"/>
    </w:pPr>
    <w:rPr>
      <w:rFonts w:ascii="Times New Roman" w:hAnsi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  <w:szCs w:val="24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semiHidden/>
    <w:unhideWhenUsed/>
    <w:qFormat/>
    <w:rPr>
      <w:color w:val="800080"/>
      <w:u w:val="single"/>
    </w:rPr>
  </w:style>
  <w:style w:type="character" w:styleId="ad">
    <w:name w:val="Hyperlink"/>
    <w:uiPriority w:val="99"/>
    <w:unhideWhenUsed/>
    <w:qFormat/>
    <w:rPr>
      <w:color w:val="0563C1"/>
      <w:u w:val="single"/>
    </w:rPr>
  </w:style>
  <w:style w:type="character" w:styleId="ae">
    <w:name w:val="annotation reference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0">
    <w:name w:val="批注文字 Char"/>
    <w:link w:val="a4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页眉 Char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文档结构图 Char"/>
    <w:link w:val="a3"/>
    <w:semiHidden/>
    <w:qFormat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Char5">
    <w:name w:val="批注主题 Char"/>
    <w:link w:val="aa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2">
    <w:name w:val="批注框文本 Char"/>
    <w:link w:val="a6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10">
    <w:name w:val="页脚 Char1"/>
    <w:uiPriority w:val="99"/>
    <w:semiHidden/>
    <w:qFormat/>
    <w:rPr>
      <w:kern w:val="2"/>
      <w:sz w:val="18"/>
      <w:szCs w:val="18"/>
    </w:rPr>
  </w:style>
  <w:style w:type="character" w:customStyle="1" w:styleId="Char1">
    <w:name w:val="日期 Char"/>
    <w:link w:val="a5"/>
    <w:uiPriority w:val="99"/>
    <w:semiHidden/>
    <w:qFormat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hart" Target="charts/chart30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0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___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themeOverride" Target="../theme/themeOverride20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药品经营企业许可情况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128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57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1771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3124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批发企业</c:v>
                </c:pt>
                <c:pt idx="1">
                  <c:v>零售连锁总部</c:v>
                </c:pt>
                <c:pt idx="2">
                  <c:v>零售连锁门店</c:v>
                </c:pt>
                <c:pt idx="3">
                  <c:v>零售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128</c:v>
                </c:pt>
                <c:pt idx="1">
                  <c:v>57</c:v>
                </c:pt>
                <c:pt idx="2">
                  <c:v>1771</c:v>
                </c:pt>
                <c:pt idx="3">
                  <c:v>3124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8716032"/>
        <c:axId val="238859008"/>
      </c:barChart>
      <c:catAx>
        <c:axId val="21871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8859008"/>
        <c:crosses val="autoZero"/>
        <c:auto val="1"/>
        <c:lblAlgn val="ctr"/>
        <c:lblOffset val="100"/>
        <c:noMultiLvlLbl val="0"/>
      </c:catAx>
      <c:valAx>
        <c:axId val="238859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87160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药品经营企业许可情况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128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57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1771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3124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批发企业</c:v>
                </c:pt>
                <c:pt idx="1">
                  <c:v>零售连锁总部</c:v>
                </c:pt>
                <c:pt idx="2">
                  <c:v>零售连锁门店</c:v>
                </c:pt>
                <c:pt idx="3">
                  <c:v>零售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128</c:v>
                </c:pt>
                <c:pt idx="1">
                  <c:v>57</c:v>
                </c:pt>
                <c:pt idx="2">
                  <c:v>1771</c:v>
                </c:pt>
                <c:pt idx="3">
                  <c:v>3124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6186496"/>
        <c:axId val="176211456"/>
      </c:barChart>
      <c:catAx>
        <c:axId val="176186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6211456"/>
        <c:crosses val="autoZero"/>
        <c:auto val="1"/>
        <c:lblAlgn val="ctr"/>
        <c:lblOffset val="100"/>
        <c:noMultiLvlLbl val="0"/>
      </c:catAx>
      <c:valAx>
        <c:axId val="17621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61864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医疗器械生产企业许可情况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140172838657177"/>
                  <c:y val="3.8068020111943802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412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035301264197899"/>
                  <c:y val="-0.15513234038516499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216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8690873247830894E-2"/>
                  <c:y val="0.129878174113778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95</a:t>
                    </a:r>
                    <a:r>
                      <a:rPr lang="zh-CN" altLang="en-US"/>
                      <a:t>家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生产一类医疗器械产品的企业</c:v>
                </c:pt>
                <c:pt idx="1">
                  <c:v>生产二类医疗器械产品的企业</c:v>
                </c:pt>
                <c:pt idx="2">
                  <c:v>生产三类医疗器械产品的企业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412</c:v>
                </c:pt>
                <c:pt idx="1">
                  <c:v>216</c:v>
                </c:pt>
                <c:pt idx="2">
                  <c:v>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医疗器械生产企业许可情况</a:t>
            </a:r>
            <a:endParaRPr lang="zh-CN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140172838657177"/>
                  <c:y val="0.038068020111943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412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0353012641979"/>
                  <c:y val="-0.15513234038516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216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686908732478309"/>
                  <c:y val="0.12987817411377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95</a:t>
                    </a:r>
                    <a:r>
                      <a:rPr lang="zh-CN" altLang="en-US"/>
                      <a:t>家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生产一类医疗器械产品的企业</c:v>
                </c:pt>
                <c:pt idx="1">
                  <c:v>生产二类医疗器械产品的企业</c:v>
                </c:pt>
                <c:pt idx="2">
                  <c:v>生产三类医疗器械产品的企业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412</c:v>
                </c:pt>
                <c:pt idx="1">
                  <c:v>216</c:v>
                </c:pt>
                <c:pt idx="2">
                  <c:v>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545861076162598E-2"/>
          <c:y val="6.49270157019846E-2"/>
          <c:w val="0.72501401866957704"/>
          <c:h val="0.8131629598931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一般程序案件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311</c:v>
                </c:pt>
                <c:pt idx="1">
                  <c:v>113</c:v>
                </c:pt>
                <c:pt idx="2">
                  <c:v>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简易程序案件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443456"/>
        <c:axId val="247444992"/>
      </c:barChart>
      <c:catAx>
        <c:axId val="247443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7444992"/>
        <c:crosses val="autoZero"/>
        <c:auto val="1"/>
        <c:lblAlgn val="ctr"/>
        <c:lblOffset val="100"/>
        <c:noMultiLvlLbl val="0"/>
      </c:catAx>
      <c:valAx>
        <c:axId val="24744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7443456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2">
    <c:autoUpdate val="0"/>
  </c:externalData>
  <c:userShapes r:id="rId3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775458610761626"/>
          <c:y val="0.0649270157019846"/>
          <c:w val="0.725014018669577"/>
          <c:h val="0.8131629598931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一般程序案件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311</c:v>
                </c:pt>
                <c:pt idx="1">
                  <c:v>113</c:v>
                </c:pt>
                <c:pt idx="2">
                  <c:v>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简易程序案件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226368"/>
        <c:axId val="82595840"/>
      </c:barChart>
      <c:catAx>
        <c:axId val="271226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2595840"/>
        <c:crosses val="autoZero"/>
        <c:auto val="1"/>
        <c:lblAlgn val="ctr"/>
        <c:lblOffset val="100"/>
        <c:noMultiLvlLbl val="0"/>
      </c:catAx>
      <c:valAx>
        <c:axId val="82595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71226368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0.34022</cdr:x>
      <cdr:y>0.38596</cdr:y>
    </cdr:from>
    <cdr:to>
      <cdr:x>0.39767</cdr:x>
      <cdr:y>0.43509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1443990" y="838200"/>
          <a:ext cx="243840" cy="106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0.34022</cdr:x>
      <cdr:y>0.38596</cdr:y>
    </cdr:from>
    <cdr:to>
      <cdr:x>0.39767</cdr:x>
      <cdr:y>0.43509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443990" y="838200"/>
          <a:ext cx="243840" cy="10668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vert="horz" wrap="squar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3CC22-0D7C-438F-84C0-F3837407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323</Words>
  <Characters>1844</Characters>
  <Application>Microsoft Office Word</Application>
  <DocSecurity>0</DocSecurity>
  <Lines>15</Lines>
  <Paragraphs>4</Paragraphs>
  <ScaleCrop>false</ScaleCrop>
  <Company>微软中国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</dc:creator>
  <cp:lastModifiedBy>未定义</cp:lastModifiedBy>
  <cp:revision>2</cp:revision>
  <cp:lastPrinted>2020-12-03T00:08:00Z</cp:lastPrinted>
  <dcterms:created xsi:type="dcterms:W3CDTF">2023-01-16T03:58:00Z</dcterms:created>
  <dcterms:modified xsi:type="dcterms:W3CDTF">2023-01-16T03:58:00Z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2986F81573D9400DAB62EE486AD7A6BC</vt:lpwstr>
  </property>
</Properties>
</file>