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topLinePunct w:val="0"/>
        <w:bidi w:val="0"/>
        <w:adjustRightInd/>
        <w:snapToGrid/>
        <w:spacing w:line="560" w:lineRule="exact"/>
        <w:jc w:val="left"/>
        <w:rPr>
          <w:rFonts w:hint="eastAsia" w:ascii="Times New Roman" w:hAnsi="黑体" w:eastAsia="黑体"/>
          <w:color w:val="000000" w:themeColor="text1"/>
          <w:sz w:val="32"/>
          <w:szCs w:val="32"/>
          <w:lang w:val="en-US" w:eastAsia="zh-CN"/>
          <w14:textFill>
            <w14:solidFill>
              <w14:schemeClr w14:val="tx1"/>
            </w14:solidFill>
          </w14:textFill>
        </w:rPr>
      </w:pPr>
      <w:bookmarkStart w:id="0" w:name="_GoBack"/>
      <w:bookmarkEnd w:id="0"/>
      <w:r>
        <w:rPr>
          <w:rFonts w:ascii="Times New Roman" w:hAnsi="黑体" w:eastAsia="黑体"/>
          <w:color w:val="000000" w:themeColor="text1"/>
          <w:sz w:val="32"/>
          <w:szCs w:val="32"/>
          <w14:textFill>
            <w14:solidFill>
              <w14:schemeClr w14:val="tx1"/>
            </w14:solidFill>
          </w14:textFill>
        </w:rPr>
        <w:t>附件</w:t>
      </w:r>
      <w:r>
        <w:rPr>
          <w:rFonts w:hint="eastAsia" w:ascii="Times New Roman" w:hAnsi="黑体" w:eastAsia="黑体"/>
          <w:color w:val="000000" w:themeColor="text1"/>
          <w:sz w:val="32"/>
          <w:szCs w:val="32"/>
          <w:lang w:val="en-US" w:eastAsia="zh-CN"/>
          <w14:textFill>
            <w14:solidFill>
              <w14:schemeClr w14:val="tx1"/>
            </w14:solidFill>
          </w14:textFill>
        </w:rPr>
        <w:t>1</w:t>
      </w:r>
    </w:p>
    <w:p>
      <w:pPr>
        <w:pStyle w:val="10"/>
        <w:rPr>
          <w:rFonts w:hint="eastAsia"/>
          <w:lang w:val="en-US" w:eastAsia="zh-CN"/>
        </w:rPr>
      </w:pPr>
    </w:p>
    <w:p>
      <w:pPr>
        <w:keepNext w:val="0"/>
        <w:keepLines w:val="0"/>
        <w:pageBreakBefore w:val="0"/>
        <w:tabs>
          <w:tab w:val="left" w:pos="0"/>
        </w:tabs>
        <w:kinsoku/>
        <w:wordWrap/>
        <w:topLinePunct w:val="0"/>
        <w:bidi w:val="0"/>
        <w:adjustRightInd/>
        <w:snapToGrid/>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20</w:t>
      </w:r>
      <w:r>
        <w:rPr>
          <w:rFonts w:hint="eastAsia" w:ascii="Times New Roman" w:hAnsi="Times New Roman" w:eastAsia="方正小标宋简体"/>
          <w:color w:val="000000" w:themeColor="text1"/>
          <w:sz w:val="44"/>
          <w:szCs w:val="44"/>
          <w14:textFill>
            <w14:solidFill>
              <w14:schemeClr w14:val="tx1"/>
            </w14:solidFill>
          </w14:textFill>
        </w:rPr>
        <w:t>2</w:t>
      </w:r>
      <w:r>
        <w:rPr>
          <w:rFonts w:hint="eastAsia" w:ascii="Times New Roman" w:hAnsi="Times New Roman" w:eastAsia="方正小标宋简体"/>
          <w:color w:val="000000" w:themeColor="text1"/>
          <w:sz w:val="44"/>
          <w:szCs w:val="44"/>
          <w:lang w:val="en-US" w:eastAsia="zh-CN"/>
          <w14:textFill>
            <w14:solidFill>
              <w14:schemeClr w14:val="tx1"/>
            </w14:solidFill>
          </w14:textFill>
        </w:rPr>
        <w:t>4</w:t>
      </w:r>
      <w:r>
        <w:rPr>
          <w:rFonts w:ascii="Times New Roman" w:hAnsi="Times New Roman" w:eastAsia="方正小标宋简体"/>
          <w:color w:val="000000" w:themeColor="text1"/>
          <w:sz w:val="44"/>
          <w:szCs w:val="44"/>
          <w14:textFill>
            <w14:solidFill>
              <w14:schemeClr w14:val="tx1"/>
            </w14:solidFill>
          </w14:textFill>
        </w:rPr>
        <w:t>年天津市“质量月”开展的主要活动</w:t>
      </w:r>
    </w:p>
    <w:p>
      <w:pPr>
        <w:pStyle w:val="1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一、</w:t>
      </w:r>
      <w:r>
        <w:rPr>
          <w:rFonts w:hint="eastAsia" w:ascii="Times New Roman" w:hAnsi="黑体" w:eastAsia="黑体"/>
          <w:bCs/>
          <w:color w:val="000000" w:themeColor="text1"/>
          <w:kern w:val="0"/>
          <w:sz w:val="32"/>
          <w:szCs w:val="32"/>
          <w14:textFill>
            <w14:solidFill>
              <w14:schemeClr w14:val="tx1"/>
            </w14:solidFill>
          </w14:textFill>
        </w:rPr>
        <w:t>市级部门开展的活动</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（一）</w:t>
      </w:r>
      <w:r>
        <w:rPr>
          <w:rFonts w:ascii="Times New Roman" w:hAnsi="黑体" w:eastAsia="黑体"/>
          <w:bCs/>
          <w:color w:val="000000" w:themeColor="text1"/>
          <w:kern w:val="0"/>
          <w:sz w:val="32"/>
          <w:szCs w:val="32"/>
          <w14:textFill>
            <w14:solidFill>
              <w14:schemeClr w14:val="tx1"/>
            </w14:solidFill>
          </w14:textFill>
        </w:rPr>
        <w:t>市市场监管委开展的活动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sz w:val="32"/>
          <w:szCs w:val="32"/>
          <w:u w:val="none"/>
          <w:vertAlign w:val="baseline"/>
          <w:lang w:val="en-US" w:eastAsia="zh-CN"/>
        </w:rPr>
        <w:t>1</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.举办2024年天津市“质量月”启动仪式暨京津沪渝产品质量可靠性创新实践成果展示宣传活动。邀请市领导出席现场活动，推动质量社会共治，深化区域质量合作，促进质量发展创新，推进质量强国建设。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sz w:val="32"/>
          <w:szCs w:val="32"/>
          <w:u w:val="none"/>
          <w:vertAlign w:val="baseline"/>
          <w:lang w:val="en-US" w:eastAsia="zh-CN"/>
        </w:rPr>
        <w:t>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四直辖市市场监管部门联合开展产品质量可靠性创新实践工作，打造京津沪渝都市圈产品质量可靠性创新高地,更好赋能制造业高质量发展。通过宣传展示产品质量可靠性创新实践成果，交流先进经验，放大标杆效应，提升社会影响，促进行业推广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3.开展质量分析和成果交流活动。编制2023年天津市质量基础支撑能力研究分析报告、组织开展质量品牌交流互鉴活动、开展2023年质量攻关优秀成果经验交流。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sz w:val="32"/>
          <w:szCs w:val="32"/>
          <w:u w:val="none"/>
          <w:vertAlign w:val="baseline"/>
          <w:lang w:val="en-US" w:eastAsia="zh-CN"/>
        </w:rPr>
        <w:t>4</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开展“计量便民服务日”活动。结合市场监管领域解决群众身边“关键小事”整治行动，为群众开展计量器具免费检定及现场政策宣传、咨询服务。组织开展计量博物馆免费参观、电子计价秤防作弊知识宣传教育等活动。</w:t>
      </w:r>
    </w:p>
    <w:p>
      <w:pPr>
        <w:ind w:firstLine="640" w:firstLineChars="200"/>
        <w:rPr>
          <w:rFonts w:hint="eastAsia" w:ascii="仿宋_GB2312" w:hAnsi="仿宋_GB2312" w:eastAsia="仿宋_GB2312" w:cs="仿宋_GB2312"/>
          <w:sz w:val="32"/>
          <w:szCs w:val="32"/>
          <w:lang w:val="en" w:eastAsia="zh-CN"/>
        </w:rPr>
      </w:pPr>
      <w:r>
        <w:rPr>
          <w:rFonts w:hint="eastAsia" w:ascii="仿宋_GB2312" w:hAnsi="黑体" w:eastAsia="仿宋_GB2312"/>
          <w:sz w:val="32"/>
          <w:szCs w:val="32"/>
          <w:u w:val="none"/>
          <w:vertAlign w:val="baseline"/>
          <w:lang w:val="en-US" w:eastAsia="zh-CN"/>
        </w:rPr>
        <w:t>5.</w:t>
      </w:r>
      <w:r>
        <w:rPr>
          <w:rFonts w:hint="eastAsia" w:ascii="仿宋_GB2312" w:hAnsi="黑体" w:eastAsia="仿宋_GB2312"/>
          <w:sz w:val="32"/>
          <w:szCs w:val="32"/>
          <w:u w:val="none"/>
          <w:vertAlign w:val="baseline"/>
          <w:lang w:eastAsia="zh-CN"/>
        </w:rPr>
        <w:t>组织开展标准化云课堂、标准宣贯活动。</w:t>
      </w:r>
      <w:r>
        <w:rPr>
          <w:rFonts w:hint="eastAsia" w:ascii="仿宋_GB2312" w:hAnsi="黑体" w:eastAsia="仿宋_GB2312"/>
          <w:sz w:val="32"/>
          <w:szCs w:val="32"/>
          <w:u w:val="none"/>
          <w:vertAlign w:val="baseline"/>
          <w:lang w:val="en-US" w:eastAsia="zh-CN"/>
        </w:rPr>
        <w:t>面向各</w:t>
      </w:r>
      <w:r>
        <w:rPr>
          <w:rFonts w:hint="eastAsia" w:ascii="仿宋_GB2312" w:hAnsi="黑体" w:eastAsia="仿宋_GB2312"/>
          <w:sz w:val="32"/>
          <w:szCs w:val="32"/>
          <w:u w:val="none"/>
          <w:vertAlign w:val="baseline"/>
        </w:rPr>
        <w:t>区市场监管局、技术机构</w:t>
      </w:r>
      <w:r>
        <w:rPr>
          <w:rFonts w:hint="eastAsia" w:ascii="仿宋_GB2312" w:hAnsi="黑体" w:eastAsia="仿宋_GB2312"/>
          <w:sz w:val="32"/>
          <w:szCs w:val="32"/>
          <w:u w:val="none"/>
          <w:vertAlign w:val="baseline"/>
          <w:lang w:eastAsia="zh-CN"/>
        </w:rPr>
        <w:t>、企业，</w:t>
      </w:r>
      <w:r>
        <w:rPr>
          <w:rFonts w:hint="eastAsia" w:ascii="Times New Roman" w:hAnsi="Times New Roman" w:eastAsia="仿宋_GB2312"/>
          <w:sz w:val="32"/>
          <w:szCs w:val="32"/>
          <w:lang w:eastAsia="zh-CN"/>
        </w:rPr>
        <w:t>普及宣传标准化</w:t>
      </w:r>
      <w:r>
        <w:rPr>
          <w:rFonts w:ascii="Times New Roman" w:hAnsi="Times New Roman" w:eastAsia="仿宋_GB2312"/>
          <w:sz w:val="32"/>
          <w:szCs w:val="32"/>
        </w:rPr>
        <w:t>法律法规知识</w:t>
      </w:r>
      <w:r>
        <w:rPr>
          <w:rFonts w:hint="eastAsia" w:ascii="Times New Roman" w:hAnsi="Times New Roman" w:eastAsia="仿宋_GB2312"/>
          <w:sz w:val="32"/>
          <w:szCs w:val="32"/>
          <w:lang w:eastAsia="zh-CN"/>
        </w:rPr>
        <w:t>及理念方法，推动</w:t>
      </w:r>
      <w:r>
        <w:rPr>
          <w:rFonts w:hint="eastAsia" w:ascii="仿宋_GB2312" w:hAnsi="仿宋_GB2312" w:eastAsia="仿宋_GB2312" w:cs="仿宋_GB2312"/>
          <w:sz w:val="32"/>
          <w:szCs w:val="32"/>
          <w:lang w:val="en" w:eastAsia="zh-CN"/>
        </w:rPr>
        <w:t>提升标准化</w:t>
      </w:r>
      <w:r>
        <w:rPr>
          <w:rFonts w:hint="eastAsia" w:ascii="Times New Roman" w:hAnsi="Times New Roman" w:eastAsia="仿宋_GB2312"/>
          <w:sz w:val="32"/>
          <w:szCs w:val="32"/>
          <w:lang w:eastAsia="zh-CN"/>
        </w:rPr>
        <w:t>工作</w:t>
      </w:r>
      <w:r>
        <w:rPr>
          <w:rFonts w:hint="eastAsia" w:ascii="仿宋_GB2312" w:hAnsi="仿宋_GB2312" w:eastAsia="仿宋_GB2312" w:cs="仿宋_GB2312"/>
          <w:sz w:val="32"/>
          <w:szCs w:val="32"/>
          <w:lang w:val="en" w:eastAsia="zh-CN"/>
        </w:rPr>
        <w:t>水平。</w:t>
      </w:r>
    </w:p>
    <w:p>
      <w:pPr>
        <w:keepNext w:val="0"/>
        <w:keepLines w:val="0"/>
        <w:widowControl/>
        <w:suppressLineNumbers w:val="0"/>
        <w:ind w:firstLine="640"/>
        <w:jc w:val="left"/>
        <w:rPr>
          <w:rFonts w:hint="default" w:ascii="仿宋_GB2312" w:hAnsi="黑体" w:eastAsia="仿宋_GB2312"/>
          <w:sz w:val="32"/>
          <w:szCs w:val="32"/>
          <w:u w:val="none"/>
          <w:vertAlign w:val="baseline"/>
          <w:lang w:val="en-US" w:eastAsia="zh-CN"/>
        </w:rPr>
      </w:pPr>
      <w:r>
        <w:rPr>
          <w:rFonts w:hint="eastAsia" w:ascii="仿宋_GB2312" w:hAnsi="仿宋_GB2312" w:eastAsia="仿宋_GB2312" w:cs="仿宋_GB2312"/>
          <w:sz w:val="32"/>
          <w:szCs w:val="32"/>
          <w:lang w:val="en-US" w:eastAsia="zh-CN"/>
        </w:rPr>
        <w:t>6.组织</w:t>
      </w:r>
      <w:r>
        <w:rPr>
          <w:rFonts w:hint="eastAsia" w:ascii="仿宋_GB2312" w:hAnsi="黑体" w:eastAsia="仿宋_GB2312"/>
          <w:sz w:val="32"/>
          <w:szCs w:val="32"/>
          <w:u w:val="none"/>
          <w:vertAlign w:val="baseline"/>
          <w:lang w:val="en-US" w:eastAsia="zh-CN"/>
        </w:rPr>
        <w:t>开展检验检测机构开放日活动。市区两级市场监管部门组织检验检测机构通过发放宣传材料、实地参观、现场讲解等方式，提升检验检测公信力和影响力，增强企业、社会公众的质量意识，促进高质量发展。</w:t>
      </w:r>
      <w:r>
        <w:rPr>
          <w:rFonts w:hint="default" w:ascii="仿宋_GB2312" w:hAnsi="黑体" w:eastAsia="仿宋_GB2312"/>
          <w:sz w:val="32"/>
          <w:szCs w:val="32"/>
          <w:u w:val="none"/>
          <w:vertAlign w:val="baseline"/>
          <w:lang w:val="en-US" w:eastAsia="zh-CN"/>
        </w:rPr>
        <w:br w:type="textWrapping"/>
      </w:r>
      <w:r>
        <w:rPr>
          <w:rFonts w:hint="eastAsia" w:ascii="仿宋_GB2312" w:hAnsi="黑体" w:eastAsia="仿宋_GB2312"/>
          <w:sz w:val="32"/>
          <w:szCs w:val="32"/>
          <w:u w:val="none"/>
          <w:vertAlign w:val="baseline"/>
          <w:lang w:val="en-US" w:eastAsia="zh-CN"/>
        </w:rPr>
        <w:t xml:space="preserve">    7.联</w:t>
      </w:r>
      <w:r>
        <w:rPr>
          <w:rFonts w:hint="default" w:ascii="仿宋_GB2312" w:hAnsi="黑体" w:eastAsia="仿宋_GB2312"/>
          <w:sz w:val="32"/>
          <w:szCs w:val="32"/>
          <w:u w:val="none"/>
          <w:vertAlign w:val="baseline"/>
          <w:lang w:val="en-US" w:eastAsia="zh-CN"/>
        </w:rPr>
        <w:t>合北京市市场监管局开展水泥地绿色产品认证、近视防控服务认证宣传推动活动，促进消费提质升级，助</w:t>
      </w:r>
      <w:r>
        <w:rPr>
          <w:rFonts w:hint="eastAsia" w:ascii="仿宋_GB2312" w:hAnsi="黑体" w:eastAsia="仿宋_GB2312"/>
          <w:sz w:val="32"/>
          <w:szCs w:val="32"/>
          <w:u w:val="none"/>
          <w:vertAlign w:val="baseline"/>
          <w:lang w:val="en-US" w:eastAsia="zh-CN"/>
        </w:rPr>
        <w:t>力</w:t>
      </w:r>
      <w:r>
        <w:rPr>
          <w:rFonts w:hint="default" w:ascii="仿宋_GB2312" w:hAnsi="黑体" w:eastAsia="仿宋_GB2312"/>
          <w:sz w:val="32"/>
          <w:szCs w:val="32"/>
          <w:u w:val="none"/>
          <w:vertAlign w:val="baseline"/>
          <w:lang w:val="en-US" w:eastAsia="zh-CN"/>
        </w:rPr>
        <w:t>经济社会发展绿色转型。</w:t>
      </w:r>
    </w:p>
    <w:p>
      <w:pPr>
        <w:pStyle w:val="10"/>
        <w:ind w:firstLine="640"/>
        <w:rPr>
          <w:rFonts w:hint="eastAsia" w:ascii="Times New Roman" w:hAnsi="Times New Roman" w:eastAsia="仿宋_GB2312" w:cs="Times New Roman"/>
          <w:color w:val="auto"/>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8.</w:t>
      </w:r>
      <w:r>
        <w:rPr>
          <w:rFonts w:hint="eastAsia" w:ascii="仿宋_GB2312" w:hAnsi="仿宋_GB2312" w:eastAsia="仿宋_GB2312" w:cs="仿宋_GB2312"/>
          <w:sz w:val="32"/>
          <w:szCs w:val="32"/>
          <w:lang w:val="en-US" w:eastAsia="zh-CN"/>
        </w:rPr>
        <w:t>开展民生重点领域广告治理工作。</w:t>
      </w:r>
      <w:r>
        <w:rPr>
          <w:rFonts w:hint="eastAsia" w:ascii="仿宋_GB2312" w:hAnsi="仿宋_GB2312" w:eastAsia="仿宋_GB2312" w:cs="仿宋_GB2312"/>
          <w:sz w:val="32"/>
          <w:szCs w:val="32"/>
          <w:lang w:eastAsia="zh-CN"/>
        </w:rPr>
        <w:t>依法查处各类虚假违法</w:t>
      </w:r>
      <w:r>
        <w:rPr>
          <w:rFonts w:hint="eastAsia" w:ascii="仿宋_GB2312" w:hAnsi="仿宋_GB2312" w:eastAsia="仿宋_GB2312" w:cs="仿宋_GB2312"/>
          <w:sz w:val="32"/>
          <w:szCs w:val="32"/>
        </w:rPr>
        <w:t>广告</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auto"/>
          <w:sz w:val="32"/>
          <w:szCs w:val="32"/>
          <w:lang w:val="en-US" w:eastAsia="zh-CN"/>
        </w:rPr>
        <w:t>不断增强责任感和使命感，切实维护广告市场</w:t>
      </w:r>
      <w:r>
        <w:rPr>
          <w:rFonts w:hint="eastAsia" w:ascii="Times New Roman" w:hAnsi="Times New Roman" w:eastAsia="仿宋_GB2312" w:cs="Times New Roman"/>
          <w:color w:val="auto"/>
          <w:sz w:val="32"/>
          <w:szCs w:val="32"/>
          <w:lang w:val="en-US" w:eastAsia="zh-CN"/>
        </w:rPr>
        <w:t>良好</w:t>
      </w:r>
      <w:r>
        <w:rPr>
          <w:rFonts w:hint="default" w:ascii="Times New Roman" w:hAnsi="Times New Roman" w:eastAsia="仿宋_GB2312" w:cs="Times New Roman"/>
          <w:color w:val="auto"/>
          <w:sz w:val="32"/>
          <w:szCs w:val="32"/>
          <w:lang w:val="en-US" w:eastAsia="zh-CN"/>
        </w:rPr>
        <w:t>秩序，</w:t>
      </w:r>
      <w:r>
        <w:rPr>
          <w:rFonts w:hint="eastAsia" w:ascii="Times New Roman" w:hAnsi="Times New Roman" w:eastAsia="仿宋_GB2312" w:cs="Times New Roman"/>
          <w:color w:val="auto"/>
          <w:sz w:val="32"/>
          <w:szCs w:val="32"/>
          <w:lang w:val="en-US" w:eastAsia="zh-CN"/>
        </w:rPr>
        <w:t>维</w:t>
      </w:r>
      <w:r>
        <w:rPr>
          <w:rFonts w:hint="default" w:ascii="Times New Roman" w:hAnsi="Times New Roman" w:eastAsia="仿宋_GB2312" w:cs="Times New Roman"/>
          <w:color w:val="auto"/>
          <w:sz w:val="32"/>
          <w:szCs w:val="32"/>
          <w:lang w:val="en-US" w:eastAsia="zh-CN"/>
        </w:rPr>
        <w:t>护消费者合法权益</w:t>
      </w:r>
      <w:r>
        <w:rPr>
          <w:rFonts w:hint="eastAsia" w:ascii="Times New Roman" w:hAnsi="Times New Roman" w:eastAsia="仿宋_GB2312" w:cs="Times New Roman"/>
          <w:color w:val="auto"/>
          <w:sz w:val="32"/>
          <w:szCs w:val="32"/>
          <w:lang w:val="en-US" w:eastAsia="zh-CN"/>
        </w:rPr>
        <w:t>。</w:t>
      </w:r>
    </w:p>
    <w:p>
      <w:pPr>
        <w:pStyle w:val="10"/>
        <w:ind w:firstLine="640"/>
        <w:rPr>
          <w:rFonts w:hint="eastAsia" w:ascii="Times New Roman" w:hAnsi="Times New Roman" w:eastAsia="仿宋_GB2312" w:cs="Times New Roman"/>
          <w:color w:val="auto"/>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9</w:t>
      </w:r>
      <w:r>
        <w:rPr>
          <w:rFonts w:hint="eastAsia" w:ascii="Times New Roman" w:hAnsi="Times New Roman" w:eastAsia="仿宋_GB2312" w:cs="Times New Roman"/>
          <w:color w:val="auto"/>
          <w:kern w:val="0"/>
          <w:sz w:val="32"/>
          <w:szCs w:val="32"/>
          <w:lang w:val="en-US" w:eastAsia="zh-CN" w:bidi="ar-SA"/>
        </w:rPr>
        <w:t>.开展“放心消费示范企业”、“放心消费示范街区”公示活动。会同市商务局、市文化和旅游局、市文明办以“政府引导、行业自律、企业自治、社会监督”为原则，引导企业、街区积极参与公示活动，履行“有诺必践、有诺必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黑体" w:eastAsia="仿宋_GB2312" w:cs="Times New Roman"/>
          <w:kern w:val="2"/>
          <w:sz w:val="32"/>
          <w:szCs w:val="32"/>
          <w:u w:val="none"/>
          <w:vertAlign w:val="baseline"/>
          <w:lang w:val="en-US" w:eastAsia="zh-CN" w:bidi="ar-SA"/>
        </w:rPr>
        <w:t>10</w:t>
      </w:r>
      <w:r>
        <w:rPr>
          <w:rFonts w:hint="eastAsia" w:ascii="Times New Roman" w:hAnsi="Times New Roman" w:eastAsia="仿宋_GB2312" w:cs="Times New Roman"/>
          <w:color w:val="auto"/>
          <w:kern w:val="0"/>
          <w:sz w:val="32"/>
          <w:szCs w:val="32"/>
          <w:lang w:val="en-US" w:eastAsia="zh-CN" w:bidi="ar-SA"/>
        </w:rPr>
        <w:t>.持续推动开展“线下购物无理由退货”活动。</w:t>
      </w:r>
      <w:r>
        <w:rPr>
          <w:rFonts w:hint="eastAsia" w:ascii="仿宋_GB2312" w:eastAsia="仿宋_GB2312"/>
          <w:sz w:val="32"/>
          <w:szCs w:val="32"/>
        </w:rPr>
        <w:t>以支持消费者行使“后悔权”为切入点，将“网络购买商品七日无理由退货”责任，向线下实体店商家自主承诺扩展，提升本市消费者线下购物体验</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11</w:t>
      </w:r>
      <w:r>
        <w:rPr>
          <w:rFonts w:hint="eastAsia" w:ascii="仿宋_GB2312" w:eastAsia="仿宋_GB2312"/>
          <w:sz w:val="32"/>
          <w:szCs w:val="32"/>
          <w:lang w:val="en-US" w:eastAsia="zh-CN"/>
        </w:rPr>
        <w:t>.组织开展2024网络市场监管促发展保安全专项行动。按照国家市场监管总局统一部署，开展天津市市场监管系统2024网络市场监管促发展保安全专项行动，聚焦社会关注度高、涉及面广、反映强烈的网络市场突出问题，规范网上交易秩序，维护网络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黑体" w:eastAsia="仿宋_GB2312" w:cs="Times New Roman"/>
          <w:kern w:val="2"/>
          <w:sz w:val="32"/>
          <w:szCs w:val="32"/>
          <w:u w:val="none"/>
          <w:vertAlign w:val="baseline"/>
          <w:lang w:val="en-US" w:eastAsia="zh-CN" w:bidi="ar-SA"/>
        </w:rPr>
        <w:t>12</w:t>
      </w:r>
      <w:r>
        <w:rPr>
          <w:rFonts w:hint="eastAsia" w:ascii="仿宋_GB2312" w:eastAsia="仿宋_GB2312"/>
          <w:sz w:val="32"/>
          <w:szCs w:val="32"/>
          <w:lang w:val="en-US" w:eastAsia="zh-CN"/>
        </w:rPr>
        <w:t>.举办“你点我检进乡村”活动。实地了解市民对食品安全的感知和诉求，充分发挥社会公众的参与和监督作用，激发广大消费者参与意识，通过阳光化的新型抽检模式，推动形成人人关心食品安全，人人参与食品安全的良好局面。</w:t>
      </w:r>
    </w:p>
    <w:p>
      <w:pPr>
        <w:topLinePunct/>
        <w:spacing w:line="560" w:lineRule="exact"/>
        <w:ind w:firstLine="420" w:firstLineChars="200"/>
        <w:rPr>
          <w:rFonts w:hint="eastAsia" w:ascii="仿宋_GB2312" w:eastAsia="仿宋_GB2312"/>
          <w:sz w:val="32"/>
          <w:szCs w:val="32"/>
          <w:lang w:val="en-US" w:eastAsia="zh-CN"/>
        </w:rPr>
      </w:pPr>
      <w:r>
        <w:rPr>
          <w:rFonts w:hint="eastAsia"/>
          <w:lang w:val="en-US" w:eastAsia="zh-CN"/>
        </w:rPr>
        <w:t xml:space="preserve">  </w:t>
      </w:r>
      <w:r>
        <w:rPr>
          <w:rFonts w:hint="eastAsia" w:ascii="仿宋_GB2312" w:hAnsi="黑体" w:eastAsia="仿宋_GB2312" w:cs="Times New Roman"/>
          <w:kern w:val="2"/>
          <w:sz w:val="32"/>
          <w:szCs w:val="32"/>
          <w:u w:val="none"/>
          <w:vertAlign w:val="baseline"/>
          <w:lang w:val="en-US" w:eastAsia="zh-CN" w:bidi="ar-SA"/>
        </w:rPr>
        <w:t xml:space="preserve"> 13</w:t>
      </w:r>
      <w:r>
        <w:rPr>
          <w:rFonts w:hint="eastAsia" w:ascii="Times New Roman" w:hAnsi="Times New Roman" w:eastAsia="仿宋_GB2312" w:cs="Times New Roman"/>
          <w:color w:val="000000"/>
          <w:kern w:val="2"/>
          <w:sz w:val="34"/>
          <w:szCs w:val="34"/>
          <w:highlight w:val="none"/>
          <w:lang w:val="en-US" w:eastAsia="zh-CN" w:bidi="ar-SA"/>
        </w:rPr>
        <w:t>.</w:t>
      </w:r>
      <w:r>
        <w:rPr>
          <w:rFonts w:hint="eastAsia" w:ascii="仿宋_GB2312" w:eastAsia="仿宋_GB2312"/>
          <w:sz w:val="32"/>
          <w:szCs w:val="32"/>
          <w:lang w:val="en-US" w:eastAsia="zh-CN"/>
        </w:rPr>
        <w:t>组织国际标准化和技术性贸易措施培训会。邀请国内专家授课，帮助企业了解技术性贸易的发展现状，掌握国际标准化和技术性贸易措施，提升企业技术人员实质性参与技术性贸易的能力水平。</w:t>
      </w:r>
    </w:p>
    <w:p>
      <w:pPr>
        <w:topLinePunct/>
        <w:spacing w:line="560" w:lineRule="exact"/>
        <w:ind w:firstLine="640" w:firstLineChars="200"/>
        <w:rPr>
          <w:rFonts w:hint="eastAsia" w:ascii="仿宋_GB2312" w:eastAsia="仿宋_GB2312"/>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14</w:t>
      </w:r>
      <w:r>
        <w:rPr>
          <w:rFonts w:hint="eastAsia" w:ascii="Times New Roman" w:hAnsi="Times New Roman" w:cs="Times New Roman"/>
          <w:color w:val="000000"/>
          <w:sz w:val="32"/>
          <w:szCs w:val="32"/>
          <w:lang w:val="en-US" w:eastAsia="zh-CN"/>
        </w:rPr>
        <w:t>.</w:t>
      </w:r>
      <w:r>
        <w:rPr>
          <w:rFonts w:hint="eastAsia" w:ascii="仿宋_GB2312" w:eastAsia="仿宋_GB2312"/>
          <w:sz w:val="32"/>
          <w:szCs w:val="32"/>
          <w:lang w:val="en-US" w:eastAsia="zh-CN"/>
        </w:rPr>
        <w:t>开展农村综合改革试点标准化人员培训。根据数字乡村建设目标，结合试点建设进展，对试点项目参与单位标准化人员进行标准技术培训，为稳步推进试点工作夯实基础。</w:t>
      </w:r>
    </w:p>
    <w:p>
      <w:pPr>
        <w:topLinePunct/>
        <w:spacing w:line="560" w:lineRule="exact"/>
        <w:ind w:firstLine="640" w:firstLineChars="200"/>
        <w:rPr>
          <w:rFonts w:ascii="Times New Roman" w:hAnsi="Times New Roman" w:eastAsia="仿宋_GB2312" w:cs="Times New Roman"/>
          <w:color w:val="000000"/>
          <w:sz w:val="32"/>
          <w:szCs w:val="32"/>
        </w:rPr>
      </w:pPr>
      <w:r>
        <w:rPr>
          <w:rFonts w:hint="eastAsia" w:ascii="仿宋_GB2312" w:hAnsi="黑体" w:eastAsia="仿宋_GB2312" w:cs="Times New Roman"/>
          <w:kern w:val="2"/>
          <w:sz w:val="32"/>
          <w:szCs w:val="32"/>
          <w:u w:val="none"/>
          <w:vertAlign w:val="baseline"/>
          <w:lang w:val="en-US" w:eastAsia="zh-CN" w:bidi="ar-SA"/>
        </w:rPr>
        <w:t>15</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开展企业条码印刷应用免费质量检测</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为企业提供改进印刷质量建议，</w:t>
      </w:r>
      <w:r>
        <w:rPr>
          <w:rFonts w:hint="eastAsia" w:ascii="Times New Roman" w:hAnsi="Times New Roman" w:eastAsia="仿宋_GB2312" w:cs="Times New Roman"/>
          <w:color w:val="000000"/>
          <w:sz w:val="32"/>
          <w:szCs w:val="32"/>
          <w:lang w:eastAsia="zh-CN"/>
        </w:rPr>
        <w:t>促进</w:t>
      </w:r>
      <w:r>
        <w:rPr>
          <w:rFonts w:ascii="Times New Roman" w:hAnsi="Times New Roman" w:eastAsia="仿宋_GB2312" w:cs="Times New Roman"/>
          <w:color w:val="000000"/>
          <w:sz w:val="32"/>
          <w:szCs w:val="32"/>
        </w:rPr>
        <w:t>企业提高商品条码管理与质量控制水平，助力企业高质量发展。</w:t>
      </w:r>
    </w:p>
    <w:p>
      <w:pPr>
        <w:topLinePunct/>
        <w:spacing w:line="560" w:lineRule="exact"/>
        <w:ind w:firstLine="640" w:firstLineChars="200"/>
        <w:rPr>
          <w:rFonts w:ascii="Times New Roman" w:hAnsi="Times New Roman" w:eastAsia="仿宋_GB2312" w:cs="Times New Roman"/>
          <w:color w:val="000000"/>
          <w:sz w:val="32"/>
          <w:szCs w:val="32"/>
        </w:rPr>
      </w:pPr>
      <w:r>
        <w:rPr>
          <w:rFonts w:hint="eastAsia" w:ascii="仿宋_GB2312" w:hAnsi="黑体" w:eastAsia="仿宋_GB2312" w:cs="Times New Roman"/>
          <w:kern w:val="2"/>
          <w:sz w:val="32"/>
          <w:szCs w:val="32"/>
          <w:u w:val="none"/>
          <w:vertAlign w:val="baseline"/>
          <w:lang w:val="en-US" w:eastAsia="zh-CN" w:bidi="ar-SA"/>
        </w:rPr>
        <w:t>16</w:t>
      </w:r>
      <w:r>
        <w:rPr>
          <w:rFonts w:hint="eastAsia" w:ascii="Times New Roman" w:hAnsi="Times New Roman" w:eastAsia="仿宋_GB2312" w:cs="Times New Roman"/>
          <w:color w:val="000000"/>
          <w:sz w:val="32"/>
          <w:szCs w:val="32"/>
          <w:lang w:val="en-US" w:eastAsia="zh-CN"/>
        </w:rPr>
        <w:t>.举办</w:t>
      </w:r>
      <w:r>
        <w:rPr>
          <w:rFonts w:ascii="Times New Roman" w:hAnsi="Times New Roman" w:eastAsia="仿宋_GB2312" w:cs="Times New Roman"/>
          <w:color w:val="000000"/>
          <w:sz w:val="32"/>
          <w:szCs w:val="32"/>
        </w:rPr>
        <w:t>商品条码相关法规和标准公益培训</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为企业发放宣传资料，推广普及商品条码知识，</w:t>
      </w:r>
      <w:r>
        <w:rPr>
          <w:rFonts w:hint="eastAsia" w:ascii="Times New Roman" w:hAnsi="Times New Roman" w:eastAsia="仿宋_GB2312" w:cs="Times New Roman"/>
          <w:color w:val="000000"/>
          <w:sz w:val="32"/>
          <w:szCs w:val="32"/>
          <w:lang w:eastAsia="zh-CN"/>
        </w:rPr>
        <w:t>针对</w:t>
      </w:r>
      <w:r>
        <w:rPr>
          <w:rFonts w:ascii="Times New Roman" w:hAnsi="Times New Roman" w:eastAsia="仿宋_GB2312" w:cs="Times New Roman"/>
          <w:color w:val="000000"/>
          <w:sz w:val="32"/>
          <w:szCs w:val="32"/>
        </w:rPr>
        <w:t>条码符号设计及印刷质量控制、产品信息通报、商品二维码、条码商桥、中国编码APP等内容</w:t>
      </w:r>
      <w:r>
        <w:rPr>
          <w:rFonts w:hint="eastAsia" w:ascii="Times New Roman" w:hAnsi="Times New Roman" w:eastAsia="仿宋_GB2312" w:cs="Times New Roman"/>
          <w:color w:val="000000"/>
          <w:sz w:val="32"/>
          <w:szCs w:val="32"/>
          <w:lang w:eastAsia="zh-CN"/>
        </w:rPr>
        <w:t>进行培训</w:t>
      </w:r>
      <w:r>
        <w:rPr>
          <w:rFonts w:ascii="Times New Roman" w:hAnsi="Times New Roman" w:eastAsia="仿宋_GB2312" w:cs="Times New Roman"/>
          <w:color w:val="000000"/>
          <w:sz w:val="32"/>
          <w:szCs w:val="32"/>
        </w:rPr>
        <w:t>。</w:t>
      </w:r>
    </w:p>
    <w:p>
      <w:pPr>
        <w:ind w:firstLine="640" w:firstLineChars="200"/>
        <w:rPr>
          <w:rFonts w:hint="eastAsia" w:ascii="仿宋_GB2312" w:eastAsia="仿宋_GB2312"/>
          <w:color w:val="000000"/>
          <w:sz w:val="32"/>
          <w:szCs w:val="32"/>
          <w:shd w:val="clear" w:color="auto" w:fill="FFFFFF"/>
        </w:rPr>
      </w:pPr>
      <w:r>
        <w:rPr>
          <w:rFonts w:hint="eastAsia" w:ascii="仿宋_GB2312" w:hAnsi="黑体" w:eastAsia="仿宋_GB2312" w:cs="Times New Roman"/>
          <w:kern w:val="2"/>
          <w:sz w:val="32"/>
          <w:szCs w:val="32"/>
          <w:u w:val="none"/>
          <w:vertAlign w:val="baseline"/>
          <w:lang w:val="en-US" w:eastAsia="zh-CN" w:bidi="ar-SA"/>
        </w:rPr>
        <w:t>17</w:t>
      </w:r>
      <w:r>
        <w:rPr>
          <w:rFonts w:hint="eastAsia" w:ascii="Times New Roman" w:cs="Times New Roman"/>
          <w:color w:val="000000"/>
          <w:sz w:val="32"/>
          <w:szCs w:val="32"/>
          <w:lang w:val="en-US" w:eastAsia="zh-CN"/>
        </w:rPr>
        <w:t>.</w:t>
      </w:r>
      <w:r>
        <w:rPr>
          <w:rFonts w:hint="eastAsia" w:ascii="仿宋_GB2312" w:eastAsia="仿宋_GB2312"/>
          <w:color w:val="000000"/>
          <w:sz w:val="32"/>
          <w:szCs w:val="32"/>
          <w:shd w:val="clear" w:color="auto" w:fill="FFFFFF"/>
        </w:rPr>
        <w:t>开展助力天开园中小微企业质量升级活动</w:t>
      </w:r>
      <w:r>
        <w:rPr>
          <w:rFonts w:hint="eastAsia" w:ascii="仿宋_GB2312" w:eastAsia="仿宋_GB2312"/>
          <w:color w:val="000000"/>
          <w:sz w:val="32"/>
          <w:szCs w:val="32"/>
          <w:shd w:val="clear" w:color="auto" w:fill="FFFFFF"/>
          <w:lang w:eastAsia="zh-CN"/>
        </w:rPr>
        <w:t>。强化质量基础设施</w:t>
      </w:r>
      <w:r>
        <w:rPr>
          <w:rFonts w:hint="eastAsia" w:ascii="仿宋_GB2312" w:eastAsia="仿宋_GB2312"/>
          <w:color w:val="000000"/>
          <w:sz w:val="32"/>
          <w:szCs w:val="32"/>
          <w:shd w:val="clear" w:color="auto" w:fill="FFFFFF"/>
        </w:rPr>
        <w:t>支撑</w:t>
      </w:r>
      <w:r>
        <w:rPr>
          <w:rFonts w:hint="eastAsia" w:ascii="仿宋_GB2312" w:eastAsia="仿宋_GB2312"/>
          <w:color w:val="000000"/>
          <w:sz w:val="32"/>
          <w:szCs w:val="32"/>
          <w:shd w:val="clear" w:color="auto" w:fill="FFFFFF"/>
          <w:lang w:eastAsia="zh-CN"/>
        </w:rPr>
        <w:t>作用，</w:t>
      </w:r>
      <w:r>
        <w:rPr>
          <w:rFonts w:hint="eastAsia" w:ascii="仿宋_GB2312" w:eastAsia="仿宋_GB2312"/>
          <w:color w:val="000000"/>
          <w:sz w:val="32"/>
          <w:szCs w:val="32"/>
          <w:shd w:val="clear" w:color="auto" w:fill="FFFFFF"/>
        </w:rPr>
        <w:t>提高质量基础设施服务效能</w:t>
      </w:r>
      <w:r>
        <w:rPr>
          <w:rFonts w:hint="eastAsia" w:ascii="仿宋_GB2312" w:eastAsia="仿宋_GB2312"/>
          <w:color w:val="000000"/>
          <w:sz w:val="32"/>
          <w:szCs w:val="32"/>
          <w:shd w:val="clear" w:color="auto" w:fill="FFFFFF"/>
          <w:lang w:eastAsia="zh-CN"/>
        </w:rPr>
        <w:t>，服务园</w:t>
      </w:r>
      <w:r>
        <w:rPr>
          <w:rFonts w:hint="eastAsia" w:ascii="仿宋_GB2312" w:eastAsia="仿宋_GB2312"/>
          <w:color w:val="000000"/>
          <w:sz w:val="32"/>
          <w:szCs w:val="32"/>
          <w:shd w:val="clear" w:color="auto" w:fill="FFFFFF"/>
        </w:rPr>
        <w:t>区企业全过程、全生命周期的质量</w:t>
      </w:r>
      <w:r>
        <w:rPr>
          <w:rFonts w:hint="eastAsia" w:ascii="仿宋_GB2312" w:eastAsia="仿宋_GB2312"/>
          <w:color w:val="000000"/>
          <w:sz w:val="32"/>
          <w:szCs w:val="32"/>
          <w:shd w:val="clear" w:color="auto" w:fill="FFFFFF"/>
          <w:lang w:eastAsia="zh-CN"/>
        </w:rPr>
        <w:t>技术</w:t>
      </w:r>
      <w:r>
        <w:rPr>
          <w:rFonts w:hint="eastAsia" w:ascii="仿宋_GB2312" w:eastAsia="仿宋_GB2312"/>
          <w:color w:val="000000"/>
          <w:sz w:val="32"/>
          <w:szCs w:val="32"/>
          <w:shd w:val="clear" w:color="auto" w:fill="FFFFFF"/>
        </w:rPr>
        <w:t>需求，</w:t>
      </w:r>
      <w:r>
        <w:rPr>
          <w:rFonts w:hint="eastAsia" w:ascii="仿宋_GB2312" w:eastAsia="仿宋_GB2312"/>
          <w:color w:val="000000"/>
          <w:sz w:val="32"/>
          <w:szCs w:val="32"/>
          <w:shd w:val="clear" w:color="auto" w:fill="FFFFFF"/>
          <w:lang w:eastAsia="zh-CN"/>
        </w:rPr>
        <w:t>推动</w:t>
      </w:r>
      <w:r>
        <w:rPr>
          <w:rFonts w:hint="eastAsia" w:ascii="仿宋_GB2312" w:eastAsia="仿宋_GB2312"/>
          <w:color w:val="000000"/>
          <w:sz w:val="32"/>
          <w:szCs w:val="32"/>
          <w:shd w:val="clear" w:color="auto" w:fill="FFFFFF"/>
        </w:rPr>
        <w:t>综合解决企业质量技术问题，</w:t>
      </w:r>
      <w:r>
        <w:rPr>
          <w:rFonts w:hint="eastAsia" w:ascii="仿宋_GB2312" w:eastAsia="仿宋_GB2312"/>
          <w:color w:val="000000"/>
          <w:sz w:val="32"/>
          <w:szCs w:val="32"/>
          <w:shd w:val="clear" w:color="auto" w:fill="FFFFFF"/>
          <w:lang w:eastAsia="zh-CN"/>
        </w:rPr>
        <w:t>助力园区企业</w:t>
      </w:r>
      <w:r>
        <w:rPr>
          <w:rFonts w:hint="eastAsia" w:ascii="仿宋_GB2312" w:eastAsia="仿宋_GB2312"/>
          <w:color w:val="000000"/>
          <w:sz w:val="32"/>
          <w:szCs w:val="32"/>
          <w:shd w:val="clear" w:color="auto" w:fill="FFFFFF"/>
        </w:rPr>
        <w:t>高质量发展。</w:t>
      </w:r>
    </w:p>
    <w:p>
      <w:pPr>
        <w:ind w:firstLine="640" w:firstLineChars="200"/>
        <w:rPr>
          <w:rFonts w:hint="eastAsia" w:ascii="仿宋_GB2312" w:eastAsia="仿宋_GB2312"/>
          <w:color w:val="000000"/>
          <w:sz w:val="32"/>
          <w:szCs w:val="32"/>
          <w:shd w:val="clear" w:color="auto" w:fill="FFFFFF"/>
        </w:rPr>
      </w:pPr>
      <w:r>
        <w:rPr>
          <w:rFonts w:hint="eastAsia" w:ascii="仿宋_GB2312" w:hAnsi="黑体" w:eastAsia="仿宋_GB2312" w:cs="Times New Roman"/>
          <w:kern w:val="2"/>
          <w:sz w:val="32"/>
          <w:szCs w:val="32"/>
          <w:u w:val="none"/>
          <w:vertAlign w:val="baseline"/>
          <w:lang w:val="en-US" w:eastAsia="zh-CN" w:bidi="ar-SA"/>
        </w:rPr>
        <w:t>18</w:t>
      </w:r>
      <w:r>
        <w:rPr>
          <w:rFonts w:hint="eastAsia" w:ascii="仿宋_GB2312" w:eastAsia="仿宋_GB2312"/>
          <w:color w:val="000000"/>
          <w:sz w:val="32"/>
          <w:szCs w:val="32"/>
          <w:shd w:val="clear" w:color="auto" w:fill="FFFFFF"/>
          <w:lang w:val="en-US" w:eastAsia="zh-CN"/>
        </w:rPr>
        <w:t>.</w:t>
      </w:r>
      <w:r>
        <w:rPr>
          <w:rFonts w:hint="eastAsia" w:ascii="仿宋_GB2312" w:eastAsia="仿宋_GB2312"/>
          <w:color w:val="000000"/>
          <w:sz w:val="32"/>
          <w:szCs w:val="32"/>
          <w:shd w:val="clear" w:color="auto" w:fill="FFFFFF"/>
        </w:rPr>
        <w:t>联合中国民航大学举办</w:t>
      </w:r>
      <w:r>
        <w:rPr>
          <w:rFonts w:hint="eastAsia" w:ascii="仿宋_GB2312" w:eastAsia="仿宋_GB2312"/>
          <w:color w:val="000000"/>
          <w:sz w:val="32"/>
          <w:szCs w:val="32"/>
          <w:shd w:val="clear" w:color="auto" w:fill="FFFFFF"/>
          <w:lang w:eastAsia="zh-CN"/>
        </w:rPr>
        <w:t>质量</w:t>
      </w:r>
      <w:r>
        <w:rPr>
          <w:rFonts w:hint="eastAsia" w:ascii="仿宋_GB2312" w:eastAsia="仿宋_GB2312"/>
          <w:color w:val="000000"/>
          <w:sz w:val="32"/>
          <w:szCs w:val="32"/>
          <w:shd w:val="clear" w:color="auto" w:fill="FFFFFF"/>
        </w:rPr>
        <w:t>宣传进校园活动</w:t>
      </w:r>
      <w:r>
        <w:rPr>
          <w:rFonts w:hint="eastAsia" w:ascii="仿宋_GB2312" w:eastAsia="仿宋_GB2312"/>
          <w:color w:val="000000"/>
          <w:sz w:val="32"/>
          <w:szCs w:val="32"/>
          <w:shd w:val="clear" w:color="auto" w:fill="FFFFFF"/>
          <w:lang w:eastAsia="zh-CN"/>
        </w:rPr>
        <w:t>。通过开展计量宣传、</w:t>
      </w:r>
      <w:r>
        <w:rPr>
          <w:rFonts w:hint="eastAsia" w:ascii="仿宋_GB2312" w:eastAsia="仿宋_GB2312"/>
          <w:color w:val="000000"/>
          <w:sz w:val="32"/>
          <w:szCs w:val="32"/>
          <w:shd w:val="clear" w:color="auto" w:fill="FFFFFF"/>
        </w:rPr>
        <w:t>宣讲《天津市质量强市建设纲要》</w:t>
      </w:r>
      <w:r>
        <w:rPr>
          <w:rFonts w:hint="eastAsia" w:ascii="仿宋_GB2312" w:eastAsia="仿宋_GB2312"/>
          <w:color w:val="000000"/>
          <w:sz w:val="32"/>
          <w:szCs w:val="32"/>
          <w:shd w:val="clear" w:color="auto" w:fill="FFFFFF"/>
          <w:lang w:eastAsia="zh-CN"/>
        </w:rPr>
        <w:t>等具体活动</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eastAsia="zh-CN"/>
        </w:rPr>
        <w:t>引导在校大学生提升</w:t>
      </w:r>
      <w:r>
        <w:rPr>
          <w:rFonts w:hint="eastAsia" w:ascii="仿宋_GB2312" w:eastAsia="仿宋_GB2312"/>
          <w:color w:val="000000"/>
          <w:sz w:val="32"/>
          <w:szCs w:val="32"/>
          <w:shd w:val="clear" w:color="auto" w:fill="FFFFFF"/>
        </w:rPr>
        <w:t>质量意识</w:t>
      </w:r>
      <w:r>
        <w:rPr>
          <w:rFonts w:hint="eastAsia" w:ascii="仿宋_GB2312" w:eastAsia="仿宋_GB2312"/>
          <w:color w:val="000000"/>
          <w:sz w:val="32"/>
          <w:szCs w:val="32"/>
          <w:shd w:val="clear" w:color="auto" w:fill="FFFFFF"/>
          <w:lang w:eastAsia="zh-CN"/>
        </w:rPr>
        <w:t>，增强质量素养</w:t>
      </w:r>
      <w:r>
        <w:rPr>
          <w:rFonts w:hint="eastAsia" w:ascii="仿宋_GB2312" w:eastAsia="仿宋_GB2312"/>
          <w:color w:val="000000"/>
          <w:sz w:val="32"/>
          <w:szCs w:val="32"/>
          <w:shd w:val="clear" w:color="auto" w:fill="FFFFFF"/>
        </w:rPr>
        <w:t>。</w:t>
      </w:r>
    </w:p>
    <w:p>
      <w:pPr>
        <w:pStyle w:val="3"/>
        <w:ind w:left="0" w:leftChars="0" w:firstLine="0" w:firstLineChars="0"/>
        <w:jc w:val="left"/>
        <w:rPr>
          <w:rFonts w:hint="default" w:ascii="仿宋_GB2312" w:eastAsia="仿宋_GB2312" w:cs="Times New Roman"/>
          <w:color w:val="000000"/>
          <w:kern w:val="2"/>
          <w:sz w:val="32"/>
          <w:szCs w:val="32"/>
          <w:shd w:val="clear" w:color="auto" w:fill="FFFFFF"/>
          <w:lang w:val="en-US" w:eastAsia="zh-CN" w:bidi="ar-SA"/>
        </w:rPr>
      </w:pPr>
      <w:r>
        <w:rPr>
          <w:rFonts w:hint="eastAsia"/>
          <w:lang w:val="en-US" w:eastAsia="zh-CN"/>
        </w:rPr>
        <w:t xml:space="preserve">     </w:t>
      </w:r>
      <w:r>
        <w:rPr>
          <w:rFonts w:hint="eastAsia" w:ascii="Times New Roman" w:hAnsi="仿宋" w:eastAsia="仿宋" w:cs="Times New Roman"/>
          <w:kern w:val="2"/>
          <w:sz w:val="32"/>
          <w:szCs w:val="32"/>
          <w:lang w:val="en-US" w:eastAsia="zh-CN" w:bidi="ar-SA"/>
        </w:rPr>
        <w:t xml:space="preserve"> </w:t>
      </w:r>
      <w:r>
        <w:rPr>
          <w:rFonts w:hint="default" w:ascii="仿宋_GB2312" w:hAnsi="黑体" w:eastAsia="仿宋_GB2312" w:cs="Times New Roman"/>
          <w:kern w:val="2"/>
          <w:sz w:val="32"/>
          <w:szCs w:val="32"/>
          <w:u w:val="none"/>
          <w:vertAlign w:val="baseline"/>
          <w:lang w:val="en" w:eastAsia="zh-CN" w:bidi="ar-SA"/>
        </w:rPr>
        <w:t>19</w:t>
      </w:r>
      <w:r>
        <w:rPr>
          <w:rFonts w:hint="default" w:ascii="Times New Roman" w:hAnsi="仿宋" w:eastAsia="仿宋" w:cs="Times New Roman"/>
          <w:kern w:val="2"/>
          <w:sz w:val="32"/>
          <w:szCs w:val="32"/>
          <w:lang w:val="en" w:eastAsia="zh-CN" w:bidi="ar-SA"/>
        </w:rPr>
        <w:t>.</w:t>
      </w:r>
      <w:r>
        <w:rPr>
          <w:rFonts w:hint="eastAsia" w:ascii="仿宋_GB2312" w:hAnsi="Calibri" w:eastAsia="仿宋_GB2312" w:cs="Times New Roman"/>
          <w:color w:val="000000"/>
          <w:kern w:val="2"/>
          <w:sz w:val="32"/>
          <w:szCs w:val="32"/>
          <w:shd w:val="clear" w:color="auto" w:fill="FFFFFF"/>
          <w:lang w:val="en" w:eastAsia="zh-CN" w:bidi="ar-SA"/>
        </w:rPr>
        <w:t>组织开展</w:t>
      </w:r>
      <w:r>
        <w:rPr>
          <w:rFonts w:hint="eastAsia" w:ascii="仿宋_GB2312" w:eastAsia="仿宋_GB2312" w:cs="Times New Roman"/>
          <w:color w:val="000000"/>
          <w:kern w:val="2"/>
          <w:sz w:val="32"/>
          <w:szCs w:val="32"/>
          <w:shd w:val="clear" w:color="auto" w:fill="FFFFFF"/>
          <w:lang w:val="en" w:eastAsia="zh-CN" w:bidi="ar-SA"/>
        </w:rPr>
        <w:t>产品质量检验检测惠民活动。发布解析地毯关键检测参数微视频、开展乐器产品质量标准及检测宣讲活动、宣贯解读食品接触材料及制品国家标准，开放珠宝实验室、贵金属实验室和化学实验室，组织参观理化实验室、计量检定实验室和无损探伤实验室并提供免费技术咨询，开展电线电缆行业企业质量技术咨询服务、电动自行车电气安全“一企一策”技术帮扶等活动。</w:t>
      </w:r>
    </w:p>
    <w:p>
      <w:pPr>
        <w:spacing w:line="360" w:lineRule="auto"/>
        <w:ind w:firstLine="640"/>
        <w:rPr>
          <w:rFonts w:ascii="Times New Roman" w:hAnsi="仿宋" w:eastAsia="仿宋" w:cs="Times New Roman"/>
          <w:sz w:val="32"/>
          <w:szCs w:val="32"/>
        </w:rPr>
      </w:pPr>
      <w:r>
        <w:rPr>
          <w:rFonts w:hint="default" w:ascii="Times New Roman" w:hAnsi="仿宋" w:eastAsia="仿宋" w:cs="Times New Roman"/>
          <w:kern w:val="2"/>
          <w:sz w:val="32"/>
          <w:szCs w:val="32"/>
          <w:lang w:val="en" w:eastAsia="zh-CN" w:bidi="ar-SA"/>
        </w:rPr>
        <w:t xml:space="preserve"> </w:t>
      </w:r>
      <w:r>
        <w:rPr>
          <w:rFonts w:hint="default" w:ascii="仿宋_GB2312" w:eastAsia="仿宋_GB2312" w:cs="Times New Roman"/>
          <w:color w:val="000000"/>
          <w:kern w:val="2"/>
          <w:sz w:val="32"/>
          <w:szCs w:val="32"/>
          <w:shd w:val="clear" w:color="auto" w:fill="FFFFFF"/>
          <w:lang w:val="en" w:eastAsia="zh-CN" w:bidi="ar-SA"/>
        </w:rPr>
        <w:t>2</w:t>
      </w:r>
      <w:r>
        <w:rPr>
          <w:rFonts w:hint="default" w:ascii="仿宋_GB2312" w:hAnsi="黑体" w:eastAsia="仿宋_GB2312" w:cs="Times New Roman"/>
          <w:kern w:val="2"/>
          <w:sz w:val="32"/>
          <w:szCs w:val="32"/>
          <w:u w:val="none"/>
          <w:vertAlign w:val="baseline"/>
          <w:lang w:val="en" w:eastAsia="zh-CN" w:bidi="ar-SA"/>
        </w:rPr>
        <w:t>0</w:t>
      </w:r>
      <w:r>
        <w:rPr>
          <w:rFonts w:hint="default" w:ascii="仿宋_GB2312" w:eastAsia="仿宋_GB2312" w:cs="Times New Roman"/>
          <w:color w:val="000000"/>
          <w:kern w:val="2"/>
          <w:sz w:val="32"/>
          <w:szCs w:val="32"/>
          <w:shd w:val="clear" w:color="auto" w:fill="FFFFFF"/>
          <w:lang w:val="en" w:eastAsia="zh-CN" w:bidi="ar-SA"/>
        </w:rPr>
        <w:t>.</w:t>
      </w:r>
      <w:r>
        <w:rPr>
          <w:rFonts w:hint="eastAsia" w:ascii="仿宋_GB2312" w:eastAsia="仿宋_GB2312" w:cs="Times New Roman"/>
          <w:color w:val="000000"/>
          <w:kern w:val="2"/>
          <w:sz w:val="32"/>
          <w:szCs w:val="32"/>
          <w:shd w:val="clear" w:color="auto" w:fill="FFFFFF"/>
          <w:lang w:val="en" w:eastAsia="zh-CN" w:bidi="ar-SA"/>
        </w:rPr>
        <w:t>开展特种设备检验检测能力评价、比对和验证活动。增进检</w:t>
      </w:r>
      <w:r>
        <w:rPr>
          <w:rFonts w:hint="eastAsia" w:ascii="仿宋_GB2312" w:hAnsi="Calibri" w:eastAsia="仿宋_GB2312" w:cs="Times New Roman"/>
          <w:color w:val="000000"/>
          <w:kern w:val="2"/>
          <w:sz w:val="32"/>
          <w:szCs w:val="32"/>
          <w:shd w:val="clear" w:color="auto" w:fill="FFFFFF"/>
          <w:lang w:val="en" w:eastAsia="zh-CN" w:bidi="ar-SA"/>
        </w:rPr>
        <w:t>验检测技术交流，持续提高检验检测能力和水平，为特种设备安全平稳运行保驾护航。</w:t>
      </w:r>
    </w:p>
    <w:p>
      <w:pPr>
        <w:pStyle w:val="3"/>
        <w:ind w:left="0" w:leftChars="0" w:firstLine="640" w:firstLineChars="200"/>
        <w:jc w:val="left"/>
        <w:rPr>
          <w:rFonts w:hint="eastAsia" w:ascii="仿宋_GB2312" w:eastAsia="仿宋_GB2312" w:cs="Times New Roman"/>
          <w:color w:val="000000"/>
          <w:kern w:val="2"/>
          <w:sz w:val="32"/>
          <w:szCs w:val="32"/>
          <w:shd w:val="clear" w:color="auto" w:fill="FFFFFF"/>
          <w:lang w:val="en" w:eastAsia="zh-CN" w:bidi="ar-SA"/>
        </w:rPr>
      </w:pPr>
      <w:r>
        <w:rPr>
          <w:rFonts w:hint="eastAsia" w:ascii="仿宋_GB2312" w:hAnsi="Calibri" w:eastAsia="仿宋_GB2312" w:cs="Times New Roman"/>
          <w:color w:val="000000"/>
          <w:kern w:val="2"/>
          <w:sz w:val="32"/>
          <w:szCs w:val="32"/>
          <w:shd w:val="clear" w:color="auto" w:fill="FFFFFF"/>
          <w:lang w:val="en-US" w:eastAsia="zh-CN" w:bidi="ar-SA"/>
        </w:rPr>
        <w:t>2</w:t>
      </w:r>
      <w:r>
        <w:rPr>
          <w:rFonts w:hint="eastAsia" w:ascii="仿宋_GB2312" w:hAnsi="黑体" w:eastAsia="仿宋_GB2312" w:cs="Times New Roman"/>
          <w:kern w:val="2"/>
          <w:sz w:val="32"/>
          <w:szCs w:val="32"/>
          <w:u w:val="none"/>
          <w:vertAlign w:val="baseline"/>
          <w:lang w:val="en-US" w:eastAsia="zh-CN" w:bidi="ar-SA"/>
        </w:rPr>
        <w:t>1</w:t>
      </w:r>
      <w:r>
        <w:rPr>
          <w:rFonts w:hint="eastAsia" w:ascii="仿宋_GB2312" w:hAnsi="Calibri" w:eastAsia="仿宋_GB2312" w:cs="Times New Roman"/>
          <w:color w:val="000000"/>
          <w:kern w:val="2"/>
          <w:sz w:val="32"/>
          <w:szCs w:val="32"/>
          <w:shd w:val="clear" w:color="auto" w:fill="FFFFFF"/>
          <w:lang w:val="en-US" w:eastAsia="zh-CN" w:bidi="ar-SA"/>
        </w:rPr>
        <w:t>.</w:t>
      </w:r>
      <w:r>
        <w:rPr>
          <w:rFonts w:hint="eastAsia" w:ascii="仿宋_GB2312" w:eastAsia="仿宋_GB2312" w:cs="Times New Roman"/>
          <w:color w:val="000000"/>
          <w:kern w:val="2"/>
          <w:sz w:val="32"/>
          <w:szCs w:val="32"/>
          <w:shd w:val="clear" w:color="auto" w:fill="FFFFFF"/>
          <w:lang w:val="en" w:eastAsia="zh-CN" w:bidi="ar-SA"/>
        </w:rPr>
        <w:t>开展特种设备安全科普宣传进社区进企业活动。面向社会开放国家特种设备焊接材料产品质量检验检测中心（天津）、国家市场监管总局数字孪生重点实验室。</w:t>
      </w:r>
    </w:p>
    <w:p>
      <w:pPr>
        <w:pStyle w:val="3"/>
        <w:ind w:left="0" w:leftChars="0" w:firstLine="640" w:firstLineChars="200"/>
        <w:jc w:val="left"/>
        <w:rPr>
          <w:rFonts w:hint="eastAsia" w:ascii="Times New Roman" w:hAnsi="仿宋" w:eastAsia="仿宋" w:cs="Times New Roman"/>
          <w:sz w:val="32"/>
          <w:szCs w:val="32"/>
          <w:lang w:eastAsia="zh-CN"/>
        </w:rPr>
      </w:pPr>
      <w:r>
        <w:rPr>
          <w:rFonts w:hint="eastAsia" w:ascii="仿宋_GB2312" w:hAnsi="黑体" w:eastAsia="仿宋_GB2312" w:cs="Times New Roman"/>
          <w:kern w:val="2"/>
          <w:sz w:val="32"/>
          <w:szCs w:val="32"/>
          <w:u w:val="none"/>
          <w:vertAlign w:val="baseline"/>
          <w:lang w:val="en-US" w:eastAsia="zh-CN" w:bidi="ar-SA"/>
        </w:rPr>
        <w:t>22</w:t>
      </w:r>
      <w:r>
        <w:rPr>
          <w:rFonts w:hint="eastAsia" w:ascii="Times New Roman" w:hAnsi="仿宋" w:eastAsia="仿宋" w:cs="Times New Roman"/>
          <w:kern w:val="2"/>
          <w:sz w:val="32"/>
          <w:szCs w:val="32"/>
          <w:lang w:val="en-US" w:eastAsia="zh-CN" w:bidi="ar-SA"/>
        </w:rPr>
        <w:t>.</w:t>
      </w:r>
      <w:r>
        <w:rPr>
          <w:rFonts w:hint="eastAsia" w:ascii="仿宋_GB2312" w:eastAsia="仿宋_GB2312" w:cs="Times New Roman"/>
          <w:color w:val="000000"/>
          <w:kern w:val="2"/>
          <w:sz w:val="32"/>
          <w:szCs w:val="32"/>
          <w:shd w:val="clear" w:color="auto" w:fill="FFFFFF"/>
          <w:lang w:val="en" w:eastAsia="zh-CN" w:bidi="ar-SA"/>
        </w:rPr>
        <w:t>持续开展特种设备重点课题研究工作。加强</w:t>
      </w:r>
      <w:r>
        <w:rPr>
          <w:rFonts w:ascii="Times New Roman" w:hAnsi="仿宋" w:eastAsia="仿宋" w:cs="Times New Roman"/>
          <w:sz w:val="32"/>
          <w:szCs w:val="32"/>
        </w:rPr>
        <w:t>高强度无缝钢瓶疲劳早期损伤检测技术</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打造国家特种设备焊接材料产品质检中心品牌</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天津市压力容器生产单位智能化提升</w:t>
      </w:r>
      <w:r>
        <w:rPr>
          <w:rFonts w:hint="eastAsia" w:ascii="Times New Roman" w:hAnsi="仿宋" w:eastAsia="仿宋" w:cs="Times New Roman"/>
          <w:sz w:val="32"/>
          <w:szCs w:val="32"/>
          <w:lang w:eastAsia="zh-CN"/>
        </w:rPr>
        <w:t>课题研究，</w:t>
      </w:r>
      <w:r>
        <w:rPr>
          <w:rFonts w:ascii="Times New Roman" w:hAnsi="仿宋" w:eastAsia="仿宋" w:cs="Times New Roman"/>
          <w:sz w:val="32"/>
          <w:szCs w:val="32"/>
        </w:rPr>
        <w:t>助力质量基础设施能力提升</w:t>
      </w:r>
      <w:r>
        <w:rPr>
          <w:rFonts w:hint="eastAsia" w:ascii="Times New Roman" w:hAnsi="仿宋" w:eastAsia="仿宋" w:cs="Times New Roman"/>
          <w:sz w:val="32"/>
          <w:szCs w:val="32"/>
          <w:lang w:eastAsia="zh-CN"/>
        </w:rPr>
        <w:t>，助力</w:t>
      </w:r>
      <w:r>
        <w:rPr>
          <w:rFonts w:ascii="Times New Roman" w:hAnsi="仿宋" w:eastAsia="仿宋" w:cs="Times New Roman"/>
          <w:sz w:val="32"/>
          <w:szCs w:val="32"/>
        </w:rPr>
        <w:t>先进制造研发基地高质量发展。</w:t>
      </w:r>
    </w:p>
    <w:p>
      <w:pPr>
        <w:spacing w:line="360" w:lineRule="auto"/>
        <w:ind w:firstLine="640" w:firstLineChars="200"/>
        <w:jc w:val="left"/>
        <w:rPr>
          <w:rFonts w:ascii="Times New Roman" w:hAnsi="Times New Roman" w:eastAsia="仿宋" w:cs="Times New Roman"/>
          <w:sz w:val="32"/>
          <w:szCs w:val="32"/>
        </w:rPr>
      </w:pPr>
      <w:r>
        <w:rPr>
          <w:rFonts w:hint="eastAsia" w:ascii="仿宋_GB2312" w:hAnsi="黑体" w:eastAsia="仿宋_GB2312" w:cs="Times New Roman"/>
          <w:kern w:val="2"/>
          <w:sz w:val="32"/>
          <w:szCs w:val="32"/>
          <w:u w:val="none"/>
          <w:vertAlign w:val="baseline"/>
          <w:lang w:val="en-US" w:eastAsia="zh-CN" w:bidi="ar-SA"/>
        </w:rPr>
        <w:t>23</w:t>
      </w:r>
      <w:r>
        <w:rPr>
          <w:rFonts w:hint="eastAsia" w:ascii="Times New Roman" w:hAnsi="仿宋" w:eastAsia="仿宋"/>
          <w:sz w:val="32"/>
          <w:szCs w:val="32"/>
          <w:lang w:val="en-US" w:eastAsia="zh-CN"/>
        </w:rPr>
        <w:t>.</w:t>
      </w:r>
      <w:r>
        <w:rPr>
          <w:rFonts w:hint="eastAsia" w:ascii="Times New Roman" w:hAnsi="仿宋" w:eastAsia="仿宋" w:cs="Times New Roman"/>
          <w:sz w:val="32"/>
          <w:szCs w:val="32"/>
          <w:lang w:eastAsia="zh-CN"/>
        </w:rPr>
        <w:t>开展</w:t>
      </w:r>
      <w:r>
        <w:rPr>
          <w:rFonts w:ascii="Times New Roman" w:hAnsi="仿宋" w:eastAsia="仿宋" w:cs="Times New Roman"/>
          <w:sz w:val="32"/>
          <w:szCs w:val="32"/>
        </w:rPr>
        <w:t>特种设备安全科普教育服务</w:t>
      </w:r>
      <w:r>
        <w:rPr>
          <w:rFonts w:hint="eastAsia" w:ascii="Times New Roman" w:hAnsi="仿宋" w:eastAsia="仿宋" w:cs="Times New Roman"/>
          <w:sz w:val="32"/>
          <w:szCs w:val="32"/>
          <w:lang w:eastAsia="zh-CN"/>
        </w:rPr>
        <w:t>活动。</w:t>
      </w:r>
      <w:r>
        <w:rPr>
          <w:rFonts w:ascii="Times New Roman" w:hAnsi="仿宋" w:eastAsia="仿宋" w:cs="Times New Roman"/>
          <w:kern w:val="2"/>
          <w:sz w:val="32"/>
          <w:szCs w:val="32"/>
          <w:lang w:val="en-US" w:eastAsia="zh-CN" w:bidi="ar-SA"/>
        </w:rPr>
        <w:t>依托天津市特种设备安全科普教育基地，综合应用基地3D、VR、AI等数字技术</w:t>
      </w:r>
      <w:r>
        <w:rPr>
          <w:rFonts w:ascii="Times New Roman" w:hAnsi="仿宋" w:eastAsia="仿宋" w:cs="Times New Roman"/>
          <w:sz w:val="32"/>
          <w:szCs w:val="32"/>
        </w:rPr>
        <w:t>的数字化展厅</w:t>
      </w:r>
      <w:r>
        <w:rPr>
          <w:rFonts w:ascii="Times New Roman" w:hAnsi="仿宋" w:eastAsia="仿宋" w:cs="Times New Roman"/>
          <w:kern w:val="2"/>
          <w:sz w:val="32"/>
          <w:szCs w:val="32"/>
          <w:lang w:val="en-US" w:eastAsia="zh-CN" w:bidi="ar-SA"/>
        </w:rPr>
        <w:t>，</w:t>
      </w:r>
      <w:r>
        <w:rPr>
          <w:rFonts w:hint="eastAsia" w:ascii="Times New Roman" w:hAnsi="仿宋" w:eastAsia="仿宋" w:cs="Times New Roman"/>
          <w:kern w:val="2"/>
          <w:sz w:val="32"/>
          <w:szCs w:val="32"/>
          <w:lang w:val="en-US" w:eastAsia="zh-CN" w:bidi="ar-SA"/>
        </w:rPr>
        <w:t>为</w:t>
      </w:r>
      <w:r>
        <w:rPr>
          <w:rFonts w:ascii="Times New Roman" w:hAnsi="仿宋" w:eastAsia="仿宋" w:cs="Times New Roman"/>
          <w:kern w:val="2"/>
          <w:sz w:val="32"/>
          <w:szCs w:val="32"/>
          <w:lang w:val="en-US" w:eastAsia="zh-CN" w:bidi="ar-SA"/>
        </w:rPr>
        <w:t>社会公众</w:t>
      </w:r>
      <w:r>
        <w:rPr>
          <w:rFonts w:hint="eastAsia" w:ascii="Times New Roman" w:hAnsi="仿宋" w:eastAsia="仿宋" w:cs="Times New Roman"/>
          <w:kern w:val="2"/>
          <w:sz w:val="32"/>
          <w:szCs w:val="32"/>
          <w:lang w:val="en-US" w:eastAsia="zh-CN" w:bidi="ar-SA"/>
        </w:rPr>
        <w:t>提供有</w:t>
      </w:r>
      <w:r>
        <w:rPr>
          <w:rFonts w:ascii="Times New Roman" w:hAnsi="仿宋" w:eastAsia="仿宋" w:cs="Times New Roman"/>
          <w:sz w:val="32"/>
          <w:szCs w:val="32"/>
        </w:rPr>
        <w:t>针对性、</w:t>
      </w:r>
      <w:r>
        <w:rPr>
          <w:rFonts w:hint="eastAsia" w:ascii="Times New Roman" w:hAnsi="仿宋" w:eastAsia="仿宋" w:cs="Times New Roman"/>
          <w:sz w:val="32"/>
          <w:szCs w:val="32"/>
          <w:lang w:eastAsia="zh-CN"/>
        </w:rPr>
        <w:t>有</w:t>
      </w:r>
      <w:r>
        <w:rPr>
          <w:rFonts w:ascii="Times New Roman" w:hAnsi="仿宋" w:eastAsia="仿宋" w:cs="Times New Roman"/>
          <w:sz w:val="32"/>
          <w:szCs w:val="32"/>
        </w:rPr>
        <w:t>实效性</w:t>
      </w:r>
      <w:r>
        <w:rPr>
          <w:rFonts w:hint="eastAsia" w:ascii="Times New Roman" w:hAnsi="仿宋" w:eastAsia="仿宋" w:cs="Times New Roman"/>
          <w:sz w:val="32"/>
          <w:szCs w:val="32"/>
          <w:lang w:eastAsia="zh-CN"/>
        </w:rPr>
        <w:t>的</w:t>
      </w:r>
      <w:r>
        <w:rPr>
          <w:rFonts w:ascii="Times New Roman" w:hAnsi="仿宋" w:eastAsia="仿宋" w:cs="Times New Roman"/>
          <w:kern w:val="2"/>
          <w:sz w:val="32"/>
          <w:szCs w:val="32"/>
          <w:lang w:val="en-US" w:eastAsia="zh-CN" w:bidi="ar-SA"/>
        </w:rPr>
        <w:t>特种设备安全</w:t>
      </w:r>
      <w:r>
        <w:rPr>
          <w:rFonts w:ascii="Times New Roman" w:hAnsi="仿宋" w:eastAsia="仿宋" w:cs="Times New Roman"/>
          <w:sz w:val="32"/>
          <w:szCs w:val="32"/>
        </w:rPr>
        <w:t>科普教育</w:t>
      </w:r>
      <w:r>
        <w:rPr>
          <w:rFonts w:hint="eastAsia" w:ascii="Times New Roman" w:hAnsi="仿宋" w:eastAsia="仿宋" w:cs="Times New Roman"/>
          <w:sz w:val="32"/>
          <w:szCs w:val="32"/>
          <w:lang w:eastAsia="zh-CN"/>
        </w:rPr>
        <w:t>，让</w:t>
      </w:r>
      <w:r>
        <w:rPr>
          <w:rFonts w:ascii="Times New Roman" w:hAnsi="仿宋" w:eastAsia="仿宋" w:cs="Times New Roman"/>
          <w:sz w:val="32"/>
          <w:szCs w:val="32"/>
        </w:rPr>
        <w:t>特种设备质量和安全深入人心，促进社会公众特种设备安全素</w:t>
      </w:r>
      <w:r>
        <w:rPr>
          <w:rFonts w:hint="eastAsia" w:ascii="Times New Roman" w:hAnsi="仿宋" w:eastAsia="仿宋" w:cs="Times New Roman"/>
          <w:sz w:val="32"/>
          <w:szCs w:val="32"/>
          <w:lang w:eastAsia="zh-CN"/>
        </w:rPr>
        <w:t>养提升</w:t>
      </w:r>
      <w:r>
        <w:rPr>
          <w:rFonts w:ascii="Times New Roman" w:hAnsi="仿宋" w:eastAsia="仿宋" w:cs="Times New Roman"/>
          <w:sz w:val="32"/>
          <w:szCs w:val="32"/>
        </w:rPr>
        <w:t>。</w:t>
      </w:r>
    </w:p>
    <w:p>
      <w:pPr>
        <w:spacing w:line="360" w:lineRule="auto"/>
        <w:ind w:firstLine="640" w:firstLineChars="200"/>
        <w:rPr>
          <w:rFonts w:ascii="Times New Roman" w:hAnsi="仿宋" w:eastAsia="仿宋" w:cs="Times New Roman"/>
          <w:sz w:val="32"/>
          <w:szCs w:val="32"/>
        </w:rPr>
      </w:pPr>
      <w:r>
        <w:rPr>
          <w:rFonts w:hint="eastAsia" w:ascii="仿宋_GB2312" w:hAnsi="黑体" w:eastAsia="仿宋_GB2312" w:cs="Times New Roman"/>
          <w:kern w:val="2"/>
          <w:sz w:val="32"/>
          <w:szCs w:val="32"/>
          <w:u w:val="none"/>
          <w:vertAlign w:val="baseline"/>
          <w:lang w:val="en-US" w:eastAsia="zh-CN" w:bidi="ar-SA"/>
        </w:rPr>
        <w:t>24</w:t>
      </w:r>
      <w:r>
        <w:rPr>
          <w:rFonts w:hint="eastAsia" w:ascii="Times New Roman" w:hAnsi="仿宋" w:eastAsia="仿宋"/>
          <w:sz w:val="32"/>
          <w:szCs w:val="32"/>
          <w:lang w:val="en-US" w:eastAsia="zh-CN"/>
        </w:rPr>
        <w:t>.</w:t>
      </w:r>
      <w:r>
        <w:rPr>
          <w:rFonts w:hint="eastAsia" w:ascii="Times New Roman" w:hAnsi="仿宋" w:eastAsia="仿宋" w:cs="Times New Roman"/>
          <w:kern w:val="2"/>
          <w:sz w:val="32"/>
          <w:szCs w:val="32"/>
          <w:lang w:val="en-US" w:eastAsia="zh-CN" w:bidi="ar-SA"/>
        </w:rPr>
        <w:t>开展</w:t>
      </w:r>
      <w:r>
        <w:rPr>
          <w:rFonts w:ascii="Times New Roman" w:hAnsi="仿宋" w:eastAsia="仿宋" w:cs="Times New Roman"/>
          <w:kern w:val="2"/>
          <w:sz w:val="32"/>
          <w:szCs w:val="32"/>
          <w:lang w:val="en-US" w:eastAsia="zh-CN" w:bidi="ar-SA"/>
        </w:rPr>
        <w:t>药品质量</w:t>
      </w:r>
      <w:r>
        <w:rPr>
          <w:rFonts w:hint="eastAsia" w:ascii="Times New Roman" w:hAnsi="仿宋" w:eastAsia="仿宋" w:cs="Times New Roman"/>
          <w:kern w:val="2"/>
          <w:sz w:val="32"/>
          <w:szCs w:val="32"/>
          <w:lang w:val="en-US" w:eastAsia="zh-CN" w:bidi="ar-SA"/>
        </w:rPr>
        <w:t>探索性研究工作。</w:t>
      </w:r>
      <w:r>
        <w:rPr>
          <w:rFonts w:ascii="Times New Roman" w:hAnsi="仿宋" w:eastAsia="仿宋" w:cs="Times New Roman"/>
          <w:kern w:val="2"/>
          <w:sz w:val="32"/>
          <w:szCs w:val="32"/>
          <w:lang w:val="en-US" w:eastAsia="zh-CN" w:bidi="ar-SA"/>
        </w:rPr>
        <w:t>针对202</w:t>
      </w:r>
      <w:r>
        <w:rPr>
          <w:rFonts w:hint="eastAsia" w:ascii="Times New Roman" w:hAnsi="仿宋" w:eastAsia="仿宋" w:cs="Times New Roman"/>
          <w:kern w:val="2"/>
          <w:sz w:val="32"/>
          <w:szCs w:val="32"/>
          <w:lang w:val="en-US" w:eastAsia="zh-CN" w:bidi="ar-SA"/>
        </w:rPr>
        <w:t>4</w:t>
      </w:r>
      <w:r>
        <w:rPr>
          <w:rFonts w:ascii="Times New Roman" w:hAnsi="仿宋" w:eastAsia="仿宋" w:cs="Times New Roman"/>
          <w:kern w:val="2"/>
          <w:sz w:val="32"/>
          <w:szCs w:val="32"/>
          <w:lang w:val="en-US" w:eastAsia="zh-CN" w:bidi="ar-SA"/>
        </w:rPr>
        <w:t>年国家药品抽</w:t>
      </w:r>
      <w:r>
        <w:rPr>
          <w:rFonts w:hint="eastAsia" w:ascii="Times New Roman" w:hAnsi="仿宋" w:eastAsia="仿宋" w:cs="Times New Roman"/>
          <w:kern w:val="2"/>
          <w:sz w:val="32"/>
          <w:szCs w:val="32"/>
          <w:lang w:val="en-US" w:eastAsia="zh-CN" w:bidi="ar-SA"/>
        </w:rPr>
        <w:t>检品种，探索</w:t>
      </w:r>
      <w:r>
        <w:rPr>
          <w:rFonts w:ascii="Times New Roman" w:hAnsi="仿宋" w:eastAsia="仿宋" w:cs="Times New Roman"/>
          <w:kern w:val="2"/>
          <w:sz w:val="32"/>
          <w:szCs w:val="32"/>
          <w:lang w:val="en-US" w:eastAsia="zh-CN" w:bidi="ar-SA"/>
        </w:rPr>
        <w:t>影响药品质量的</w:t>
      </w:r>
      <w:r>
        <w:rPr>
          <w:rFonts w:hint="eastAsia" w:ascii="Times New Roman" w:hAnsi="仿宋" w:eastAsia="仿宋" w:cs="Times New Roman"/>
          <w:kern w:val="2"/>
          <w:sz w:val="32"/>
          <w:szCs w:val="32"/>
          <w:lang w:val="en-US" w:eastAsia="zh-CN" w:bidi="ar-SA"/>
        </w:rPr>
        <w:t>风险</w:t>
      </w:r>
      <w:r>
        <w:rPr>
          <w:rFonts w:ascii="Times New Roman" w:hAnsi="仿宋" w:eastAsia="仿宋" w:cs="Times New Roman"/>
          <w:kern w:val="2"/>
          <w:sz w:val="32"/>
          <w:szCs w:val="32"/>
          <w:lang w:val="en-US" w:eastAsia="zh-CN" w:bidi="ar-SA"/>
        </w:rPr>
        <w:t>因素</w:t>
      </w:r>
      <w:r>
        <w:rPr>
          <w:rFonts w:hint="eastAsia" w:ascii="Times New Roman" w:hAnsi="仿宋" w:eastAsia="仿宋" w:cs="Times New Roman"/>
          <w:kern w:val="2"/>
          <w:sz w:val="32"/>
          <w:szCs w:val="32"/>
          <w:lang w:val="en-US" w:eastAsia="zh-CN" w:bidi="ar-SA"/>
        </w:rPr>
        <w:t>，</w:t>
      </w:r>
      <w:r>
        <w:rPr>
          <w:rFonts w:ascii="Times New Roman" w:hAnsi="仿宋" w:eastAsia="仿宋" w:cs="Times New Roman"/>
          <w:kern w:val="2"/>
          <w:sz w:val="32"/>
          <w:szCs w:val="32"/>
          <w:lang w:val="en-US" w:eastAsia="zh-CN" w:bidi="ar-SA"/>
        </w:rPr>
        <w:t>全面考察药品的安全性、有效性、现行</w:t>
      </w:r>
      <w:r>
        <w:rPr>
          <w:rFonts w:hint="eastAsia" w:ascii="Times New Roman" w:hAnsi="仿宋" w:eastAsia="仿宋" w:cs="Times New Roman"/>
          <w:kern w:val="2"/>
          <w:sz w:val="32"/>
          <w:szCs w:val="32"/>
          <w:lang w:val="en-US" w:eastAsia="zh-CN" w:bidi="ar-SA"/>
        </w:rPr>
        <w:t>质量</w:t>
      </w:r>
      <w:r>
        <w:rPr>
          <w:rFonts w:ascii="Times New Roman" w:hAnsi="仿宋" w:eastAsia="仿宋" w:cs="Times New Roman"/>
          <w:kern w:val="2"/>
          <w:sz w:val="32"/>
          <w:szCs w:val="32"/>
          <w:lang w:val="en-US" w:eastAsia="zh-CN" w:bidi="ar-SA"/>
        </w:rPr>
        <w:t>标准的可行性，</w:t>
      </w:r>
      <w:r>
        <w:rPr>
          <w:rFonts w:hint="eastAsia" w:ascii="Times New Roman" w:hAnsi="仿宋" w:eastAsia="仿宋" w:cs="Times New Roman"/>
          <w:kern w:val="2"/>
          <w:sz w:val="32"/>
          <w:szCs w:val="32"/>
          <w:lang w:val="en-US" w:eastAsia="zh-CN" w:bidi="ar-SA"/>
        </w:rPr>
        <w:t>促进</w:t>
      </w:r>
      <w:r>
        <w:rPr>
          <w:rFonts w:ascii="Times New Roman" w:hAnsi="仿宋" w:eastAsia="仿宋" w:cs="Times New Roman"/>
          <w:kern w:val="2"/>
          <w:sz w:val="32"/>
          <w:szCs w:val="32"/>
          <w:lang w:val="en-US" w:eastAsia="zh-CN" w:bidi="ar-SA"/>
        </w:rPr>
        <w:t>药品质量</w:t>
      </w:r>
      <w:r>
        <w:rPr>
          <w:rFonts w:hint="eastAsia" w:ascii="Times New Roman" w:hAnsi="仿宋" w:eastAsia="仿宋" w:cs="Times New Roman"/>
          <w:kern w:val="2"/>
          <w:sz w:val="32"/>
          <w:szCs w:val="32"/>
          <w:lang w:val="en-US" w:eastAsia="zh-CN" w:bidi="ar-SA"/>
        </w:rPr>
        <w:t>科学监管，助力</w:t>
      </w:r>
      <w:r>
        <w:rPr>
          <w:rFonts w:ascii="Times New Roman" w:hAnsi="仿宋" w:eastAsia="仿宋" w:cs="Times New Roman"/>
          <w:kern w:val="2"/>
          <w:sz w:val="32"/>
          <w:szCs w:val="32"/>
          <w:lang w:val="en-US" w:eastAsia="zh-CN" w:bidi="ar-SA"/>
        </w:rPr>
        <w:t>企业药品质量持续提升。</w:t>
      </w:r>
    </w:p>
    <w:p>
      <w:pPr>
        <w:ind w:firstLine="640" w:firstLineChars="200"/>
        <w:rPr>
          <w:rFonts w:ascii="Times New Roman" w:hAnsi="仿宋" w:eastAsia="仿宋" w:cs="Times New Roman"/>
          <w:kern w:val="2"/>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25</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w:t>
      </w:r>
      <w:r>
        <w:rPr>
          <w:rFonts w:hint="eastAsia" w:ascii="Times New Roman" w:hAnsi="仿宋" w:eastAsia="仿宋" w:cs="Times New Roman"/>
          <w:kern w:val="2"/>
          <w:sz w:val="32"/>
          <w:szCs w:val="32"/>
          <w:lang w:val="en-US" w:eastAsia="zh-CN" w:bidi="ar-SA"/>
        </w:rPr>
        <w:t>发布售后服务统计分析报告。深挖投诉举报数据，通报消费者反映最强烈的问题及售后服务问题短板，推动加大消费维权力度，提升售后服务投诉举报工作质效。</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黑体" w:eastAsia="仿宋_GB2312" w:cs="Times New Roman"/>
          <w:kern w:val="2"/>
          <w:sz w:val="32"/>
          <w:szCs w:val="32"/>
          <w:u w:val="none"/>
          <w:vertAlign w:val="baseline"/>
          <w:lang w:val="en-US" w:eastAsia="zh-CN" w:bidi="ar-SA"/>
        </w:rPr>
        <w:t>26</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开展节日时令食用农品商品执法监督</w:t>
      </w:r>
      <w:r>
        <w:rPr>
          <w:rFonts w:hint="eastAsia" w:ascii="仿宋_GB2312" w:hAnsi="仿宋_GB2312" w:eastAsia="仿宋_GB2312" w:cs="仿宋_GB2312"/>
          <w:sz w:val="32"/>
          <w:szCs w:val="32"/>
          <w:lang w:eastAsia="zh-CN"/>
        </w:rPr>
        <w:t>检查。以大型商超、大型餐饮单位、农贸批发零售市场、品牌专营直营店及网络交易平台等为重点，</w:t>
      </w:r>
      <w:r>
        <w:rPr>
          <w:rFonts w:hint="eastAsia" w:ascii="仿宋_GB2312" w:hAnsi="仿宋_GB2312" w:eastAsia="仿宋_GB2312" w:cs="仿宋_GB2312"/>
          <w:sz w:val="32"/>
          <w:szCs w:val="32"/>
        </w:rPr>
        <w:t>严厉打击</w:t>
      </w:r>
      <w:r>
        <w:rPr>
          <w:rFonts w:hint="eastAsia" w:ascii="仿宋_GB2312" w:hAnsi="仿宋_GB2312" w:eastAsia="仿宋_GB2312" w:cs="仿宋_GB2312"/>
          <w:sz w:val="32"/>
          <w:szCs w:val="32"/>
          <w:lang w:eastAsia="zh-CN"/>
        </w:rPr>
        <w:t>虚假宣传、扰乱市场秩序、侵害消费者权益等违法违规</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，进一步规范市场秩序</w:t>
      </w:r>
      <w:r>
        <w:rPr>
          <w:rFonts w:hint="eastAsia" w:ascii="仿宋_GB2312" w:hAnsi="仿宋_GB2312" w:eastAsia="仿宋_GB2312" w:cs="仿宋_GB2312"/>
          <w:sz w:val="32"/>
          <w:szCs w:val="32"/>
        </w:rPr>
        <w:t>。</w:t>
      </w:r>
    </w:p>
    <w:p>
      <w:pPr>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27</w:t>
      </w:r>
      <w:r>
        <w:rPr>
          <w:rFonts w:hint="eastAsia" w:ascii="Times New Roman" w:hAnsi="Times New Roman" w:eastAsia="仿宋_GB2312" w:cs="Times New Roman"/>
          <w:color w:val="auto"/>
          <w:kern w:val="2"/>
          <w:sz w:val="32"/>
          <w:szCs w:val="32"/>
          <w:lang w:val="en-US" w:eastAsia="zh-CN" w:bidi="ar-SA"/>
        </w:rPr>
        <w:t>.开展城镇燃气安全专项整治执法检查。加大对燃气安全产品质量违法案件的查处，开展电动自行车安全监管执法检查，加大对经营产品质量不合格、一致性不符、非法改装电动自行车违法行为的查处。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黑体" w:eastAsia="仿宋_GB2312" w:cs="Times New Roman"/>
          <w:kern w:val="2"/>
          <w:sz w:val="32"/>
          <w:szCs w:val="32"/>
          <w:u w:val="none"/>
          <w:vertAlign w:val="baseline"/>
          <w:lang w:val="en-US" w:eastAsia="zh-CN" w:bidi="ar-SA"/>
        </w:rPr>
        <w:t>28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公布一批</w:t>
      </w:r>
      <w:r>
        <w:rPr>
          <w:rFonts w:hint="eastAsia" w:ascii="仿宋_GB2312" w:hAnsi="仿宋_GB2312" w:eastAsia="仿宋_GB2312" w:cs="仿宋_GB2312"/>
          <w:sz w:val="32"/>
          <w:szCs w:val="32"/>
        </w:rPr>
        <w:t>民生领域</w:t>
      </w:r>
      <w:r>
        <w:rPr>
          <w:rFonts w:hint="eastAsia" w:ascii="仿宋_GB2312" w:hAnsi="仿宋_GB2312" w:eastAsia="仿宋_GB2312" w:cs="仿宋_GB2312"/>
          <w:sz w:val="32"/>
          <w:szCs w:val="32"/>
          <w:lang w:eastAsia="zh-CN"/>
        </w:rPr>
        <w:t>典型案例。</w:t>
      </w:r>
      <w:r>
        <w:rPr>
          <w:rFonts w:hint="eastAsia" w:ascii="仿宋_GB2312" w:hAnsi="仿宋_GB2312" w:eastAsia="仿宋_GB2312" w:cs="仿宋_GB2312"/>
          <w:sz w:val="32"/>
          <w:szCs w:val="32"/>
        </w:rPr>
        <w:t>聚焦民生领域群众反映强烈、</w:t>
      </w:r>
      <w:r>
        <w:rPr>
          <w:rFonts w:hint="eastAsia" w:ascii="仿宋_GB2312" w:hAnsi="仿宋_GB2312" w:eastAsia="仿宋_GB2312" w:cs="仿宋_GB2312"/>
          <w:sz w:val="32"/>
          <w:szCs w:val="32"/>
          <w:lang w:eastAsia="zh-CN"/>
        </w:rPr>
        <w:t>社会危害性大、</w:t>
      </w:r>
      <w:r>
        <w:rPr>
          <w:rFonts w:hint="eastAsia" w:ascii="仿宋_GB2312" w:hAnsi="仿宋_GB2312" w:eastAsia="仿宋_GB2312" w:cs="仿宋_GB2312"/>
          <w:sz w:val="32"/>
          <w:szCs w:val="32"/>
        </w:rPr>
        <w:t>社会舆论关注的</w:t>
      </w:r>
      <w:r>
        <w:rPr>
          <w:rFonts w:hint="eastAsia" w:ascii="仿宋_GB2312" w:hAnsi="仿宋_GB2312" w:eastAsia="仿宋_GB2312" w:cs="仿宋_GB2312"/>
          <w:sz w:val="32"/>
          <w:szCs w:val="32"/>
          <w:lang w:eastAsia="zh-CN"/>
        </w:rPr>
        <w:t>违法行为，有力震慑违法经营者，</w:t>
      </w:r>
      <w:r>
        <w:rPr>
          <w:rFonts w:hint="eastAsia" w:ascii="仿宋_GB2312" w:hAnsi="仿宋_GB2312" w:eastAsia="仿宋_GB2312" w:cs="仿宋_GB2312"/>
          <w:kern w:val="2"/>
          <w:sz w:val="32"/>
          <w:szCs w:val="32"/>
          <w:lang w:val="en-US" w:eastAsia="zh-CN" w:bidi="ar-SA"/>
        </w:rPr>
        <w:t>切实维护人民群众根本利益</w:t>
      </w:r>
      <w:r>
        <w:rPr>
          <w:rFonts w:hint="eastAsia" w:ascii="仿宋_GB2312" w:hAnsi="仿宋_GB2312" w:eastAsia="仿宋_GB2312" w:cs="仿宋_GB2312"/>
          <w:sz w:val="32"/>
          <w:szCs w:val="32"/>
        </w:rPr>
        <w:t>。</w:t>
      </w:r>
    </w:p>
    <w:p>
      <w:pPr>
        <w:pStyle w:val="5"/>
        <w:rPr>
          <w:rFonts w:hint="eastAsia" w:ascii="仿宋_GB2312" w:hAnsi="仿宋_GB2312" w:eastAsia="仿宋_GB2312" w:cs="仿宋_GB2312"/>
          <w:kern w:val="2"/>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开展“专精特新”食品中小企业“政策+技术”“专家+管家”技术帮扶服务。组织专家团队深入企业，对企业过程质量控制、产品检验、质量管理体系等方面进行技术指导，促进企业提升产品质量，切实保障食品质量安全。</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30</w:t>
      </w:r>
      <w:r>
        <w:rPr>
          <w:rFonts w:hint="eastAsia" w:ascii="仿宋_GB2312" w:hAnsi="仿宋_GB2312" w:eastAsia="仿宋_GB2312" w:cs="仿宋_GB2312"/>
          <w:kern w:val="2"/>
          <w:sz w:val="32"/>
          <w:szCs w:val="32"/>
          <w:lang w:val="en-US" w:eastAsia="zh-CN" w:bidi="ar-SA"/>
        </w:rPr>
        <w:t>.组织开展集体用餐配送膳食标准技术培训。宣贯《集体用餐配送膳食》地方标准，对标准具体内容进行答疑，开展集体用餐配送膳食生产单位微生物控制技术培训。</w:t>
      </w:r>
    </w:p>
    <w:p>
      <w:pPr>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31</w:t>
      </w:r>
      <w:r>
        <w:rPr>
          <w:rFonts w:hint="eastAsia" w:ascii="Times New Roman" w:hAnsi="Times New Roman" w:eastAsia="仿宋_GB2312" w:cs="Times New Roman"/>
          <w:color w:val="auto"/>
          <w:kern w:val="2"/>
          <w:sz w:val="32"/>
          <w:szCs w:val="32"/>
          <w:lang w:val="en-US" w:eastAsia="zh-CN" w:bidi="ar-SA"/>
        </w:rPr>
        <w:t>.开展“祥说莹论”食品安全科普宣传。在天津市食品安全网、天津食安微信公众号发布食品安全知识宣传视频，普及食品安全知识，解答食品安全问题，提升公众食品安全意识。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cs="Times New Roman"/>
          <w:bCs/>
          <w:color w:val="000000" w:themeColor="text1"/>
          <w:kern w:val="0"/>
          <w:sz w:val="32"/>
          <w:szCs w:val="32"/>
          <w:lang w:val="zh-CN"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zh-CN" w:eastAsia="zh-CN" w:bidi="ar-SA"/>
          <w14:textFill>
            <w14:solidFill>
              <w14:schemeClr w14:val="tx1"/>
            </w14:solidFill>
          </w14:textFill>
        </w:rPr>
        <w:t>（二）</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市工信局开展的活动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32</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lang w:val="en-US" w:eastAsia="zh-CN"/>
        </w:rPr>
        <w:t>开展工业企业质量管理系列培训交流活动。围绕制造业可靠性、质量管理数字化、品牌培育管理体系等组织培训交流，推广</w:t>
      </w:r>
      <w:r>
        <w:rPr>
          <w:rFonts w:hint="default" w:ascii="仿宋_GB2312" w:eastAsia="仿宋_GB2312"/>
          <w:sz w:val="32"/>
          <w:szCs w:val="32"/>
          <w:lang w:val="en-US" w:eastAsia="zh-CN"/>
        </w:rPr>
        <w:t>先进质量管理方法</w:t>
      </w:r>
      <w:r>
        <w:rPr>
          <w:rFonts w:hint="eastAsia" w:ascii="仿宋_GB2312" w:eastAsia="仿宋_GB2312"/>
          <w:sz w:val="32"/>
          <w:szCs w:val="32"/>
          <w:lang w:val="en-US" w:eastAsia="zh-CN"/>
        </w:rPr>
        <w:t>和经验，提升企业质量管理水平。</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Times New Roman" w:hAnsi="Times New Roman" w:eastAsia="仿宋_GB2312" w:cs="Times New Roman"/>
          <w:sz w:val="32"/>
          <w:szCs w:val="32"/>
          <w:lang w:val="en" w:eastAsia="zh-CN"/>
        </w:rPr>
      </w:pPr>
      <w:r>
        <w:rPr>
          <w:rFonts w:hint="eastAsia" w:ascii="仿宋_GB2312" w:hAnsi="仿宋_GB2312" w:eastAsia="仿宋_GB2312" w:cs="仿宋_GB2312"/>
          <w:kern w:val="2"/>
          <w:sz w:val="32"/>
          <w:szCs w:val="32"/>
          <w:lang w:val="en-US" w:eastAsia="zh-CN" w:bidi="ar-SA"/>
        </w:rPr>
        <w:t>33.</w:t>
      </w:r>
      <w:r>
        <w:rPr>
          <w:rFonts w:hint="eastAsia" w:ascii="Times New Roman" w:hAnsi="Times New Roman" w:eastAsia="仿宋_GB2312" w:cs="Times New Roman"/>
          <w:sz w:val="32"/>
          <w:szCs w:val="32"/>
          <w:lang w:val="en-US" w:eastAsia="zh-CN"/>
        </w:rPr>
        <w:t>实施卓越质量工程。按照“贯标、培训、评估、复核”的总体工作安排，指导</w:t>
      </w:r>
      <w:r>
        <w:rPr>
          <w:rFonts w:hint="default" w:ascii="Times New Roman" w:hAnsi="Times New Roman" w:eastAsia="仿宋_GB2312" w:cs="Times New Roman"/>
          <w:sz w:val="32"/>
          <w:szCs w:val="32"/>
          <w:lang w:val="en-US" w:eastAsia="zh-CN"/>
        </w:rPr>
        <w:t>企业强化质量管理，应用专业质量管理工具和方法，</w:t>
      </w:r>
      <w:r>
        <w:rPr>
          <w:rFonts w:hint="eastAsia" w:ascii="Times New Roman" w:hAnsi="Times New Roman" w:eastAsia="仿宋_GB2312" w:cs="Times New Roman"/>
          <w:sz w:val="32"/>
          <w:szCs w:val="32"/>
          <w:lang w:val="en-US" w:eastAsia="zh-CN"/>
        </w:rPr>
        <w:t>开展质量管理能力分级评价，</w:t>
      </w:r>
      <w:r>
        <w:rPr>
          <w:rFonts w:hint="default" w:ascii="Times New Roman" w:hAnsi="Times New Roman" w:eastAsia="仿宋_GB2312" w:cs="Times New Roman"/>
          <w:sz w:val="32"/>
          <w:szCs w:val="32"/>
          <w:lang w:val="en-US" w:eastAsia="zh-CN"/>
        </w:rPr>
        <w:t>以评促改</w:t>
      </w:r>
      <w:r>
        <w:rPr>
          <w:rFonts w:hint="eastAsia" w:ascii="Times New Roman" w:hAnsi="Times New Roman" w:eastAsia="仿宋_GB2312" w:cs="Times New Roman"/>
          <w:sz w:val="32"/>
          <w:szCs w:val="32"/>
          <w:lang w:val="en-US" w:eastAsia="zh-CN"/>
        </w:rPr>
        <w:t>，提升企业质量管理能力。</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val="zh-CN"/>
          <w14:textFill>
            <w14:solidFill>
              <w14:schemeClr w14:val="tx1"/>
            </w14:solidFill>
          </w14:textFill>
        </w:rPr>
        <w:t>（三）</w:t>
      </w:r>
      <w:r>
        <w:rPr>
          <w:rFonts w:ascii="Times New Roman" w:hAnsi="黑体" w:eastAsia="黑体"/>
          <w:bCs/>
          <w:color w:val="000000" w:themeColor="text1"/>
          <w:kern w:val="0"/>
          <w:sz w:val="32"/>
          <w:szCs w:val="32"/>
          <w14:textFill>
            <w14:solidFill>
              <w14:schemeClr w14:val="tx1"/>
            </w14:solidFill>
          </w14:textFill>
        </w:rPr>
        <w:t>市商务</w:t>
      </w:r>
      <w:r>
        <w:rPr>
          <w:rFonts w:hint="eastAsia" w:ascii="Times New Roman" w:hAnsi="黑体" w:eastAsia="黑体"/>
          <w:bCs/>
          <w:color w:val="000000" w:themeColor="text1"/>
          <w:kern w:val="0"/>
          <w:sz w:val="32"/>
          <w:szCs w:val="32"/>
          <w14:textFill>
            <w14:solidFill>
              <w14:schemeClr w14:val="tx1"/>
            </w14:solidFill>
          </w14:textFill>
        </w:rPr>
        <w:t>局</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Times New Roman" w:hAnsi="黑体" w:eastAsia="黑体"/>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34</w:t>
      </w:r>
      <w:r>
        <w:rPr>
          <w:rFonts w:hint="eastAsia" w:ascii="Times New Roman" w:hAnsi="黑体" w:eastAsia="黑体"/>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联合市文明办开展“2024年度天津市诚信经营承诺店”活动</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组织开展第六批承诺店遴选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kern w:val="2"/>
          <w:sz w:val="32"/>
          <w:szCs w:val="32"/>
          <w:lang w:val="en-US" w:eastAsia="zh-CN" w:bidi="ar-SA"/>
        </w:rPr>
        <w:t>增强企业诚信经营意识，</w:t>
      </w:r>
      <w:r>
        <w:rPr>
          <w:rFonts w:hint="eastAsia" w:ascii="Times New Roman" w:hAnsi="Times New Roman" w:eastAsia="仿宋_GB2312" w:cs="Times New Roman"/>
          <w:kern w:val="2"/>
          <w:sz w:val="32"/>
          <w:szCs w:val="32"/>
          <w:lang w:val="en-US" w:eastAsia="zh-CN" w:bidi="ar-SA"/>
        </w:rPr>
        <w:t>促进</w:t>
      </w:r>
      <w:r>
        <w:rPr>
          <w:rFonts w:hint="default" w:ascii="Times New Roman" w:hAnsi="Times New Roman" w:eastAsia="仿宋_GB2312" w:cs="Times New Roman"/>
          <w:sz w:val="32"/>
          <w:szCs w:val="32"/>
          <w:lang w:val="en-US" w:eastAsia="zh-CN"/>
        </w:rPr>
        <w:t>百货零售、餐饮、家政等行业</w:t>
      </w:r>
      <w:r>
        <w:rPr>
          <w:rFonts w:hint="default" w:ascii="Times New Roman" w:hAnsi="Times New Roman" w:eastAsia="仿宋_GB2312" w:cs="Times New Roman"/>
          <w:kern w:val="2"/>
          <w:sz w:val="32"/>
          <w:szCs w:val="32"/>
          <w:lang w:val="en-US" w:eastAsia="zh-CN" w:bidi="ar-SA"/>
        </w:rPr>
        <w:t>服务质量提升。</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Times New Roman"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（四）</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14:textFill>
            <w14:solidFill>
              <w14:schemeClr w14:val="tx1"/>
            </w14:solidFill>
          </w14:textFill>
        </w:rPr>
        <w:t>住</w:t>
      </w:r>
      <w:r>
        <w:rPr>
          <w:rFonts w:ascii="Times New Roman" w:hAnsi="黑体" w:eastAsia="黑体"/>
          <w:bCs/>
          <w:color w:val="000000" w:themeColor="text1"/>
          <w:kern w:val="0"/>
          <w:sz w:val="32"/>
          <w:szCs w:val="32"/>
          <w14:textFill>
            <w14:solidFill>
              <w14:schemeClr w14:val="tx1"/>
            </w14:solidFill>
          </w14:textFill>
        </w:rPr>
        <w:t>建委开展的活动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35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lang w:val="en-US" w:eastAsia="zh-CN"/>
        </w:rPr>
        <w:t>组织开展 2024年全市住房城乡建设系统“质量月”现场观摩交流活动。展示一批优质工程、典型工法和创新案例，交流行业先进管理技术和经验，重点观摩工程质量管理标准化建设，推广数字化管理，以及新技术应用、智能建造、装配式建造、绿色施工、工程质量常见问题治理、优秀施工工法应用等经验做法，引导企业树牢质量第一意识，探索形成可复制、可推广的实践经验，推动我市建设工程质量持续稳定健康发展。</w:t>
      </w:r>
    </w:p>
    <w:p>
      <w:pPr>
        <w:pStyle w:val="10"/>
        <w:ind w:firstLine="64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36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kern w:val="2"/>
          <w:sz w:val="32"/>
          <w:szCs w:val="32"/>
          <w:lang w:val="en-US" w:eastAsia="zh-CN" w:bidi="ar-SA"/>
        </w:rPr>
        <w:t>在地铁7号线等项目开展质量提升专题宣讲培训。引导企业结合在建工程项目特点，以工程质量问题为导向，组织学习建设质量法律法规，狠抓企业内部质量控制和标准化管理，提升质量治理能力和治理水平，加大对质量常见问题防治措施的宣传力度，推广成熟适用的工艺工法，从源头上减少工程质量问题发生。</w:t>
      </w:r>
    </w:p>
    <w:p>
      <w:pPr>
        <w:ind w:firstLine="640" w:firstLineChars="200"/>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37</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举办建筑业技能比武</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加强与建筑业协会联动，在全市范围内组织开展建筑业技能“比武”活动</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通过高水平技能竞赛活动，宣传提高高品质工程技能竞赛的社会关注度，引导行业重视质量创优，促进工程质量不断提高。</w:t>
      </w:r>
    </w:p>
    <w:p>
      <w:pPr>
        <w:pStyle w:val="10"/>
        <w:ind w:firstLine="640" w:firstLineChars="200"/>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38</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组织开展</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建设工程领域</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第二次“双随机”质量监督执法检查</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重点检查参建各方责任主体的质量行为，建筑材料、构配件、预拌混凝土等工程实体质量以及落实《工程质量安全手册》制度、推进工程质量管理标准化工作情况，督促项目落实参建各方主体责任，进一步提升施工技术和质量管理水平，强化关键岗位、关键工序、关键节点的质量控制，持续推进工程质量风险分级管控，严厉打击影响工程质量的违法违规行为。</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（五）</w:t>
      </w:r>
      <w:r>
        <w:rPr>
          <w:rFonts w:ascii="Times New Roman" w:hAnsi="黑体" w:eastAsia="黑体"/>
          <w:bCs/>
          <w:color w:val="000000" w:themeColor="text1"/>
          <w:kern w:val="0"/>
          <w:sz w:val="32"/>
          <w:szCs w:val="32"/>
          <w14:textFill>
            <w14:solidFill>
              <w14:schemeClr w14:val="tx1"/>
            </w14:solidFill>
          </w14:textFill>
        </w:rPr>
        <w:t>市农</w:t>
      </w:r>
      <w:r>
        <w:rPr>
          <w:rFonts w:hint="eastAsia" w:ascii="Times New Roman" w:hAnsi="黑体" w:eastAsia="黑体"/>
          <w:bCs/>
          <w:color w:val="000000" w:themeColor="text1"/>
          <w:kern w:val="0"/>
          <w:sz w:val="32"/>
          <w:szCs w:val="32"/>
          <w14:textFill>
            <w14:solidFill>
              <w14:schemeClr w14:val="tx1"/>
            </w14:solidFill>
          </w14:textFill>
        </w:rPr>
        <w:t>业农村</w:t>
      </w:r>
      <w:r>
        <w:rPr>
          <w:rFonts w:ascii="Times New Roman" w:hAnsi="黑体" w:eastAsia="黑体"/>
          <w:bCs/>
          <w:color w:val="000000" w:themeColor="text1"/>
          <w:kern w:val="0"/>
          <w:sz w:val="32"/>
          <w:szCs w:val="32"/>
          <w14:textFill>
            <w14:solidFill>
              <w14:schemeClr w14:val="tx1"/>
            </w14:solidFill>
          </w14:textFill>
        </w:rPr>
        <w:t>委开展的活动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u w:val="none"/>
          <w:vertAlign w:val="baseline"/>
          <w:lang w:val="en-US" w:eastAsia="zh-CN"/>
        </w:rPr>
      </w:pPr>
      <w:r>
        <w:rPr>
          <w:rFonts w:hint="eastAsia" w:ascii="仿宋_GB2312" w:hAnsi="仿宋_GB2312" w:eastAsia="仿宋_GB2312" w:cs="仿宋_GB2312"/>
          <w:kern w:val="2"/>
          <w:sz w:val="32"/>
          <w:szCs w:val="32"/>
          <w:lang w:val="en-US" w:eastAsia="zh-CN" w:bidi="ar-SA"/>
        </w:rPr>
        <w:t>39</w:t>
      </w:r>
      <w:r>
        <w:rPr>
          <w:rFonts w:hint="eastAsia" w:ascii="Times New Roman" w:hAnsi="Times New Roman" w:eastAsia="黑体"/>
          <w:bCs/>
          <w:color w:val="000000" w:themeColor="text1"/>
          <w:kern w:val="0"/>
          <w:sz w:val="32"/>
          <w:szCs w:val="32"/>
          <w:lang w:val="en-US" w:eastAsia="zh-CN"/>
          <w14:textFill>
            <w14:solidFill>
              <w14:schemeClr w14:val="tx1"/>
            </w14:solidFill>
          </w14:textFill>
        </w:rPr>
        <w:t>.</w:t>
      </w:r>
      <w:r>
        <w:rPr>
          <w:rFonts w:hint="eastAsia" w:ascii="仿宋_GB2312" w:hAnsi="黑体" w:eastAsia="仿宋_GB2312"/>
          <w:sz w:val="32"/>
          <w:szCs w:val="32"/>
          <w:u w:val="none"/>
          <w:vertAlign w:val="baseline"/>
          <w:lang w:val="en-US" w:eastAsia="zh-CN"/>
        </w:rPr>
        <w:t>开展农产品质量安全法等普法宣传活动。强化日常宣传指导，采取进村入户等方式，坚持“三个面向”，通过专家解读、专题培训、标语横幅、短视频、“明白纸”等丰富多样的形式，营造良好的法律宣传氛围。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u w:val="none"/>
          <w:vertAlign w:val="baseline"/>
          <w:lang w:val="en-US" w:eastAsia="zh-CN"/>
        </w:rPr>
      </w:pPr>
      <w:r>
        <w:rPr>
          <w:rFonts w:hint="eastAsia" w:ascii="仿宋_GB2312" w:hAnsi="仿宋_GB2312" w:eastAsia="仿宋_GB2312" w:cs="仿宋_GB2312"/>
          <w:kern w:val="2"/>
          <w:sz w:val="32"/>
          <w:szCs w:val="32"/>
          <w:lang w:val="en-US" w:eastAsia="zh-CN" w:bidi="ar-SA"/>
        </w:rPr>
        <w:t>40</w:t>
      </w:r>
      <w:r>
        <w:rPr>
          <w:rFonts w:hint="default" w:ascii="仿宋_GB2312" w:hAnsi="黑体" w:eastAsia="仿宋_GB2312"/>
          <w:sz w:val="32"/>
          <w:szCs w:val="32"/>
          <w:u w:val="none"/>
          <w:vertAlign w:val="baseline"/>
          <w:lang w:val="en" w:eastAsia="zh-CN"/>
        </w:rPr>
        <w:t>.</w:t>
      </w:r>
      <w:r>
        <w:rPr>
          <w:rFonts w:hint="eastAsia" w:ascii="仿宋_GB2312" w:hAnsi="黑体" w:eastAsia="仿宋_GB2312"/>
          <w:sz w:val="32"/>
          <w:szCs w:val="32"/>
          <w:u w:val="none"/>
          <w:vertAlign w:val="baseline"/>
          <w:lang w:val="en" w:eastAsia="zh-CN"/>
        </w:rPr>
        <w:t>开展</w:t>
      </w:r>
      <w:r>
        <w:rPr>
          <w:rFonts w:hint="eastAsia" w:ascii="仿宋_GB2312" w:hAnsi="黑体" w:eastAsia="仿宋_GB2312"/>
          <w:sz w:val="32"/>
          <w:szCs w:val="32"/>
          <w:u w:val="none"/>
          <w:vertAlign w:val="baseline"/>
          <w:lang w:val="en-US" w:eastAsia="zh-CN"/>
        </w:rPr>
        <w:t>农产品质量安全监督抽查。</w:t>
      </w:r>
      <w:r>
        <w:rPr>
          <w:rFonts w:hint="eastAsia" w:ascii="仿宋_GB2312" w:hAnsi="黑体" w:eastAsia="仿宋_GB2312"/>
          <w:sz w:val="32"/>
          <w:szCs w:val="32"/>
          <w:lang w:val="en-US" w:eastAsia="zh-CN"/>
        </w:rPr>
        <w:t>按照</w:t>
      </w:r>
      <w:r>
        <w:rPr>
          <w:rFonts w:hint="eastAsia" w:ascii="仿宋_GB2312" w:eastAsia="仿宋_GB2312"/>
          <w:sz w:val="32"/>
          <w:szCs w:val="32"/>
          <w:lang w:eastAsia="zh-CN"/>
        </w:rPr>
        <w:t>年度</w:t>
      </w:r>
      <w:r>
        <w:rPr>
          <w:rFonts w:hint="eastAsia" w:ascii="仿宋_GB2312" w:eastAsia="仿宋_GB2312"/>
          <w:sz w:val="32"/>
          <w:szCs w:val="32"/>
        </w:rPr>
        <w:t>监督抽查工作方案</w:t>
      </w:r>
      <w:r>
        <w:rPr>
          <w:rFonts w:hint="eastAsia" w:ascii="仿宋_GB2312" w:eastAsia="仿宋_GB2312"/>
          <w:sz w:val="32"/>
          <w:szCs w:val="32"/>
          <w:lang w:eastAsia="zh-CN"/>
        </w:rPr>
        <w:t>规定的监测指标和检验方法，</w:t>
      </w:r>
      <w:r>
        <w:rPr>
          <w:rFonts w:hint="eastAsia" w:ascii="仿宋_GB2312" w:eastAsia="仿宋_GB2312"/>
          <w:sz w:val="32"/>
          <w:szCs w:val="32"/>
          <w:lang w:val="en-US" w:eastAsia="zh-CN"/>
        </w:rPr>
        <w:t>进行定量监测</w:t>
      </w:r>
      <w:r>
        <w:rPr>
          <w:rFonts w:hint="eastAsia" w:ascii="仿宋_GB2312" w:hAnsi="仿宋_GB2312" w:eastAsia="仿宋_GB2312" w:cs="仿宋_GB2312"/>
          <w:sz w:val="32"/>
          <w:szCs w:val="32"/>
          <w:lang w:val="en-US" w:eastAsia="zh-CN"/>
        </w:rPr>
        <w:t>。每个涉农区监测数量不低于</w:t>
      </w:r>
      <w:r>
        <w:rPr>
          <w:rFonts w:hint="eastAsia" w:ascii="仿宋_GB2312" w:eastAsia="仿宋_GB2312"/>
          <w:sz w:val="32"/>
          <w:szCs w:val="32"/>
          <w:lang w:val="en-US" w:eastAsia="zh-CN"/>
        </w:rPr>
        <w:t>100</w:t>
      </w:r>
      <w:r>
        <w:rPr>
          <w:rFonts w:hint="eastAsia" w:ascii="仿宋_GB2312" w:hAnsi="仿宋_GB2312" w:eastAsia="仿宋_GB2312" w:cs="仿宋_GB2312"/>
          <w:sz w:val="32"/>
          <w:szCs w:val="32"/>
          <w:lang w:val="en-US" w:eastAsia="zh-CN"/>
        </w:rPr>
        <w:t>批次，监测范围包括所有类型农产品生产主体，</w:t>
      </w:r>
      <w:r>
        <w:rPr>
          <w:rFonts w:hint="eastAsia" w:ascii="仿宋_GB2312" w:hAnsi="黑体" w:eastAsia="仿宋_GB2312"/>
          <w:sz w:val="32"/>
          <w:szCs w:val="32"/>
          <w:u w:val="none"/>
          <w:vertAlign w:val="baseline"/>
          <w:lang w:val="en-US" w:eastAsia="zh-CN"/>
        </w:rPr>
        <w:t>监测品种包</w:t>
      </w:r>
      <w:r>
        <w:rPr>
          <w:rFonts w:hint="eastAsia" w:ascii="仿宋_GB2312" w:hAnsi="仿宋_GB2312" w:eastAsia="仿宋_GB2312" w:cs="仿宋_GB2312"/>
          <w:sz w:val="32"/>
          <w:szCs w:val="32"/>
          <w:lang w:val="en-US" w:eastAsia="zh-CN"/>
        </w:rPr>
        <w:t>括</w:t>
      </w:r>
      <w:r>
        <w:rPr>
          <w:rFonts w:hint="eastAsia" w:ascii="仿宋_GB2312" w:hAnsi="黑体" w:eastAsia="仿宋_GB2312"/>
          <w:sz w:val="32"/>
          <w:szCs w:val="32"/>
          <w:u w:val="none"/>
          <w:vertAlign w:val="baseline"/>
          <w:lang w:val="en-US" w:eastAsia="zh-CN"/>
        </w:rPr>
        <w:t>豇豆、水产等重点整治品种。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b/>
          <w:bCs/>
          <w:sz w:val="32"/>
          <w:szCs w:val="32"/>
        </w:rPr>
      </w:pPr>
      <w:r>
        <w:rPr>
          <w:rFonts w:hint="eastAsia" w:ascii="仿宋_GB2312" w:hAnsi="仿宋_GB2312" w:eastAsia="仿宋_GB2312" w:cs="仿宋_GB2312"/>
          <w:kern w:val="2"/>
          <w:sz w:val="32"/>
          <w:szCs w:val="32"/>
          <w:lang w:val="en-US" w:eastAsia="zh-CN" w:bidi="ar-SA"/>
        </w:rPr>
        <w:t>41</w:t>
      </w:r>
      <w:r>
        <w:rPr>
          <w:rFonts w:hint="default" w:ascii="仿宋_GB2312" w:hAnsi="黑体" w:eastAsia="仿宋_GB2312"/>
          <w:sz w:val="32"/>
          <w:szCs w:val="32"/>
          <w:u w:val="none"/>
          <w:vertAlign w:val="baseline"/>
          <w:lang w:val="en" w:eastAsia="zh-CN"/>
        </w:rPr>
        <w:t>.</w:t>
      </w:r>
      <w:r>
        <w:rPr>
          <w:rFonts w:hint="eastAsia" w:ascii="仿宋_GB2312" w:hAnsi="黑体" w:eastAsia="仿宋_GB2312"/>
          <w:sz w:val="32"/>
          <w:szCs w:val="32"/>
          <w:u w:val="none"/>
          <w:vertAlign w:val="baseline"/>
          <w:lang w:val="en-US" w:eastAsia="zh-CN"/>
        </w:rPr>
        <w:t>开展农安县创建成果宣传活动。对已命名为“国家农产品质量安全县”的区，持续开展“亮牌”活动，于主要道路、单位、公园、公交站、生产经营主体、网站等，宣传创建成果、推介优质产品、展示农安良好形象。</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（六）市</w:t>
      </w:r>
      <w:r>
        <w:rPr>
          <w:rFonts w:hint="eastAsia" w:ascii="Times New Roman" w:hAnsi="黑体" w:eastAsia="黑体"/>
          <w:bCs/>
          <w:color w:val="000000" w:themeColor="text1"/>
          <w:kern w:val="0"/>
          <w:sz w:val="32"/>
          <w:szCs w:val="32"/>
          <w:lang w:eastAsia="zh-CN"/>
          <w14:textFill>
            <w14:solidFill>
              <w14:schemeClr w14:val="tx1"/>
            </w14:solidFill>
          </w14:textFill>
        </w:rPr>
        <w:t>卫健委</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u w:val="none"/>
          <w:vertAlign w:val="baseline"/>
          <w:lang w:val="en-US" w:eastAsia="zh-CN"/>
        </w:rPr>
      </w:pPr>
      <w:r>
        <w:rPr>
          <w:rFonts w:hint="eastAsia" w:ascii="仿宋_GB2312" w:hAnsi="仿宋_GB2312" w:eastAsia="仿宋_GB2312" w:cs="仿宋_GB2312"/>
          <w:kern w:val="2"/>
          <w:sz w:val="32"/>
          <w:szCs w:val="32"/>
          <w:lang w:val="en-US" w:eastAsia="zh-CN" w:bidi="ar-SA"/>
        </w:rPr>
        <w:t>42</w:t>
      </w:r>
      <w:r>
        <w:rPr>
          <w:rFonts w:hint="eastAsia" w:ascii="仿宋_GB2312" w:hAnsi="黑体" w:eastAsia="仿宋_GB2312"/>
          <w:sz w:val="32"/>
          <w:szCs w:val="32"/>
          <w:u w:val="none"/>
          <w:vertAlign w:val="baseline"/>
          <w:lang w:val="en" w:eastAsia="zh-CN"/>
        </w:rPr>
        <w:t>.</w:t>
      </w:r>
      <w:r>
        <w:rPr>
          <w:rFonts w:hint="eastAsia" w:ascii="仿宋_GB2312" w:hAnsi="黑体" w:eastAsia="仿宋_GB2312"/>
          <w:sz w:val="32"/>
          <w:szCs w:val="32"/>
          <w:u w:val="none"/>
          <w:vertAlign w:val="baseline"/>
          <w:lang w:val="en-US" w:eastAsia="zh-CN"/>
        </w:rPr>
        <w:t>深入推进“优质服务基层行”活动。进一步扩大推荐标准达标机构数量，发挥示范引领作用，提升基层医疗卫生机构服务质量。探索建立基层巡查工作制度，研究基层医疗卫生机构巡查工作方案。</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（七）</w:t>
      </w:r>
      <w:r>
        <w:rPr>
          <w:rFonts w:hint="default" w:ascii="Nimbus Roman No9 L" w:hAnsi="Nimbus Roman No9 L" w:eastAsia="黑体" w:cs="Nimbus Roman No9 L"/>
          <w:bCs/>
          <w:color w:val="000000" w:themeColor="text1"/>
          <w:kern w:val="0"/>
          <w:sz w:val="32"/>
          <w:szCs w:val="32"/>
          <w14:textFill>
            <w14:solidFill>
              <w14:schemeClr w14:val="tx1"/>
            </w14:solidFill>
          </w14:textFill>
        </w:rPr>
        <w:t>市交通运输委开展的活动</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43</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组织开展农村公路工程质量帮扶活动。针对在建农村公路建设项目开展支队经验交流及现场检查指导，重点对工程实体质量、试验检测、资料制作等过程进行帮扶指导，推动提升区级质量监督机构能力建设，保证农村公路工程质量平稳可控。</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44</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.开展公路工程建设成果推广宣传活动。发布“津牌品质”公路水运平安百年品质工程创建成果汇编及推广应用清单，示范指导我市公路工程平安百年品质工程建设，促进工程质量安全水平全面提升。</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45</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.举办</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“津牌品质大讲堂”</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。通过行业专家授课、项目总工互动、技术骨干交流、技术帮扶等方式，提升工程参建单位全员质量安全意识及技术水平，推动公路工程建设技术创新，助力实现平安百年品质工程建设目标。</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kern w:val="2"/>
          <w:sz w:val="32"/>
          <w:szCs w:val="32"/>
          <w:u w:val="none"/>
          <w:vertAlign w:val="baseline"/>
          <w:lang w:val="en-US" w:eastAsia="zh-CN" w:bidi="ar-SA"/>
        </w:rPr>
        <w:t>46</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组织召开</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交通运输系统</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质量政策宣贯暨质量基础设施能力建设技术交流会</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。解读《天津市质量强市建设纲要》等政策，</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持续</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推进交通运输工程建设领域质量基础设施能力提升，切实发挥质量基础设施保障作用。</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kern w:val="2"/>
          <w:sz w:val="32"/>
          <w:szCs w:val="32"/>
          <w:u w:val="none"/>
          <w:vertAlign w:val="baseline"/>
          <w:lang w:val="en-US" w:eastAsia="zh-CN" w:bidi="ar-SA"/>
        </w:rPr>
        <w:t>47</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开展设备溯源有效性检查等工作</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。市</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交科院牵头配合行业监督管理部门组织全市公路行业</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相关</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试验检测单位</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开展</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沥青主要指标检测能力比对试验及统计分析。</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kern w:val="2"/>
          <w:sz w:val="32"/>
          <w:szCs w:val="32"/>
          <w:u w:val="none"/>
          <w:vertAlign w:val="baseline"/>
          <w:lang w:val="en-US" w:eastAsia="zh-CN" w:bidi="ar-SA"/>
        </w:rPr>
        <w:t>48</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.开展</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轨道交通</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服务月特色活动。征集质量意见、加强开学季服务保障，展示质量提升、质量攻关、“微创新”活动优秀成果，组织地铁应急、地铁运营运作、安全乘车、开学第一讲等科普活动，擦亮天津地铁服务品牌。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Nimbus Roman No9 L" w:hAnsi="Nimbus Roman No9 L" w:eastAsia="黑体" w:cs="Nimbus Roman No9 L"/>
          <w:bCs/>
          <w:color w:val="000000" w:themeColor="text1"/>
          <w:kern w:val="0"/>
          <w:sz w:val="32"/>
          <w:szCs w:val="32"/>
          <w14:textFill>
            <w14:solidFill>
              <w14:schemeClr w14:val="tx1"/>
            </w14:solidFill>
          </w14:textFill>
        </w:rPr>
      </w:pPr>
      <w:r>
        <w:rPr>
          <w:rFonts w:hint="default" w:ascii="Nimbus Roman No9 L" w:hAnsi="Nimbus Roman No9 L" w:eastAsia="黑体" w:cs="Nimbus Roman No9 L"/>
          <w:bCs/>
          <w:color w:val="000000" w:themeColor="text1"/>
          <w:kern w:val="0"/>
          <w:sz w:val="32"/>
          <w:szCs w:val="32"/>
          <w14:textFill>
            <w14:solidFill>
              <w14:schemeClr w14:val="tx1"/>
            </w14:solidFill>
          </w14:textFill>
        </w:rPr>
        <w:t>（八）</w:t>
      </w:r>
      <w:r>
        <w:rPr>
          <w:rFonts w:hint="default" w:ascii="Nimbus Roman No9 L" w:hAnsi="Nimbus Roman No9 L" w:eastAsia="黑体" w:cs="Nimbus Roman No9 L"/>
          <w:bCs/>
          <w:color w:val="000000" w:themeColor="text1"/>
          <w:kern w:val="0"/>
          <w:sz w:val="32"/>
          <w:szCs w:val="32"/>
          <w:lang w:eastAsia="zh-CN"/>
          <w14:textFill>
            <w14:solidFill>
              <w14:schemeClr w14:val="tx1"/>
            </w14:solidFill>
          </w14:textFill>
        </w:rPr>
        <w:t>市文旅局</w:t>
      </w:r>
      <w:r>
        <w:rPr>
          <w:rFonts w:hint="default" w:ascii="Nimbus Roman No9 L" w:hAnsi="Nimbus Roman No9 L" w:eastAsia="黑体" w:cs="Nimbus Roman No9 L"/>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49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开展旅行社经营单位“双随机、一公开”执法检查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依托全国文化市场技术监管与服务平台和天津市“双随机、一公开”监管工作平台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val="en-US" w:eastAsia="zh-CN"/>
        </w:rPr>
        <w:t>旅游企业</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对检查中发现的各类违法违规行为，依法严格惩处，形成有效震慑，增强旅游市场主体依法经营的自觉性。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_GB2312" w:hAnsi="黑体" w:eastAsia="仿宋_GB2312" w:cs="Times New Roman"/>
          <w:kern w:val="2"/>
          <w:sz w:val="32"/>
          <w:szCs w:val="32"/>
          <w:u w:val="none"/>
          <w:vertAlign w:val="baseline"/>
          <w:lang w:val="en-US" w:eastAsia="zh-CN" w:bidi="ar-SA"/>
        </w:rPr>
        <w:t>50</w:t>
      </w:r>
      <w:r>
        <w:rPr>
          <w:rFonts w:hint="eastAsia" w:ascii="Times New Roman" w:hAnsi="Times New Roman" w:eastAsia="仿宋_GB2312" w:cs="Times New Roman"/>
          <w:sz w:val="32"/>
          <w:szCs w:val="32"/>
          <w:lang w:val="en-US" w:eastAsia="zh-CN"/>
        </w:rPr>
        <w:t>.开展A级景区安全生产执法检查。</w:t>
      </w:r>
      <w:r>
        <w:rPr>
          <w:rFonts w:hint="default" w:ascii="Times New Roman" w:hAnsi="Times New Roman" w:eastAsia="仿宋_GB2312" w:cs="Times New Roman"/>
          <w:sz w:val="32"/>
          <w:szCs w:val="32"/>
          <w:lang w:val="en-US" w:eastAsia="zh-CN"/>
        </w:rPr>
        <w:t>重点检查A级景区应急预案建立及执行情况、设备定期检验情况、警示标志张贴情况、景区内外旅游客运安全是否存在隐患、导游资质和旅游团队合同等相关内容，为广大市民游客安全出游提供保障。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_GB2312" w:hAnsi="黑体" w:eastAsia="仿宋_GB2312" w:cs="Times New Roman"/>
          <w:kern w:val="2"/>
          <w:sz w:val="32"/>
          <w:szCs w:val="32"/>
          <w:u w:val="none"/>
          <w:vertAlign w:val="baseline"/>
          <w:lang w:val="en-US" w:eastAsia="zh-CN" w:bidi="ar-SA"/>
        </w:rPr>
        <w:t>51</w:t>
      </w:r>
      <w:r>
        <w:rPr>
          <w:rFonts w:hint="eastAsia" w:ascii="Times New Roman" w:hAnsi="Times New Roman" w:eastAsia="仿宋_GB2312" w:cs="Times New Roman"/>
          <w:sz w:val="32"/>
          <w:szCs w:val="32"/>
          <w:lang w:val="en-US" w:eastAsia="zh-CN"/>
        </w:rPr>
        <w:t>.开展旅游市场秩序专项整治活动。</w:t>
      </w:r>
      <w:r>
        <w:rPr>
          <w:rFonts w:hint="default" w:ascii="Times New Roman" w:hAnsi="Times New Roman" w:eastAsia="仿宋_GB2312" w:cs="Times New Roman"/>
          <w:sz w:val="32"/>
          <w:szCs w:val="32"/>
          <w:lang w:val="en-US" w:eastAsia="zh-CN"/>
        </w:rPr>
        <w:t>重点整治“不合理低价游”、未经许可经营旅行社业务、不签订旅游合同等违法违规经营行为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规范旅游市场秩序，维护旅游者合法权益，营造</w:t>
      </w:r>
      <w:r>
        <w:rPr>
          <w:rFonts w:hint="default" w:ascii="Times New Roman" w:hAnsi="Times New Roman" w:eastAsia="仿宋_GB2312" w:cs="Times New Roman"/>
          <w:sz w:val="32"/>
          <w:szCs w:val="32"/>
          <w:lang w:eastAsia="zh-CN"/>
        </w:rPr>
        <w:t>旅游业高质量发展</w:t>
      </w:r>
      <w:r>
        <w:rPr>
          <w:rFonts w:hint="default" w:ascii="Times New Roman" w:hAnsi="Times New Roman" w:eastAsia="仿宋_GB2312" w:cs="Times New Roman"/>
          <w:sz w:val="32"/>
          <w:szCs w:val="32"/>
          <w:lang w:val="en-US" w:eastAsia="zh-CN"/>
        </w:rPr>
        <w:t>市场环境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rPr>
      </w:pPr>
      <w:r>
        <w:rPr>
          <w:rFonts w:hint="default" w:ascii="Times New Roman" w:hAnsi="黑体" w:eastAsia="黑体"/>
          <w:bCs/>
          <w:color w:val="000000" w:themeColor="text1"/>
          <w:kern w:val="0"/>
          <w:sz w:val="32"/>
          <w:szCs w:val="32"/>
          <w:lang w:val="en" w:eastAsia="zh-CN"/>
          <w14:textFill>
            <w14:solidFill>
              <w14:schemeClr w14:val="tx1"/>
            </w14:solidFill>
          </w14:textFill>
        </w:rPr>
        <w:t>(</w:t>
      </w:r>
      <w:r>
        <w:rPr>
          <w:rFonts w:hint="eastAsia" w:ascii="Times New Roman" w:hAnsi="黑体" w:eastAsia="黑体"/>
          <w:bCs/>
          <w:color w:val="000000" w:themeColor="text1"/>
          <w:kern w:val="0"/>
          <w:sz w:val="32"/>
          <w:szCs w:val="32"/>
          <w:lang w:val="en" w:eastAsia="zh-CN"/>
          <w14:textFill>
            <w14:solidFill>
              <w14:schemeClr w14:val="tx1"/>
            </w14:solidFill>
          </w14:textFill>
        </w:rPr>
        <w:t>九</w:t>
      </w:r>
      <w:r>
        <w:rPr>
          <w:rFonts w:hint="default" w:ascii="Times New Roman" w:hAnsi="黑体" w:eastAsia="黑体"/>
          <w:bCs/>
          <w:color w:val="000000" w:themeColor="text1"/>
          <w:kern w:val="0"/>
          <w:sz w:val="32"/>
          <w:szCs w:val="32"/>
          <w:lang w:val="en" w:eastAsia="zh-CN"/>
          <w14:textFill>
            <w14:solidFill>
              <w14:schemeClr w14:val="tx1"/>
            </w14:solidFill>
          </w14:textFill>
        </w:rPr>
        <w:t xml:space="preserve"> )</w:t>
      </w:r>
      <w:r>
        <w:rPr>
          <w:rFonts w:hint="eastAsia" w:ascii="Times New Roman" w:hAnsi="黑体" w:eastAsia="黑体"/>
          <w:bCs/>
          <w:color w:val="000000" w:themeColor="text1"/>
          <w:kern w:val="0"/>
          <w:sz w:val="32"/>
          <w:szCs w:val="32"/>
          <w:lang w:val="en-US" w:eastAsia="zh-CN"/>
          <w14:textFill>
            <w14:solidFill>
              <w14:schemeClr w14:val="tx1"/>
            </w14:solidFill>
          </w14:textFill>
        </w:rPr>
        <w:t>市民政局</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cs="Times New Roman"/>
          <w:kern w:val="2"/>
          <w:sz w:val="32"/>
          <w:szCs w:val="32"/>
          <w:u w:val="none"/>
          <w:vertAlign w:val="baseline"/>
          <w:lang w:val="en-US" w:eastAsia="zh-CN" w:bidi="ar-SA"/>
        </w:rPr>
        <w:t>5</w:t>
      </w:r>
      <w:r>
        <w:rPr>
          <w:rFonts w:hint="default" w:ascii="仿宋_GB2312" w:hAnsi="黑体" w:eastAsia="仿宋_GB2312" w:cs="Times New Roman"/>
          <w:kern w:val="2"/>
          <w:sz w:val="32"/>
          <w:szCs w:val="32"/>
          <w:u w:val="none"/>
          <w:vertAlign w:val="baseline"/>
          <w:lang w:val="en" w:eastAsia="zh-CN" w:bidi="ar-SA"/>
        </w:rPr>
        <w:t>2</w:t>
      </w:r>
      <w:r>
        <w:rPr>
          <w:rFonts w:hint="eastAsia" w:ascii="仿宋_GB2312" w:hAnsi="仿宋_GB2312" w:eastAsia="仿宋_GB2312" w:cs="仿宋_GB2312"/>
          <w:sz w:val="32"/>
          <w:szCs w:val="32"/>
          <w:lang w:val="en-US" w:eastAsia="zh-CN"/>
        </w:rPr>
        <w:t>.开展养老机构“为老服务质量月”建设宣传活动。结合集中整治“群众身边不正之风和腐败问题”，提升养老机构服务质量和水平。</w:t>
      </w:r>
    </w:p>
    <w:p>
      <w:pPr>
        <w:pStyle w:val="11"/>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邮政局开展的活动</w:t>
      </w:r>
    </w:p>
    <w:p>
      <w:pPr>
        <w:pStyle w:val="11"/>
        <w:keepNext w:val="0"/>
        <w:keepLines w:val="0"/>
        <w:pageBreakBefore w:val="0"/>
        <w:numPr>
          <w:ilvl w:val="0"/>
          <w:numId w:val="0"/>
        </w:numPr>
        <w:kinsoku/>
        <w:wordWrap/>
        <w:topLinePunct w:val="0"/>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仿宋_GB2312" w:hAnsi="黑体" w:eastAsia="仿宋_GB2312" w:cs="Times New Roman"/>
          <w:kern w:val="2"/>
          <w:sz w:val="32"/>
          <w:szCs w:val="32"/>
          <w:u w:val="none"/>
          <w:vertAlign w:val="baseline"/>
          <w:lang w:val="en" w:eastAsia="zh-CN" w:bidi="ar-SA"/>
        </w:rPr>
        <w:t>53</w:t>
      </w:r>
      <w:r>
        <w:rPr>
          <w:rFonts w:hint="eastAsia" w:ascii="Times New Roman" w:hAnsi="Times New Roman" w:eastAsia="仿宋_GB2312" w:cs="Times New Roman"/>
          <w:sz w:val="32"/>
          <w:szCs w:val="32"/>
          <w:lang w:val="en-US" w:eastAsia="zh-CN"/>
        </w:rPr>
        <w:t>.开展邮政系统质量主题宣传活动。全方位、多层次、多渠道</w:t>
      </w:r>
      <w:r>
        <w:rPr>
          <w:rFonts w:hint="default" w:ascii="Times New Roman" w:hAnsi="Times New Roman" w:eastAsia="仿宋_GB2312" w:cs="Times New Roman"/>
          <w:sz w:val="32"/>
          <w:szCs w:val="32"/>
          <w:lang w:val="en-US" w:eastAsia="zh-CN"/>
        </w:rPr>
        <w:t>宣</w:t>
      </w:r>
      <w:r>
        <w:rPr>
          <w:rFonts w:hint="eastAsia" w:ascii="Times New Roman" w:hAnsi="Times New Roman" w:eastAsia="仿宋_GB2312" w:cs="Times New Roman"/>
          <w:sz w:val="32"/>
          <w:szCs w:val="32"/>
          <w:lang w:val="en-US" w:eastAsia="zh-CN"/>
        </w:rPr>
        <w:t>传贯彻</w:t>
      </w:r>
      <w:r>
        <w:rPr>
          <w:rFonts w:hint="default" w:ascii="Times New Roman" w:hAnsi="Times New Roman" w:eastAsia="仿宋_GB2312" w:cs="Times New Roman"/>
          <w:sz w:val="32"/>
          <w:szCs w:val="32"/>
          <w:lang w:val="en-US" w:eastAsia="zh-CN"/>
        </w:rPr>
        <w:t>行业法律法规</w:t>
      </w:r>
      <w:r>
        <w:rPr>
          <w:rFonts w:hint="eastAsia" w:ascii="Times New Roman" w:hAnsi="Times New Roman" w:eastAsia="仿宋_GB2312" w:cs="Times New Roman"/>
          <w:sz w:val="32"/>
          <w:szCs w:val="32"/>
          <w:lang w:val="en-US" w:eastAsia="zh-CN"/>
        </w:rPr>
        <w:t>、现场受理群众诉求，增强全行业“质量第一”意识，形成推进高质量发展强大合力。</w:t>
      </w:r>
    </w:p>
    <w:p>
      <w:pPr>
        <w:pStyle w:val="11"/>
        <w:keepNext w:val="0"/>
        <w:keepLines w:val="0"/>
        <w:pageBreakBefore w:val="0"/>
        <w:numPr>
          <w:ilvl w:val="0"/>
          <w:numId w:val="0"/>
        </w:numPr>
        <w:kinsoku/>
        <w:wordWrap/>
        <w:topLinePunct w:val="0"/>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仿宋_GB2312" w:hAnsi="黑体" w:eastAsia="仿宋_GB2312" w:cs="Times New Roman"/>
          <w:kern w:val="2"/>
          <w:sz w:val="32"/>
          <w:szCs w:val="32"/>
          <w:u w:val="none"/>
          <w:vertAlign w:val="baseline"/>
          <w:lang w:val="en" w:eastAsia="zh-CN" w:bidi="ar-SA"/>
        </w:rPr>
        <w:t>54</w:t>
      </w:r>
      <w:r>
        <w:rPr>
          <w:rFonts w:hint="eastAsia" w:ascii="Times New Roman" w:hAnsi="Times New Roman" w:eastAsia="仿宋_GB2312" w:cs="Times New Roman"/>
          <w:sz w:val="32"/>
          <w:szCs w:val="32"/>
          <w:lang w:val="en-US" w:eastAsia="zh-CN"/>
        </w:rPr>
        <w:t>.开展寄递服务质量提升行动。加强快递服务规范经营、投诉处理不规范等问题的整改整治。</w:t>
      </w:r>
    </w:p>
    <w:p>
      <w:pPr>
        <w:pStyle w:val="11"/>
        <w:keepNext w:val="0"/>
        <w:keepLines w:val="0"/>
        <w:pageBreakBefore w:val="0"/>
        <w:numPr>
          <w:ilvl w:val="0"/>
          <w:numId w:val="0"/>
        </w:numPr>
        <w:kinsoku/>
        <w:wordWrap/>
        <w:topLinePunct w:val="0"/>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仿宋_GB2312" w:hAnsi="黑体" w:eastAsia="仿宋_GB2312" w:cs="Times New Roman"/>
          <w:kern w:val="2"/>
          <w:sz w:val="32"/>
          <w:szCs w:val="32"/>
          <w:u w:val="none"/>
          <w:vertAlign w:val="baseline"/>
          <w:lang w:val="en" w:eastAsia="zh-CN" w:bidi="ar-SA"/>
        </w:rPr>
        <w:t>55</w:t>
      </w:r>
      <w:r>
        <w:rPr>
          <w:rFonts w:hint="eastAsia" w:ascii="Times New Roman" w:hAnsi="Times New Roman" w:eastAsia="仿宋_GB2312" w:cs="Times New Roman"/>
          <w:sz w:val="32"/>
          <w:szCs w:val="32"/>
          <w:lang w:val="en-US" w:eastAsia="zh-CN"/>
        </w:rPr>
        <w:t>.开展邮政服务质量监管执法检查。广泛收集问题线索，依法从严查处违法行为，</w:t>
      </w:r>
      <w:r>
        <w:rPr>
          <w:rFonts w:hint="default" w:ascii="Times New Roman" w:hAnsi="Times New Roman" w:eastAsia="仿宋_GB2312" w:cs="Times New Roman"/>
          <w:sz w:val="32"/>
          <w:szCs w:val="32"/>
          <w:lang w:val="en-US" w:eastAsia="zh-CN"/>
        </w:rPr>
        <w:t>维护快递市场秩序</w:t>
      </w:r>
      <w:r>
        <w:rPr>
          <w:rFonts w:hint="eastAsia" w:ascii="Times New Roman" w:hAnsi="Times New Roman" w:eastAsia="仿宋_GB2312" w:cs="Times New Roman"/>
          <w:sz w:val="32"/>
          <w:szCs w:val="32"/>
          <w:lang w:val="en-US" w:eastAsia="zh-CN"/>
        </w:rPr>
        <w:t>，着力解决一批群众关心的寄递服务质量问题。</w:t>
      </w:r>
    </w:p>
    <w:p>
      <w:pPr>
        <w:keepNext w:val="0"/>
        <w:keepLines w:val="0"/>
        <w:pageBreakBefore w:val="0"/>
        <w:numPr>
          <w:ilvl w:val="0"/>
          <w:numId w:val="1"/>
        </w:numPr>
        <w:kinsoku/>
        <w:wordWrap/>
        <w:topLinePunct w:val="0"/>
        <w:bidi w:val="0"/>
        <w:adjustRightInd/>
        <w:snapToGrid/>
        <w:spacing w:line="560" w:lineRule="exact"/>
        <w:ind w:leftChars="200"/>
        <w:textAlignment w:val="baseline"/>
        <w:rPr>
          <w:rFonts w:ascii="Times New Roman" w:hAnsi="黑体" w:eastAsia="黑体"/>
          <w:bCs/>
          <w:color w:val="000000" w:themeColor="text1"/>
          <w:kern w:val="0"/>
          <w:sz w:val="32"/>
          <w:szCs w:val="32"/>
          <w14:textFill>
            <w14:solidFill>
              <w14:schemeClr w14:val="tx1"/>
            </w14:solidFill>
          </w14:textFill>
        </w:rPr>
      </w:pPr>
      <w:r>
        <w:rPr>
          <w:rFonts w:ascii="Times New Roman" w:hAnsi="黑体" w:eastAsia="黑体"/>
          <w:bCs/>
          <w:color w:val="000000" w:themeColor="text1"/>
          <w:kern w:val="0"/>
          <w:sz w:val="32"/>
          <w:szCs w:val="32"/>
          <w14:textFill>
            <w14:solidFill>
              <w14:schemeClr w14:val="tx1"/>
            </w14:solidFill>
          </w14:textFill>
        </w:rPr>
        <w:t>水务局开展的活动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default" w:ascii="仿宋_GB2312" w:hAnsi="黑体" w:eastAsia="仿宋_GB2312" w:cs="Times New Roman"/>
          <w:kern w:val="2"/>
          <w:sz w:val="32"/>
          <w:szCs w:val="32"/>
          <w:u w:val="none"/>
          <w:vertAlign w:val="baseline"/>
          <w:lang w:val="en" w:eastAsia="zh-CN" w:bidi="ar-SA"/>
        </w:rPr>
        <w:t>56</w:t>
      </w:r>
      <w:r>
        <w:rPr>
          <w:rFonts w:hint="eastAsia" w:ascii="仿宋_GB2312" w:hAnsi="黑体" w:eastAsia="仿宋_GB2312" w:cs="Times New Roman"/>
          <w:kern w:val="2"/>
          <w:sz w:val="32"/>
          <w:szCs w:val="32"/>
          <w:u w:val="none"/>
          <w:vertAlign w:val="baseline"/>
          <w:lang w:val="en-US" w:eastAsia="zh-CN" w:bidi="ar-SA"/>
        </w:rPr>
        <w:t>.</w:t>
      </w:r>
      <w:r>
        <w:rPr>
          <w:rFonts w:hint="eastAsia" w:ascii="Times New Roman" w:hAnsi="Times New Roman" w:eastAsia="仿宋_GB2312" w:cs="Times New Roman"/>
          <w:kern w:val="0"/>
          <w:sz w:val="32"/>
          <w:szCs w:val="32"/>
          <w:lang w:val="en-US" w:eastAsia="zh-CN" w:bidi="ar-SA"/>
        </w:rPr>
        <w:t>开展党建进工地活动。深入贯彻落实习总书记关于防汛抗洪救灾和灾后恢复重建工作重要指示精神，进一步推动党建与灾后恢复重建重点水利工程建设深度融合，组织监管部门、项目法人、勘察、设计、监理、施工等单位党组织，围绕“党建+质量、党建+安全”开展业务交流，深入探讨党建与业务的融合机制，积极探索多样化组建模式，采用各方联建等方式建立联合党组织；积极推进党建联盟共建，开展“结对共建、互融共促”、弘扬“工匠精神”、开展“名师带徒”，促进市场主体人才培养，更好发挥党建引领作用。</w:t>
      </w:r>
    </w:p>
    <w:p>
      <w:pPr>
        <w:ind w:firstLine="640"/>
        <w:jc w:val="left"/>
        <w:rPr>
          <w:rFonts w:hint="default" w:ascii="Times New Roman" w:hAnsi="Times New Roman" w:eastAsia="仿宋_GB2312" w:cs="Times New Roman"/>
          <w:kern w:val="0"/>
          <w:sz w:val="32"/>
          <w:szCs w:val="32"/>
          <w:lang w:val="en-US" w:eastAsia="zh-CN" w:bidi="ar-SA"/>
        </w:rPr>
      </w:pPr>
      <w:r>
        <w:rPr>
          <w:rFonts w:hint="default" w:ascii="仿宋_GB2312" w:hAnsi="黑体" w:eastAsia="仿宋_GB2312" w:cs="Times New Roman"/>
          <w:kern w:val="2"/>
          <w:sz w:val="32"/>
          <w:szCs w:val="32"/>
          <w:u w:val="none"/>
          <w:vertAlign w:val="baseline"/>
          <w:lang w:val="en" w:eastAsia="zh-CN" w:bidi="ar-SA"/>
        </w:rPr>
        <w:t>57</w:t>
      </w:r>
      <w:r>
        <w:rPr>
          <w:rFonts w:hint="eastAsia" w:ascii="Times New Roman" w:hAnsi="Times New Roman" w:eastAsia="仿宋_GB2312" w:cs="Times New Roman"/>
          <w:kern w:val="0"/>
          <w:sz w:val="32"/>
          <w:szCs w:val="32"/>
          <w:lang w:val="en-US" w:eastAsia="zh-CN" w:bidi="ar-SA"/>
        </w:rPr>
        <w:t>.推进质量标准化引领。进一步规范工程参建各方主体的质量行为，强化过程质量控制，选取有代表性的重点水利工程，以</w:t>
      </w:r>
      <w:r>
        <w:rPr>
          <w:rFonts w:hint="default" w:ascii="Times New Roman" w:hAnsi="Times New Roman" w:eastAsia="仿宋_GB2312" w:cs="Times New Roman"/>
          <w:kern w:val="0"/>
          <w:sz w:val="32"/>
          <w:szCs w:val="32"/>
          <w:lang w:val="en-US" w:eastAsia="zh-CN" w:bidi="ar-SA"/>
        </w:rPr>
        <w:t>施工现场为中心，以质量行为标准化和工程实体质量控制标准化为重点</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按照“施工质量样板化、技术交底可视化、操作过程规范化”的要求，制定简洁、适用、易执行、通俗易懂的质量管理标准化手册，指导工程质量管理和实施操作，提升质量管理和</w:t>
      </w:r>
      <w:r>
        <w:rPr>
          <w:rFonts w:hint="eastAsia" w:ascii="Times New Roman" w:hAnsi="Times New Roman" w:eastAsia="仿宋_GB2312" w:cs="Times New Roman"/>
          <w:kern w:val="0"/>
          <w:sz w:val="32"/>
          <w:szCs w:val="32"/>
          <w:lang w:val="en-US" w:eastAsia="zh-CN" w:bidi="ar-SA"/>
        </w:rPr>
        <w:t>实操能力</w:t>
      </w:r>
      <w:r>
        <w:rPr>
          <w:rFonts w:hint="default" w:ascii="Times New Roman" w:hAnsi="Times New Roman" w:eastAsia="仿宋_GB2312" w:cs="Times New Roman"/>
          <w:kern w:val="0"/>
          <w:sz w:val="32"/>
          <w:szCs w:val="32"/>
          <w:lang w:val="en-US" w:eastAsia="zh-CN" w:bidi="ar-SA"/>
        </w:rPr>
        <w:t>。</w:t>
      </w:r>
    </w:p>
    <w:p>
      <w:pPr>
        <w:keepNext w:val="0"/>
        <w:keepLines w:val="0"/>
        <w:pageBreakBefore w:val="0"/>
        <w:numPr>
          <w:ilvl w:val="0"/>
          <w:numId w:val="0"/>
        </w:numPr>
        <w:kinsoku/>
        <w:wordWrap/>
        <w:topLinePunct w:val="0"/>
        <w:bidi w:val="0"/>
        <w:adjustRightInd/>
        <w:snapToGrid/>
        <w:spacing w:line="560" w:lineRule="exact"/>
        <w:ind w:left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二</w:t>
      </w:r>
      <w:r>
        <w:rPr>
          <w:rFonts w:hint="eastAsia" w:ascii="Times New Roman" w:hAnsi="黑体" w:eastAsia="黑体"/>
          <w:bCs/>
          <w:color w:val="000000" w:themeColor="text1"/>
          <w:kern w:val="0"/>
          <w:sz w:val="32"/>
          <w:szCs w:val="32"/>
          <w14:textFill>
            <w14:solidFill>
              <w14:schemeClr w14:val="tx1"/>
            </w14:solidFill>
          </w14:textFill>
        </w:rPr>
        <w:t>）市公安局</w:t>
      </w:r>
      <w:r>
        <w:rPr>
          <w:rFonts w:ascii="Times New Roman" w:hAnsi="黑体" w:eastAsia="黑体"/>
          <w:bCs/>
          <w:color w:val="000000" w:themeColor="text1"/>
          <w:kern w:val="0"/>
          <w:sz w:val="32"/>
          <w:szCs w:val="32"/>
          <w14:textFill>
            <w14:solidFill>
              <w14:schemeClr w14:val="tx1"/>
            </w14:solidFill>
          </w14:textFill>
        </w:rPr>
        <w:t>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default" w:ascii="仿宋_GB2312" w:hAnsi="黑体" w:eastAsia="仿宋_GB2312" w:cs="Times New Roman"/>
          <w:kern w:val="2"/>
          <w:sz w:val="32"/>
          <w:szCs w:val="32"/>
          <w:u w:val="none"/>
          <w:vertAlign w:val="baseline"/>
          <w:lang w:val="en" w:eastAsia="zh-CN" w:bidi="ar-SA"/>
        </w:rPr>
        <w:t>58</w:t>
      </w:r>
      <w:r>
        <w:rPr>
          <w:rFonts w:hint="eastAsia" w:ascii="仿宋_GB2312" w:hAnsi="黑体" w:eastAsia="仿宋_GB2312" w:cs="Times New Roman"/>
          <w:kern w:val="2"/>
          <w:sz w:val="32"/>
          <w:szCs w:val="32"/>
          <w:u w:val="none"/>
          <w:vertAlign w:val="baseline"/>
          <w:lang w:val="en-US" w:eastAsia="zh-CN" w:bidi="ar-SA"/>
        </w:rPr>
        <w:t>.</w:t>
      </w:r>
      <w:r>
        <w:rPr>
          <w:rFonts w:hint="eastAsia" w:ascii="Times New Roman" w:hAnsi="Times New Roman" w:eastAsia="仿宋_GB2312" w:cs="Times New Roman"/>
          <w:kern w:val="0"/>
          <w:sz w:val="32"/>
          <w:szCs w:val="32"/>
          <w:lang w:val="en-US" w:eastAsia="zh-CN" w:bidi="ar-SA"/>
        </w:rPr>
        <w:t>打击侵犯知识产权和制售伪劣商品犯罪。结合“昆仑2024”及夏季治安打击整治行动部署安排，聚焦夏季生产安全，结合推进安全生产治本攻坚三年行动，重点打击电动自行车、消防产品、电气产品、建筑材料等领域侵犯知识产权和制售伪劣商品犯罪，全力防范遏制重特大安全生产事故。</w:t>
      </w:r>
    </w:p>
    <w:p>
      <w:pPr>
        <w:ind w:firstLine="640"/>
        <w:jc w:val="left"/>
        <w:rPr>
          <w:rFonts w:hint="eastAsia" w:ascii="Times New Roman" w:hAnsi="Times New Roman" w:eastAsia="仿宋_GB2312" w:cs="Times New Roman"/>
          <w:kern w:val="0"/>
          <w:sz w:val="32"/>
          <w:szCs w:val="32"/>
          <w:lang w:val="en" w:eastAsia="zh-CN" w:bidi="ar-SA"/>
        </w:rPr>
      </w:pPr>
      <w:r>
        <w:rPr>
          <w:rFonts w:hint="default" w:ascii="仿宋_GB2312" w:hAnsi="黑体" w:eastAsia="仿宋_GB2312" w:cs="Times New Roman"/>
          <w:kern w:val="2"/>
          <w:sz w:val="32"/>
          <w:szCs w:val="32"/>
          <w:u w:val="none"/>
          <w:vertAlign w:val="baseline"/>
          <w:lang w:val="en" w:eastAsia="zh-CN" w:bidi="ar-SA"/>
        </w:rPr>
        <w:t>59</w:t>
      </w:r>
      <w:r>
        <w:rPr>
          <w:rFonts w:hint="eastAsia" w:ascii="仿宋_GB2312" w:hAnsi="黑体" w:eastAsia="仿宋_GB2312" w:cs="Times New Roman"/>
          <w:kern w:val="2"/>
          <w:sz w:val="32"/>
          <w:szCs w:val="32"/>
          <w:u w:val="none"/>
          <w:vertAlign w:val="baseline"/>
          <w:lang w:val="en-US" w:eastAsia="zh-CN" w:bidi="ar-SA"/>
        </w:rPr>
        <w:t>.</w:t>
      </w:r>
      <w:r>
        <w:rPr>
          <w:rFonts w:hint="eastAsia" w:ascii="Times New Roman" w:hAnsi="Times New Roman" w:eastAsia="仿宋_GB2312" w:cs="Times New Roman"/>
          <w:kern w:val="0"/>
          <w:sz w:val="32"/>
          <w:szCs w:val="32"/>
          <w:lang w:val="en-US" w:eastAsia="zh-CN" w:bidi="ar-SA"/>
        </w:rPr>
        <w:t>开展知识产权展会保护活动。</w:t>
      </w:r>
      <w:r>
        <w:rPr>
          <w:rFonts w:hint="eastAsia" w:ascii="Times New Roman" w:hAnsi="Times New Roman" w:eastAsia="仿宋_GB2312" w:cs="Times New Roman"/>
          <w:kern w:val="0"/>
          <w:sz w:val="32"/>
          <w:szCs w:val="32"/>
          <w:lang w:val="en" w:eastAsia="zh-CN" w:bidi="ar-SA"/>
        </w:rPr>
        <w:t>根据天津梅江会展中心、国家会展中心（天津）展会安排，会同分局知识产权保护“流动警务站”、“联络点”，在大型展会上设置公安知识产权保护展台，现场开展知识产权保护服务工作，提升展会知识产权保护水平，服务天津北方会展之都建设。</w:t>
      </w:r>
    </w:p>
    <w:p>
      <w:pPr>
        <w:ind w:firstLine="640"/>
        <w:jc w:val="left"/>
        <w:rPr>
          <w:rFonts w:hint="default" w:ascii="Times New Roman" w:hAnsi="Times New Roman" w:eastAsia="仿宋_GB2312" w:cs="Times New Roman"/>
          <w:kern w:val="0"/>
          <w:sz w:val="32"/>
          <w:szCs w:val="32"/>
          <w:lang w:val="en" w:eastAsia="zh-CN" w:bidi="ar-SA"/>
        </w:rPr>
      </w:pPr>
      <w:r>
        <w:rPr>
          <w:rFonts w:hint="eastAsia" w:ascii="仿宋_GB2312" w:hAnsi="黑体" w:eastAsia="仿宋_GB2312" w:cs="Times New Roman"/>
          <w:kern w:val="2"/>
          <w:sz w:val="32"/>
          <w:szCs w:val="32"/>
          <w:u w:val="none"/>
          <w:vertAlign w:val="baseline"/>
          <w:lang w:val="en-US" w:eastAsia="zh-CN" w:bidi="ar-SA"/>
        </w:rPr>
        <w:t>60.</w:t>
      </w:r>
      <w:r>
        <w:rPr>
          <w:rFonts w:hint="eastAsia" w:ascii="Times New Roman" w:hAnsi="Times New Roman" w:eastAsia="仿宋_GB2312" w:cs="Times New Roman"/>
          <w:kern w:val="0"/>
          <w:sz w:val="32"/>
          <w:szCs w:val="32"/>
          <w:lang w:val="en-US" w:eastAsia="zh-CN" w:bidi="ar-SA"/>
        </w:rPr>
        <w:t>召开</w:t>
      </w:r>
      <w:r>
        <w:rPr>
          <w:rFonts w:hint="eastAsia" w:ascii="Times New Roman" w:hAnsi="Times New Roman" w:eastAsia="仿宋_GB2312" w:cs="Times New Roman"/>
          <w:kern w:val="0"/>
          <w:sz w:val="32"/>
          <w:szCs w:val="32"/>
          <w:lang w:val="en" w:eastAsia="zh-CN" w:bidi="ar-SA"/>
        </w:rPr>
        <w:t>电动自行车产业知识产权保护座谈会。</w:t>
      </w:r>
      <w:r>
        <w:rPr>
          <w:rFonts w:hint="eastAsia" w:ascii="Times New Roman" w:hAnsi="Times New Roman" w:eastAsia="仿宋_GB2312" w:cs="Times New Roman"/>
          <w:kern w:val="0"/>
          <w:sz w:val="32"/>
          <w:szCs w:val="32"/>
          <w:lang w:val="en-US" w:eastAsia="zh-CN" w:bidi="ar-SA"/>
        </w:rPr>
        <w:t>联合</w:t>
      </w:r>
      <w:r>
        <w:rPr>
          <w:rFonts w:hint="eastAsia" w:ascii="Times New Roman" w:hAnsi="Times New Roman" w:eastAsia="仿宋_GB2312" w:cs="Times New Roman"/>
          <w:kern w:val="0"/>
          <w:sz w:val="32"/>
          <w:szCs w:val="32"/>
          <w:lang w:val="en" w:eastAsia="zh-CN" w:bidi="ar-SA"/>
        </w:rPr>
        <w:t>行业协会开展政策普法宣传，帮扶企业解决需求，营造质量强市建设的良好氛围。</w:t>
      </w:r>
    </w:p>
    <w:p>
      <w:pPr>
        <w:keepNext w:val="0"/>
        <w:keepLines w:val="0"/>
        <w:pageBreakBefore w:val="0"/>
        <w:numPr>
          <w:ilvl w:val="0"/>
          <w:numId w:val="2"/>
        </w:numPr>
        <w:kinsoku/>
        <w:wordWrap/>
        <w:topLinePunct w:val="0"/>
        <w:bidi w:val="0"/>
        <w:adjustRightInd/>
        <w:snapToGrid/>
        <w:spacing w:line="560" w:lineRule="exact"/>
        <w:ind w:leftChars="200"/>
        <w:outlineLvl w:val="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市生态环境局开展的活动</w:t>
      </w:r>
    </w:p>
    <w:p>
      <w:pPr>
        <w:ind w:firstLine="640"/>
        <w:jc w:val="left"/>
        <w:rPr>
          <w:rFonts w:hint="default" w:ascii="Times New Roman" w:hAnsi="Times New Roman" w:eastAsia="仿宋_GB2312" w:cs="Times New Roman"/>
          <w:kern w:val="0"/>
          <w:sz w:val="32"/>
          <w:szCs w:val="32"/>
          <w:lang w:val="en" w:eastAsia="zh-CN" w:bidi="ar-SA"/>
        </w:rPr>
      </w:pPr>
      <w:r>
        <w:rPr>
          <w:rFonts w:hint="default" w:ascii="仿宋_GB2312" w:hAnsi="黑体" w:eastAsia="仿宋_GB2312" w:cs="Times New Roman"/>
          <w:kern w:val="2"/>
          <w:sz w:val="32"/>
          <w:szCs w:val="32"/>
          <w:u w:val="none"/>
          <w:vertAlign w:val="baseline"/>
          <w:lang w:val="en" w:eastAsia="zh-CN" w:bidi="ar-SA"/>
        </w:rPr>
        <w:t>61</w:t>
      </w:r>
      <w:r>
        <w:rPr>
          <w:rFonts w:hint="eastAsia" w:ascii="仿宋_GB2312" w:hAnsi="黑体" w:eastAsia="仿宋_GB2312" w:cs="Times New Roman"/>
          <w:kern w:val="2"/>
          <w:sz w:val="32"/>
          <w:szCs w:val="32"/>
          <w:u w:val="none"/>
          <w:vertAlign w:val="baseline"/>
          <w:lang w:val="en-US" w:eastAsia="zh-CN" w:bidi="ar-SA"/>
        </w:rPr>
        <w:t>.</w:t>
      </w:r>
      <w:r>
        <w:rPr>
          <w:rFonts w:hint="eastAsia" w:ascii="Times New Roman" w:hAnsi="Times New Roman" w:eastAsia="仿宋_GB2312" w:cs="Times New Roman"/>
          <w:kern w:val="0"/>
          <w:sz w:val="32"/>
          <w:szCs w:val="32"/>
          <w:lang w:val="en-US" w:eastAsia="zh-CN" w:bidi="ar-SA"/>
        </w:rPr>
        <w:t>组织开展</w:t>
      </w:r>
      <w:r>
        <w:rPr>
          <w:rFonts w:hint="default" w:ascii="Times New Roman" w:hAnsi="Times New Roman" w:eastAsia="仿宋_GB2312" w:cs="Times New Roman"/>
          <w:kern w:val="0"/>
          <w:sz w:val="32"/>
          <w:szCs w:val="32"/>
          <w:lang w:val="en" w:eastAsia="zh-CN" w:bidi="ar-SA"/>
        </w:rPr>
        <w:t>生态环境监测系统质量管理培训</w:t>
      </w:r>
      <w:r>
        <w:rPr>
          <w:rFonts w:hint="eastAsia" w:ascii="Times New Roman" w:hAnsi="Times New Roman" w:eastAsia="仿宋_GB2312" w:cs="Times New Roman"/>
          <w:kern w:val="0"/>
          <w:sz w:val="32"/>
          <w:szCs w:val="32"/>
          <w:lang w:val="en" w:eastAsia="zh-CN" w:bidi="ar-SA"/>
        </w:rPr>
        <w:t>。</w:t>
      </w:r>
      <w:r>
        <w:rPr>
          <w:rFonts w:hint="default" w:ascii="Times New Roman" w:hAnsi="Times New Roman" w:eastAsia="仿宋_GB2312" w:cs="Times New Roman"/>
          <w:kern w:val="0"/>
          <w:sz w:val="32"/>
          <w:szCs w:val="32"/>
          <w:lang w:val="en" w:eastAsia="zh-CN" w:bidi="ar-SA"/>
        </w:rPr>
        <w:t>培训《液相色谱三重四极杆质谱在饮用水源监测中的应用》、《环境监测的质量控制与质量保证》、《生态环境监测质量管理形势要求》等</w:t>
      </w:r>
      <w:r>
        <w:rPr>
          <w:rFonts w:hint="eastAsia" w:ascii="Times New Roman" w:hAnsi="Times New Roman" w:eastAsia="仿宋_GB2312" w:cs="Times New Roman"/>
          <w:kern w:val="0"/>
          <w:sz w:val="32"/>
          <w:szCs w:val="32"/>
          <w:lang w:val="en" w:eastAsia="zh-CN" w:bidi="ar-SA"/>
        </w:rPr>
        <w:t>内容</w:t>
      </w:r>
      <w:r>
        <w:rPr>
          <w:rFonts w:hint="default" w:ascii="Times New Roman" w:hAnsi="Times New Roman" w:eastAsia="仿宋_GB2312" w:cs="Times New Roman"/>
          <w:kern w:val="0"/>
          <w:sz w:val="32"/>
          <w:szCs w:val="32"/>
          <w:lang w:val="en" w:eastAsia="zh-CN" w:bidi="ar-SA"/>
        </w:rPr>
        <w:t>。</w:t>
      </w:r>
    </w:p>
    <w:p>
      <w:pPr>
        <w:ind w:firstLine="640"/>
        <w:jc w:val="left"/>
        <w:rPr>
          <w:rFonts w:hint="default" w:ascii="Times New Roman" w:hAnsi="Times New Roman" w:eastAsia="仿宋_GB2312" w:cs="Times New Roman"/>
          <w:kern w:val="0"/>
          <w:sz w:val="32"/>
          <w:szCs w:val="32"/>
          <w:lang w:val="en" w:eastAsia="zh-CN" w:bidi="ar-SA"/>
        </w:rPr>
      </w:pPr>
      <w:r>
        <w:rPr>
          <w:rFonts w:hint="eastAsia" w:ascii="仿宋_GB2312" w:hAnsi="黑体" w:eastAsia="仿宋_GB2312" w:cs="Times New Roman"/>
          <w:kern w:val="2"/>
          <w:sz w:val="32"/>
          <w:szCs w:val="32"/>
          <w:u w:val="none"/>
          <w:vertAlign w:val="baseline"/>
          <w:lang w:val="en-US" w:eastAsia="zh-CN" w:bidi="ar-SA"/>
        </w:rPr>
        <w:t>62</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 w:eastAsia="zh-CN" w:bidi="ar-SA"/>
        </w:rPr>
        <w:t>开展生态环境监测机构帮扶及监督抽查</w:t>
      </w:r>
      <w:r>
        <w:rPr>
          <w:rFonts w:hint="eastAsia" w:ascii="Times New Roman" w:hAnsi="Times New Roman" w:eastAsia="仿宋_GB2312" w:cs="Times New Roman"/>
          <w:kern w:val="0"/>
          <w:sz w:val="32"/>
          <w:szCs w:val="32"/>
          <w:lang w:val="en" w:eastAsia="zh-CN" w:bidi="ar-SA"/>
        </w:rPr>
        <w:t>。</w:t>
      </w:r>
      <w:r>
        <w:rPr>
          <w:rFonts w:hint="default" w:ascii="Times New Roman" w:hAnsi="Times New Roman" w:eastAsia="仿宋_GB2312" w:cs="Times New Roman"/>
          <w:kern w:val="0"/>
          <w:sz w:val="32"/>
          <w:szCs w:val="32"/>
          <w:lang w:val="en" w:eastAsia="zh-CN" w:bidi="ar-SA"/>
        </w:rPr>
        <w:t>聚焦改善生态环境质量，以提高生态环境监测机构数据质量为首要任务，合理利用检查和帮扶手段，引导生态环境监测机构自觉提高环境监测数据质量，营造良好营商环境。</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四</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市规划资源局</w:t>
      </w:r>
      <w:r>
        <w:rPr>
          <w:rFonts w:hint="eastAsia" w:ascii="Times New Roman" w:hAnsi="黑体" w:eastAsia="黑体"/>
          <w:bCs/>
          <w:color w:val="000000" w:themeColor="text1"/>
          <w:kern w:val="0"/>
          <w:sz w:val="32"/>
          <w:szCs w:val="32"/>
          <w14:textFill>
            <w14:solidFill>
              <w14:schemeClr w14:val="tx1"/>
            </w14:solidFill>
          </w14:textFill>
        </w:rPr>
        <w:t>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63</w:t>
      </w:r>
      <w:r>
        <w:rPr>
          <w:rFonts w:hint="eastAsia" w:ascii="Times New Roman" w:hAnsi="Times New Roman" w:eastAsia="仿宋_GB2312" w:cs="Times New Roman"/>
          <w:kern w:val="0"/>
          <w:sz w:val="32"/>
          <w:szCs w:val="32"/>
          <w:lang w:val="en-US" w:eastAsia="zh-CN" w:bidi="ar-SA"/>
        </w:rPr>
        <w:t>.开展全市造林绿化工程用苗和林草种苗质量监测。采取座谈交流、查阅资料、外业监测等多种形式，对全市涉农区春季和冬季造林工程用苗和生产、经营林草种苗进行质量监测，统一检查监测林草种苗单位相关档案和种苗质量情况，进一步规范我市林草种苗管理与生产，推进种苗事业高质量发展。</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64</w:t>
      </w:r>
      <w:r>
        <w:rPr>
          <w:rFonts w:hint="eastAsia" w:ascii="Times New Roman" w:hAnsi="Times New Roman" w:eastAsia="仿宋_GB2312" w:cs="Times New Roman"/>
          <w:kern w:val="0"/>
          <w:sz w:val="32"/>
          <w:szCs w:val="32"/>
          <w:lang w:val="en-US" w:eastAsia="zh-CN" w:bidi="ar-SA"/>
        </w:rPr>
        <w:t>.组织推动测绘领域质量攻关项目研究。围绕立项项目，制定项目实施方案，深入开展研究，及时调整项目实施策略，确保质量攻关活动有序开展，不断提升测绘地理信息领域的质检能力。</w:t>
      </w:r>
    </w:p>
    <w:p>
      <w:pPr>
        <w:keepNext w:val="0"/>
        <w:keepLines w:val="0"/>
        <w:pageBreakBefore w:val="0"/>
        <w:numPr>
          <w:ilvl w:val="0"/>
          <w:numId w:val="2"/>
        </w:numPr>
        <w:kinsoku/>
        <w:wordWrap/>
        <w:topLinePunct w:val="0"/>
        <w:bidi w:val="0"/>
        <w:adjustRightInd/>
        <w:snapToGrid/>
        <w:spacing w:line="560" w:lineRule="exact"/>
        <w:ind w:left="420" w:leftChars="200" w:firstLine="0" w:firstLineChars="0"/>
        <w:rPr>
          <w:rFonts w:hint="eastAsia" w:ascii="Times New Roman" w:hAnsi="黑体" w:eastAsia="黑体"/>
          <w:bCs/>
          <w:strike w:val="0"/>
          <w:dstrike w:val="0"/>
          <w:color w:val="000000" w:themeColor="text1"/>
          <w:kern w:val="0"/>
          <w:sz w:val="32"/>
          <w:szCs w:val="32"/>
          <w14:textFill>
            <w14:solidFill>
              <w14:schemeClr w14:val="tx1"/>
            </w14:solidFill>
          </w14:textFill>
        </w:rPr>
      </w:pPr>
      <w:r>
        <w:rPr>
          <w:rFonts w:hint="eastAsia" w:ascii="Times New Roman" w:hAnsi="黑体" w:eastAsia="黑体"/>
          <w:bCs/>
          <w:strike w:val="0"/>
          <w:dstrike w:val="0"/>
          <w:color w:val="000000" w:themeColor="text1"/>
          <w:kern w:val="0"/>
          <w:sz w:val="32"/>
          <w:szCs w:val="32"/>
          <w14:textFill>
            <w14:solidFill>
              <w14:schemeClr w14:val="tx1"/>
            </w14:solidFill>
          </w14:textFill>
        </w:rPr>
        <w:t>市</w:t>
      </w:r>
      <w:r>
        <w:rPr>
          <w:rFonts w:hint="eastAsia" w:ascii="Times New Roman" w:hAnsi="黑体" w:eastAsia="黑体"/>
          <w:bCs/>
          <w:strike w:val="0"/>
          <w:dstrike w:val="0"/>
          <w:color w:val="000000" w:themeColor="text1"/>
          <w:kern w:val="0"/>
          <w:sz w:val="32"/>
          <w:szCs w:val="32"/>
          <w:lang w:eastAsia="zh-CN"/>
          <w14:textFill>
            <w14:solidFill>
              <w14:schemeClr w14:val="tx1"/>
            </w14:solidFill>
          </w14:textFill>
        </w:rPr>
        <w:t>知识产权</w:t>
      </w:r>
      <w:r>
        <w:rPr>
          <w:rFonts w:hint="eastAsia" w:ascii="Times New Roman" w:hAnsi="黑体" w:eastAsia="黑体"/>
          <w:bCs/>
          <w:strike w:val="0"/>
          <w:dstrike w:val="0"/>
          <w:color w:val="000000" w:themeColor="text1"/>
          <w:kern w:val="0"/>
          <w:sz w:val="32"/>
          <w:szCs w:val="32"/>
          <w14:textFill>
            <w14:solidFill>
              <w14:schemeClr w14:val="tx1"/>
            </w14:solidFill>
          </w14:textFill>
        </w:rPr>
        <w:t>局开展的活动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65</w:t>
      </w:r>
      <w:r>
        <w:rPr>
          <w:rFonts w:hint="eastAsia" w:ascii="Times New Roman" w:hAnsi="Times New Roman" w:eastAsia="仿宋_GB2312" w:cs="Times New Roman"/>
          <w:kern w:val="0"/>
          <w:sz w:val="32"/>
          <w:szCs w:val="32"/>
          <w:lang w:val="en-US" w:eastAsia="zh-CN" w:bidi="ar-SA"/>
        </w:rPr>
        <w:t>.开展老字号企业商标创新发展调研。形成调研报告，提出助力老字号企业商标发展运用的支持措施。</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66</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开展对接服务推进强企工程</w:t>
      </w:r>
      <w:r>
        <w:rPr>
          <w:rFonts w:hint="eastAsia" w:ascii="Times New Roman" w:hAnsi="Times New Roman" w:eastAsia="仿宋_GB2312" w:cs="Times New Roman"/>
          <w:kern w:val="0"/>
          <w:sz w:val="32"/>
          <w:szCs w:val="32"/>
          <w:lang w:val="en-US" w:eastAsia="zh-CN" w:bidi="ar-SA"/>
        </w:rPr>
        <w:t>。以千企百城商标品牌价值提升行动为引导，指导各区域结合辖区产业特点和优势，组织商标品牌工作指导站和知识产权专业服务机构</w:t>
      </w:r>
      <w:r>
        <w:rPr>
          <w:rFonts w:hint="eastAsia" w:ascii="Times New Roman" w:hAnsi="Times New Roman" w:eastAsia="仿宋_GB2312" w:cs="Times New Roman"/>
          <w:kern w:val="0"/>
          <w:sz w:val="32"/>
          <w:szCs w:val="32"/>
          <w:lang w:val="en" w:eastAsia="zh-CN" w:bidi="ar-SA"/>
        </w:rPr>
        <w:t>对接服务重点</w:t>
      </w:r>
      <w:r>
        <w:rPr>
          <w:rFonts w:hint="eastAsia" w:ascii="Times New Roman" w:hAnsi="Times New Roman" w:eastAsia="仿宋_GB2312" w:cs="Times New Roman"/>
          <w:kern w:val="0"/>
          <w:sz w:val="32"/>
          <w:szCs w:val="32"/>
          <w:lang w:val="en-US" w:eastAsia="zh-CN" w:bidi="ar-SA"/>
        </w:rPr>
        <w:t>产业链、现代服务业和乡村振兴工作，不断扩大服务各类市场主体的覆盖面。</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67</w:t>
      </w:r>
      <w:r>
        <w:rPr>
          <w:rFonts w:hint="eastAsia" w:ascii="Times New Roman" w:hAnsi="Times New Roman" w:eastAsia="仿宋_GB2312" w:cs="Times New Roman"/>
          <w:kern w:val="0"/>
          <w:sz w:val="32"/>
          <w:szCs w:val="32"/>
          <w:lang w:val="en-US" w:eastAsia="zh-CN" w:bidi="ar-SA"/>
        </w:rPr>
        <w:t>.开展商标注册、维权网络培训。分两期组织培训，促进各区知识产权管理、执法人员和企业知识产权工作人员业务能力提升。</w:t>
      </w:r>
    </w:p>
    <w:p>
      <w:pPr>
        <w:ind w:firstLine="640"/>
        <w:jc w:val="left"/>
        <w:rPr>
          <w:rFonts w:hint="default"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68</w:t>
      </w:r>
      <w:r>
        <w:rPr>
          <w:rFonts w:hint="eastAsia" w:ascii="Times New Roman" w:hAnsi="Times New Roman" w:eastAsia="仿宋_GB2312" w:cs="Times New Roman"/>
          <w:kern w:val="0"/>
          <w:sz w:val="32"/>
          <w:szCs w:val="32"/>
          <w:lang w:val="en-US" w:eastAsia="zh-CN" w:bidi="ar-SA"/>
        </w:rPr>
        <w:t>.强化商标专用权保护工作。</w:t>
      </w:r>
      <w:r>
        <w:rPr>
          <w:rFonts w:hint="default" w:ascii="Times New Roman" w:hAnsi="Times New Roman" w:eastAsia="仿宋_GB2312" w:cs="Times New Roman"/>
          <w:kern w:val="0"/>
          <w:sz w:val="32"/>
          <w:szCs w:val="32"/>
          <w:lang w:val="en" w:eastAsia="zh-CN" w:bidi="ar-SA"/>
        </w:rPr>
        <w:t>对群众反映强烈、社会舆论关注、侵权假冒多发的重点领域和区域，对</w:t>
      </w:r>
      <w:r>
        <w:rPr>
          <w:rFonts w:hint="eastAsia" w:ascii="Times New Roman" w:hAnsi="Times New Roman" w:eastAsia="仿宋_GB2312" w:cs="Times New Roman"/>
          <w:kern w:val="0"/>
          <w:sz w:val="32"/>
          <w:szCs w:val="32"/>
          <w:lang w:val="en" w:eastAsia="zh-CN" w:bidi="ar-SA"/>
        </w:rPr>
        <w:t>中秋国庆等重点节假日、</w:t>
      </w:r>
      <w:r>
        <w:rPr>
          <w:rFonts w:hint="default" w:ascii="Times New Roman" w:hAnsi="Times New Roman" w:eastAsia="仿宋_GB2312" w:cs="Times New Roman"/>
          <w:kern w:val="0"/>
          <w:sz w:val="32"/>
          <w:szCs w:val="32"/>
          <w:lang w:val="en" w:eastAsia="zh-CN" w:bidi="ar-SA"/>
        </w:rPr>
        <w:t>对驰名商标和老字号企业商标品牌、涉农商标等</w:t>
      </w:r>
      <w:r>
        <w:rPr>
          <w:rFonts w:hint="eastAsia" w:ascii="Times New Roman" w:hAnsi="Times New Roman" w:eastAsia="仿宋_GB2312" w:cs="Times New Roman"/>
          <w:kern w:val="0"/>
          <w:sz w:val="32"/>
          <w:szCs w:val="32"/>
          <w:lang w:val="en" w:eastAsia="zh-CN" w:bidi="ar-SA"/>
        </w:rPr>
        <w:t>重点商标</w:t>
      </w:r>
      <w:r>
        <w:rPr>
          <w:rFonts w:hint="default" w:ascii="Times New Roman" w:hAnsi="Times New Roman" w:eastAsia="仿宋_GB2312" w:cs="Times New Roman"/>
          <w:kern w:val="0"/>
          <w:sz w:val="32"/>
          <w:szCs w:val="32"/>
          <w:lang w:val="en" w:eastAsia="zh-CN" w:bidi="ar-SA"/>
        </w:rPr>
        <w:t>，坚持线上线下同步治理、同步保护，做到重拳出击、整治到底、震慑贯彻</w:t>
      </w:r>
      <w:r>
        <w:rPr>
          <w:rFonts w:hint="eastAsia" w:ascii="Times New Roman" w:hAnsi="Times New Roman" w:eastAsia="仿宋_GB2312" w:cs="Times New Roman"/>
          <w:kern w:val="0"/>
          <w:sz w:val="32"/>
          <w:szCs w:val="32"/>
          <w:lang w:val="en" w:eastAsia="zh-CN" w:bidi="ar-SA"/>
        </w:rPr>
        <w:t>到</w:t>
      </w:r>
      <w:r>
        <w:rPr>
          <w:rFonts w:hint="default" w:ascii="Times New Roman" w:hAnsi="Times New Roman" w:eastAsia="仿宋_GB2312" w:cs="Times New Roman"/>
          <w:kern w:val="0"/>
          <w:sz w:val="32"/>
          <w:szCs w:val="32"/>
          <w:lang w:val="en" w:eastAsia="zh-CN" w:bidi="ar-SA"/>
        </w:rPr>
        <w:t>位。</w:t>
      </w:r>
    </w:p>
    <w:p>
      <w:pPr>
        <w:keepNext w:val="0"/>
        <w:keepLines w:val="0"/>
        <w:pageBreakBefore w:val="0"/>
        <w:numPr>
          <w:ilvl w:val="0"/>
          <w:numId w:val="0"/>
        </w:numPr>
        <w:kinsoku/>
        <w:wordWrap/>
        <w:topLinePunct w:val="0"/>
        <w:bidi w:val="0"/>
        <w:adjustRightInd/>
        <w:snapToGrid/>
        <w:spacing w:line="560" w:lineRule="exact"/>
        <w:ind w:leftChars="20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六</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中国</w:t>
      </w:r>
      <w:r>
        <w:rPr>
          <w:rFonts w:hint="eastAsia" w:ascii="Times New Roman" w:hAnsi="黑体" w:eastAsia="黑体"/>
          <w:bCs/>
          <w:color w:val="000000" w:themeColor="text1"/>
          <w:kern w:val="0"/>
          <w:sz w:val="32"/>
          <w:szCs w:val="32"/>
          <w14:textFill>
            <w14:solidFill>
              <w14:schemeClr w14:val="tx1"/>
            </w14:solidFill>
          </w14:textFill>
        </w:rPr>
        <w:t>人民银行天津</w:t>
      </w:r>
      <w:r>
        <w:rPr>
          <w:rFonts w:hint="eastAsia" w:ascii="Times New Roman" w:hAnsi="黑体" w:eastAsia="黑体"/>
          <w:bCs/>
          <w:color w:val="000000" w:themeColor="text1"/>
          <w:kern w:val="0"/>
          <w:sz w:val="32"/>
          <w:szCs w:val="32"/>
          <w:lang w:eastAsia="zh-CN"/>
          <w14:textFill>
            <w14:solidFill>
              <w14:schemeClr w14:val="tx1"/>
            </w14:solidFill>
          </w14:textFill>
        </w:rPr>
        <w:t>市</w:t>
      </w:r>
      <w:r>
        <w:rPr>
          <w:rFonts w:hint="eastAsia" w:ascii="Times New Roman" w:hAnsi="黑体" w:eastAsia="黑体"/>
          <w:bCs/>
          <w:color w:val="000000" w:themeColor="text1"/>
          <w:kern w:val="0"/>
          <w:sz w:val="32"/>
          <w:szCs w:val="32"/>
          <w14:textFill>
            <w14:solidFill>
              <w14:schemeClr w14:val="tx1"/>
            </w14:solidFill>
          </w14:textFill>
        </w:rPr>
        <w:t>分行</w:t>
      </w:r>
      <w:r>
        <w:rPr>
          <w:rFonts w:ascii="Times New Roman" w:hAnsi="黑体" w:eastAsia="黑体"/>
          <w:bCs/>
          <w:color w:val="000000" w:themeColor="text1"/>
          <w:kern w:val="0"/>
          <w:sz w:val="32"/>
          <w:szCs w:val="32"/>
          <w14:textFill>
            <w14:solidFill>
              <w14:schemeClr w14:val="tx1"/>
            </w14:solidFill>
          </w14:textFill>
        </w:rPr>
        <w:t>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69</w:t>
      </w:r>
      <w:r>
        <w:rPr>
          <w:rFonts w:hint="eastAsia" w:ascii="Times New Roman" w:hAnsi="Times New Roman" w:eastAsia="仿宋_GB2312" w:cs="Times New Roman"/>
          <w:kern w:val="0"/>
          <w:sz w:val="32"/>
          <w:szCs w:val="32"/>
          <w:lang w:val="en-US" w:eastAsia="zh-CN" w:bidi="ar-SA"/>
        </w:rPr>
        <w:t>.开展金融标准化政策法规宣传。指导辖内金融机构加强标准化相关法律法规政策和重点标准的宣传解读，促进提高从业人员标准化专业技能、知识水平及执行标准自觉性。</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70</w:t>
      </w:r>
      <w:r>
        <w:rPr>
          <w:rFonts w:hint="eastAsia" w:ascii="Times New Roman" w:hAnsi="Times New Roman" w:eastAsia="仿宋_GB2312" w:cs="Times New Roman"/>
          <w:kern w:val="0"/>
          <w:sz w:val="32"/>
          <w:szCs w:val="32"/>
          <w:lang w:val="en-US" w:eastAsia="zh-CN" w:bidi="ar-SA"/>
        </w:rPr>
        <w:t>.开展金融标准普及宣传。组织辖内金融机构通过“一图读懂”、云课堂、小视频等线上形式在主流媒体、官方网站、移动金融客户端、微信公众号等加强金融标准化宣传，通过座谈、研讨、宣讲等线下形式推动金融标准进社区、进校园、进企业。</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七</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国家税务总局天津市税务局开展的活动</w:t>
      </w:r>
    </w:p>
    <w:p>
      <w:pPr>
        <w:ind w:firstLine="640"/>
        <w:jc w:val="left"/>
        <w:rPr>
          <w:rFonts w:hint="default"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71</w:t>
      </w:r>
      <w:r>
        <w:rPr>
          <w:rFonts w:hint="eastAsia" w:ascii="Times New Roman" w:hAnsi="Times New Roman" w:eastAsia="仿宋_GB2312" w:cs="Times New Roman"/>
          <w:kern w:val="0"/>
          <w:sz w:val="32"/>
          <w:szCs w:val="32"/>
          <w:lang w:val="en-US" w:eastAsia="zh-CN" w:bidi="ar-SA"/>
        </w:rPr>
        <w:t xml:space="preserve">.开展政策宣传走访活动。指导各征管单位因地制宜持续推进“银税互动”，加强部门合作，优化线上平台功能，有效运用“预授信”服务模式等新举措，进一步提升中小微企业融资便利性。  </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八</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市司法局开展的活动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72</w:t>
      </w:r>
      <w:r>
        <w:rPr>
          <w:rFonts w:hint="eastAsia" w:ascii="Times New Roman" w:hAnsi="Times New Roman" w:eastAsia="仿宋_GB2312" w:cs="Times New Roman"/>
          <w:kern w:val="0"/>
          <w:sz w:val="32"/>
          <w:szCs w:val="32"/>
          <w:lang w:val="en-US" w:eastAsia="zh-CN" w:bidi="ar-SA"/>
        </w:rPr>
        <w:t>.举办新公司法普法宣讲会。会同市工商联，推动天开高教科创园企业提高防范法律风险能力，助力企业健康、稳定、高质量发展。</w:t>
      </w:r>
    </w:p>
    <w:p>
      <w:pPr>
        <w:pStyle w:val="11"/>
        <w:keepNext w:val="0"/>
        <w:keepLines w:val="0"/>
        <w:pageBreakBefore w:val="0"/>
        <w:numPr>
          <w:ilvl w:val="0"/>
          <w:numId w:val="0"/>
        </w:numPr>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（十九）市统计局开展的活动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73</w:t>
      </w:r>
      <w:r>
        <w:rPr>
          <w:rFonts w:hint="eastAsia" w:ascii="Times New Roman" w:hAnsi="Times New Roman" w:eastAsia="仿宋_GB2312" w:cs="Times New Roman"/>
          <w:kern w:val="0"/>
          <w:sz w:val="32"/>
          <w:szCs w:val="32"/>
          <w:lang w:val="en-US" w:eastAsia="zh-CN" w:bidi="ar-SA"/>
        </w:rPr>
        <w:t>.深入宣贯《天津市质量强市建设纲要》。充分利用局微信、微博资源，加大对质量强市建设相关内容的宣传，围绕职能定位,推动做好统计服务工作。</w:t>
      </w:r>
    </w:p>
    <w:p>
      <w:pPr>
        <w:pStyle w:val="11"/>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（二十）市供销总社</w:t>
      </w:r>
      <w:r>
        <w:rPr>
          <w:rFonts w:hint="eastAsia" w:ascii="Times New Roman" w:hAnsi="黑体" w:eastAsia="黑体"/>
          <w:bCs/>
          <w:color w:val="000000" w:themeColor="text1"/>
          <w:kern w:val="0"/>
          <w:sz w:val="32"/>
          <w:szCs w:val="32"/>
          <w:lang w:eastAsia="zh-CN"/>
          <w14:textFill>
            <w14:solidFill>
              <w14:schemeClr w14:val="tx1"/>
            </w14:solidFill>
          </w14:textFill>
        </w:rPr>
        <w:t>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74</w:t>
      </w:r>
      <w:r>
        <w:rPr>
          <w:rFonts w:hint="eastAsia" w:ascii="Times New Roman" w:hAnsi="Times New Roman" w:eastAsia="仿宋_GB2312" w:cs="Times New Roman"/>
          <w:kern w:val="0"/>
          <w:sz w:val="32"/>
          <w:szCs w:val="32"/>
          <w:lang w:val="en-US" w:eastAsia="zh-CN" w:bidi="ar-SA"/>
        </w:rPr>
        <w:t>.开展直属企业质量教育培训。宣贯《质量强国建设纲要》，营造重视质量、共建质量的浓厚氛围。指导各直属企业提升质量管理，切实履行质量责任和义务，主动加强质量管理，助推高质量发展。</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75</w:t>
      </w:r>
      <w:r>
        <w:rPr>
          <w:rFonts w:hint="eastAsia" w:ascii="Times New Roman" w:hAnsi="Times New Roman" w:eastAsia="仿宋_GB2312" w:cs="Times New Roman"/>
          <w:kern w:val="0"/>
          <w:sz w:val="32"/>
          <w:szCs w:val="32"/>
          <w:lang w:val="en-US" w:eastAsia="zh-CN" w:bidi="ar-SA"/>
        </w:rPr>
        <w:t>.开展供销质量宣传进社区活动。在社区内便民服务点、超市卖场等地，向社区居民群众宣传质量知识，提高居民群众质量意识和素养，展现供销社重视质量、追求质量、关心质量的良好形象。</w:t>
      </w:r>
    </w:p>
    <w:p>
      <w:pPr>
        <w:ind w:firstLine="640"/>
        <w:jc w:val="left"/>
        <w:rPr>
          <w:rFonts w:hint="eastAsia" w:ascii="仿宋_GB2312" w:hAnsi="仿宋_GB2312" w:eastAsia="仿宋_GB2312" w:cs="仿宋_GB2312"/>
          <w:color w:val="auto"/>
          <w:sz w:val="32"/>
          <w:szCs w:val="32"/>
          <w:lang w:eastAsia="zh-CN"/>
        </w:rPr>
      </w:pPr>
      <w:r>
        <w:rPr>
          <w:rFonts w:hint="eastAsia" w:ascii="仿宋_GB2312" w:hAnsi="黑体" w:eastAsia="仿宋_GB2312" w:cs="Times New Roman"/>
          <w:kern w:val="2"/>
          <w:sz w:val="32"/>
          <w:szCs w:val="32"/>
          <w:u w:val="none"/>
          <w:vertAlign w:val="baseline"/>
          <w:lang w:val="en-US" w:eastAsia="zh-CN" w:bidi="ar-SA"/>
        </w:rPr>
        <w:t>76</w:t>
      </w:r>
      <w:r>
        <w:rPr>
          <w:rFonts w:hint="eastAsia" w:ascii="Times New Roman" w:hAnsi="Times New Roman" w:eastAsia="仿宋_GB2312" w:cs="Times New Roman"/>
          <w:kern w:val="0"/>
          <w:sz w:val="32"/>
          <w:szCs w:val="32"/>
          <w:lang w:val="en-US" w:eastAsia="zh-CN" w:bidi="ar-SA"/>
        </w:rPr>
        <w:t>.举办食品安全相关企业专题讲座。邀请食品安全专业技术专家，宣讲解读食品安全相关法律法规，鼓励引导企业签署食品安全责任承诺书，组织质量管理现场观摩和主题交流，促进提升企业质量管理水平，营造良好的质量强市建设氛围。</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（二十一）市应急局开展的活动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77</w:t>
      </w:r>
      <w:r>
        <w:rPr>
          <w:rFonts w:hint="eastAsia" w:ascii="Times New Roman" w:hAnsi="Times New Roman" w:eastAsia="仿宋_GB2312" w:cs="Times New Roman"/>
          <w:kern w:val="0"/>
          <w:sz w:val="32"/>
          <w:szCs w:val="32"/>
          <w:lang w:val="en-US" w:eastAsia="zh-CN" w:bidi="ar-SA"/>
        </w:rPr>
        <w:t>.组织推动应急预案演练。印发《关于做好2024年度应急预案演练工作的通知》，督促推动各区、市有关部门聚焦重点区域、主要风险、重点时段、重大活动，制定年度应急预案演练计划并做好组织实施、总结评估，根据评估结果梳理完善预案措施，进一步提升应急处置能力。</w:t>
      </w:r>
    </w:p>
    <w:p>
      <w:pPr>
        <w:ind w:firstLine="640"/>
        <w:jc w:val="left"/>
        <w:rPr>
          <w:rFonts w:hint="default"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78</w:t>
      </w:r>
      <w:r>
        <w:rPr>
          <w:rFonts w:hint="eastAsia" w:ascii="Times New Roman" w:hAnsi="Times New Roman" w:eastAsia="仿宋_GB2312" w:cs="Times New Roman"/>
          <w:kern w:val="0"/>
          <w:sz w:val="32"/>
          <w:szCs w:val="32"/>
          <w:lang w:val="en-US" w:eastAsia="zh-CN" w:bidi="ar-SA"/>
        </w:rPr>
        <w:t>.组织在蓟州区开展代号“砺剑-2024”重大森林火灾综合扑救实战演练。促进提升我市重大森林火灾扑救及衍生安全生产（危险化学品）事故实战处置能力，规范应急响应、力量调集、指挥协调、现场组织、综合保障、安全管控等工作。</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（二十二）市工商联开展的活动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79</w:t>
      </w:r>
      <w:r>
        <w:rPr>
          <w:rFonts w:hint="eastAsia" w:ascii="Times New Roman" w:hAnsi="Times New Roman" w:eastAsia="仿宋_GB2312" w:cs="Times New Roman"/>
          <w:kern w:val="0"/>
          <w:sz w:val="32"/>
          <w:szCs w:val="32"/>
          <w:lang w:val="en-US" w:eastAsia="zh-CN" w:bidi="ar-SA"/>
        </w:rPr>
        <w:t>.组织开展民营经济标准创新周活动。推动我市民营企业积极参加活动，并向全国工商联申报我市民营企业和商协会组织标准化工作成果宣传短片。</w:t>
      </w:r>
    </w:p>
    <w:p>
      <w:pPr>
        <w:ind w:firstLine="640"/>
        <w:jc w:val="left"/>
        <w:rPr>
          <w:rFonts w:hint="default" w:ascii="Times New Roman" w:hAnsi="Times New Roman" w:eastAsia="仿宋_GB2312" w:cs="Times New Roman"/>
          <w:kern w:val="0"/>
          <w:sz w:val="32"/>
          <w:szCs w:val="32"/>
          <w:lang w:val="en" w:eastAsia="zh-CN" w:bidi="ar-SA"/>
        </w:rPr>
      </w:pPr>
      <w:r>
        <w:rPr>
          <w:rFonts w:hint="eastAsia" w:ascii="仿宋_GB2312" w:hAnsi="黑体" w:eastAsia="仿宋_GB2312" w:cs="Times New Roman"/>
          <w:kern w:val="2"/>
          <w:sz w:val="32"/>
          <w:szCs w:val="32"/>
          <w:u w:val="none"/>
          <w:vertAlign w:val="baseline"/>
          <w:lang w:val="en-US" w:eastAsia="zh-CN" w:bidi="ar-SA"/>
        </w:rPr>
        <w:t>80</w:t>
      </w:r>
      <w:r>
        <w:rPr>
          <w:rFonts w:hint="eastAsia" w:ascii="Times New Roman" w:hAnsi="Times New Roman" w:eastAsia="仿宋_GB2312" w:cs="Times New Roman"/>
          <w:kern w:val="0"/>
          <w:sz w:val="32"/>
          <w:szCs w:val="32"/>
          <w:lang w:val="en-US" w:eastAsia="zh-CN" w:bidi="ar-SA"/>
        </w:rPr>
        <w:t>.组织我市商协会积极参加全国工商联商会团体标准“领先者”评选活动。</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（二十三）市质协</w:t>
      </w:r>
      <w:r>
        <w:rPr>
          <w:rFonts w:hint="eastAsia" w:ascii="Times New Roman" w:hAnsi="黑体" w:eastAsia="黑体"/>
          <w:bCs/>
          <w:color w:val="000000" w:themeColor="text1"/>
          <w:kern w:val="0"/>
          <w:sz w:val="32"/>
          <w:szCs w:val="32"/>
          <w:lang w:eastAsia="zh-CN"/>
          <w14:textFill>
            <w14:solidFill>
              <w14:schemeClr w14:val="tx1"/>
            </w14:solidFill>
          </w14:textFill>
        </w:rPr>
        <w:t>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81</w:t>
      </w:r>
      <w:r>
        <w:rPr>
          <w:rFonts w:hint="eastAsia" w:ascii="Times New Roman" w:hAnsi="Times New Roman" w:eastAsia="仿宋_GB2312" w:cs="Times New Roman"/>
          <w:kern w:val="0"/>
          <w:sz w:val="32"/>
          <w:szCs w:val="32"/>
          <w:lang w:val="en-US" w:eastAsia="zh-CN" w:bidi="ar-SA"/>
        </w:rPr>
        <w:t>.举办第十二届全国品牌故事大赛天津初赛活动。通过征文、微电影、短视频、演讲四个赛项，以“发展新质生产力 、释放品牌新势能”为主题，推动形成全社会爱护品牌、享受品牌的良好氛围，为经济社会高质量发展贡献品牌力量。</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82</w:t>
      </w:r>
      <w:r>
        <w:rPr>
          <w:rFonts w:hint="eastAsia" w:ascii="Times New Roman" w:hAnsi="Times New Roman" w:eastAsia="仿宋_GB2312" w:cs="Times New Roman"/>
          <w:kern w:val="0"/>
          <w:sz w:val="32"/>
          <w:szCs w:val="32"/>
          <w:lang w:val="en-US" w:eastAsia="zh-CN" w:bidi="ar-SA"/>
        </w:rPr>
        <w:t>.举办第八届全国QC小组故事演讲比赛天津分赛区初赛活动。在全社会弘扬QC小组持续改进、精益求精的“工匠精神”，营造人人关心质量、积极参与QC小组活动的良好社会氛围。</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83</w:t>
      </w:r>
      <w:r>
        <w:rPr>
          <w:rFonts w:hint="eastAsia" w:ascii="Times New Roman" w:hAnsi="Times New Roman" w:eastAsia="仿宋_GB2312" w:cs="Times New Roman"/>
          <w:kern w:val="0"/>
          <w:sz w:val="32"/>
          <w:szCs w:val="32"/>
          <w:lang w:val="en-US" w:eastAsia="zh-CN" w:bidi="ar-SA"/>
        </w:rPr>
        <w:t>.推动开展用户满意等级评价工作。引导企业关注用户需求和全过程消费体验，促进产品、工程、服务质量水平提升，评价出天津市星级企业，择优推荐参加国家级评价，营造关注用户满意的质量环境。</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84</w:t>
      </w:r>
      <w:r>
        <w:rPr>
          <w:rFonts w:hint="eastAsia" w:ascii="Times New Roman" w:hAnsi="Times New Roman" w:eastAsia="仿宋_GB2312" w:cs="Times New Roman"/>
          <w:kern w:val="0"/>
          <w:sz w:val="32"/>
          <w:szCs w:val="32"/>
          <w:lang w:val="en-US" w:eastAsia="zh-CN" w:bidi="ar-SA"/>
        </w:rPr>
        <w:t>.开展现场管理推进活动。组织会员单位现场观摩学习交流，促进我市企业现场管理水平向更高标准迈进。</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85</w:t>
      </w:r>
      <w:r>
        <w:rPr>
          <w:rFonts w:hint="eastAsia" w:ascii="Times New Roman" w:hAnsi="Times New Roman" w:eastAsia="仿宋_GB2312" w:cs="Times New Roman"/>
          <w:kern w:val="0"/>
          <w:sz w:val="32"/>
          <w:szCs w:val="32"/>
          <w:lang w:val="en-US" w:eastAsia="zh-CN" w:bidi="ar-SA"/>
        </w:rPr>
        <w:t>.开展质协助企调研服务。发挥协会纽带桥梁作用，针对企业发展难点、痛点、卡点，整合社会资源，为企业办实事、办好事，全力服务企业高质量发展。</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86</w:t>
      </w:r>
      <w:r>
        <w:rPr>
          <w:rFonts w:hint="eastAsia" w:ascii="Times New Roman" w:hAnsi="Times New Roman" w:eastAsia="仿宋_GB2312" w:cs="Times New Roman"/>
          <w:kern w:val="0"/>
          <w:sz w:val="32"/>
          <w:szCs w:val="32"/>
          <w:lang w:val="en-US" w:eastAsia="zh-CN" w:bidi="ar-SA"/>
        </w:rPr>
        <w:t>.推广企业质量活动。海尔天津电器公司集中举办顽症项目改善发布、六西格玛培训及项目发布活动。中建钢构天津公司集中开展第二期质量总监培训和质量知识竞赛活动。</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（二十四）</w:t>
      </w:r>
      <w:r>
        <w:rPr>
          <w:rFonts w:hint="eastAsia" w:ascii="Times New Roman" w:hAnsi="黑体" w:eastAsia="黑体"/>
          <w:bCs/>
          <w:color w:val="000000" w:themeColor="text1"/>
          <w:kern w:val="0"/>
          <w:sz w:val="32"/>
          <w:szCs w:val="32"/>
          <w:lang w:eastAsia="zh-CN"/>
          <w14:textFill>
            <w14:solidFill>
              <w14:schemeClr w14:val="tx1"/>
            </w14:solidFill>
          </w14:textFill>
        </w:rPr>
        <w:t>市总工会开展的活动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eastAsia" w:ascii="仿宋_GB2312" w:hAnsi="黑体" w:eastAsia="仿宋_GB2312" w:cs="Times New Roman"/>
          <w:kern w:val="2"/>
          <w:sz w:val="32"/>
          <w:szCs w:val="32"/>
          <w:u w:val="none"/>
          <w:vertAlign w:val="baseline"/>
          <w:lang w:val="en-US" w:eastAsia="zh-CN" w:bidi="ar-SA"/>
        </w:rPr>
        <w:t>87</w:t>
      </w:r>
      <w:r>
        <w:rPr>
          <w:rFonts w:hint="eastAsia" w:ascii="Times New Roman" w:hAnsi="Times New Roman" w:eastAsia="仿宋_GB2312" w:cs="Times New Roman"/>
          <w:kern w:val="0"/>
          <w:sz w:val="32"/>
          <w:szCs w:val="32"/>
          <w:lang w:val="en-US" w:eastAsia="zh-CN" w:bidi="ar-SA"/>
        </w:rPr>
        <w:t>.举办“创新京津冀”主题劳动和技能竞赛。联合北京市总工会、河北省总工会，选取网络安全（网络与信息安全管理员）、区块链技术创新应用（区块链应用操作员）、航空航天模型加工（多工序数控机床操作调整工）、机器人系统集成（工业机器人系统操作员）等四个赛项开展“创新赋能展风采，争先创优建新功”京津冀职工职业技能大赛。</w:t>
      </w:r>
    </w:p>
    <w:p>
      <w:pPr>
        <w:keepNext w:val="0"/>
        <w:keepLines w:val="0"/>
        <w:pageBreakBefore w:val="0"/>
        <w:numPr>
          <w:ilvl w:val="0"/>
          <w:numId w:val="0"/>
        </w:numPr>
        <w:kinsoku/>
        <w:wordWrap/>
        <w:topLinePunct w:val="0"/>
        <w:bidi w:val="0"/>
        <w:adjustRightInd/>
        <w:snapToGrid/>
        <w:spacing w:line="560" w:lineRule="exact"/>
        <w:ind w:left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（二十五）</w:t>
      </w:r>
      <w:r>
        <w:rPr>
          <w:rFonts w:hint="eastAsia" w:ascii="Times New Roman" w:hAnsi="黑体" w:eastAsia="黑体"/>
          <w:bCs/>
          <w:color w:val="000000" w:themeColor="text1"/>
          <w:kern w:val="0"/>
          <w:sz w:val="32"/>
          <w:szCs w:val="32"/>
          <w14:textFill>
            <w14:solidFill>
              <w14:schemeClr w14:val="tx1"/>
            </w14:solidFill>
          </w14:textFill>
        </w:rPr>
        <w:t>团市委开展的活动</w:t>
      </w:r>
    </w:p>
    <w:p>
      <w:pPr>
        <w:ind w:firstLine="640"/>
        <w:jc w:val="left"/>
        <w:rPr>
          <w:rFonts w:hint="eastAsia" w:ascii="Times New Roman" w:hAnsi="Times New Roman" w:eastAsia="仿宋_GB2312" w:cs="Times New Roman"/>
          <w:kern w:val="0"/>
          <w:sz w:val="32"/>
          <w:szCs w:val="32"/>
          <w:lang w:val="en-US" w:eastAsia="zh-CN" w:bidi="ar-SA"/>
        </w:rPr>
      </w:pPr>
      <w:r>
        <w:rPr>
          <w:rFonts w:hint="default" w:ascii="仿宋_GB2312" w:hAnsi="黑体" w:eastAsia="仿宋_GB2312" w:cs="Times New Roman"/>
          <w:kern w:val="2"/>
          <w:sz w:val="32"/>
          <w:szCs w:val="32"/>
          <w:u w:val="none"/>
          <w:vertAlign w:val="baseline"/>
          <w:lang w:val="en" w:eastAsia="zh-CN" w:bidi="ar-SA"/>
        </w:rPr>
        <w:t>88</w:t>
      </w:r>
      <w:r>
        <w:rPr>
          <w:rFonts w:hint="eastAsia" w:ascii="Times New Roman" w:hAnsi="Times New Roman" w:eastAsia="仿宋_GB2312" w:cs="Times New Roman"/>
          <w:kern w:val="0"/>
          <w:sz w:val="32"/>
          <w:szCs w:val="32"/>
          <w:lang w:val="en-US" w:eastAsia="zh-CN" w:bidi="ar-SA"/>
        </w:rPr>
        <w:t>.举办2024年“海河工匠杯”技能大赛--第十八届“振兴杯”全国青年职业技能大赛天津赛区选拔赛。主体赛包括电工、钳工、信息通信网络线务员 （5G网络建设方向）、物联网安装调试员、机床装调维修工等5个竞赛职业（工种）；专项赛为创新创效竞赛，分设研发创新类、技术革新类、管理创新类3个竞赛方向。</w:t>
      </w:r>
    </w:p>
    <w:p>
      <w:pPr>
        <w:keepNext w:val="0"/>
        <w:keepLines w:val="0"/>
        <w:pageBreakBefore w:val="0"/>
        <w:kinsoku/>
        <w:wordWrap/>
        <w:topLinePunct w:val="0"/>
        <w:bidi w:val="0"/>
        <w:adjustRightInd/>
        <w:snapToGrid/>
        <w:spacing w:line="560" w:lineRule="exact"/>
        <w:ind w:firstLine="640" w:firstLineChars="200"/>
        <w:rPr>
          <w:rFonts w:hint="default" w:ascii="Times New Roman" w:hAnsi="黑体" w:eastAsia="黑体"/>
          <w:bCs/>
          <w:color w:val="000000" w:themeColor="text1"/>
          <w:kern w:val="0"/>
          <w:sz w:val="32"/>
          <w:szCs w:val="32"/>
          <w:lang w:val="en-US"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二、各区开展的活动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各区在积极参与全市活动基础上，结合区域特点开展相关活动如下：</w:t>
      </w:r>
    </w:p>
    <w:p>
      <w:pPr>
        <w:keepNext w:val="0"/>
        <w:keepLines w:val="0"/>
        <w:pageBreakBefore w:val="0"/>
        <w:numPr>
          <w:ilvl w:val="0"/>
          <w:numId w:val="3"/>
        </w:numPr>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和平区</w:t>
      </w:r>
    </w:p>
    <w:p>
      <w:pPr>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开展质量提升行动、打造质量品牌“以质取胜”宣传活动、2024年和平区防汛实操拉动演练、科普日进校园、寄递企业绿色包装宣传活动、中秋国庆假日旅游市场检查、食品安全宣传进校园、定期夜间巡查与中秋国庆两节巡查等活动。</w:t>
      </w:r>
    </w:p>
    <w:p>
      <w:pPr>
        <w:keepNext w:val="0"/>
        <w:keepLines w:val="0"/>
        <w:pageBreakBefore w:val="0"/>
        <w:numPr>
          <w:ilvl w:val="0"/>
          <w:numId w:val="3"/>
        </w:numPr>
        <w:kinsoku/>
        <w:wordWrap/>
        <w:topLinePunct w:val="0"/>
        <w:bidi w:val="0"/>
        <w:adjustRightInd/>
        <w:snapToGrid/>
        <w:spacing w:line="560" w:lineRule="exact"/>
        <w:ind w:left="0"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河北区</w:t>
      </w:r>
    </w:p>
    <w:p>
      <w:pPr>
        <w:pStyle w:val="5"/>
        <w:numPr>
          <w:ilvl w:val="0"/>
          <w:numId w:val="0"/>
        </w:numPr>
        <w:ind w:firstLine="640" w:firstLineChars="200"/>
        <w:rPr>
          <w:rFonts w:hint="eastAsia" w:eastAsia="仿宋_GB2312"/>
          <w:lang w:val="en-US" w:eastAsia="zh-CN"/>
        </w:rPr>
      </w:pPr>
      <w:r>
        <w:rPr>
          <w:rFonts w:hint="eastAsia" w:ascii="Times New Roman" w:hAnsi="Times New Roman" w:eastAsia="仿宋_GB2312" w:cs="Times New Roman"/>
          <w:color w:val="000000"/>
          <w:sz w:val="32"/>
          <w:szCs w:val="32"/>
          <w:lang w:val="en-US" w:eastAsia="zh-CN"/>
        </w:rPr>
        <w:t>开展</w:t>
      </w:r>
      <w:r>
        <w:rPr>
          <w:rFonts w:ascii="Times New Roman" w:hAnsi="Times New Roman" w:eastAsia="仿宋_GB2312" w:cs="Times New Roman"/>
          <w:color w:val="000000"/>
          <w:sz w:val="32"/>
          <w:szCs w:val="32"/>
        </w:rPr>
        <w:t>质量月宣传</w:t>
      </w:r>
      <w:r>
        <w:rPr>
          <w:rFonts w:hint="eastAsia" w:eastAsia="仿宋_GB2312" w:cs="Times New Roman"/>
          <w:color w:val="000000"/>
          <w:sz w:val="32"/>
          <w:szCs w:val="32"/>
          <w:lang w:eastAsia="zh-CN"/>
        </w:rPr>
        <w:t>进</w:t>
      </w:r>
      <w:r>
        <w:rPr>
          <w:rFonts w:ascii="Times New Roman" w:hAnsi="Times New Roman" w:eastAsia="仿宋_GB2312" w:cs="Times New Roman"/>
          <w:color w:val="000000"/>
          <w:sz w:val="32"/>
          <w:szCs w:val="32"/>
        </w:rPr>
        <w:t>社区</w:t>
      </w:r>
      <w:r>
        <w:rPr>
          <w:rFonts w:hint="eastAsia" w:eastAsia="仿宋_GB2312" w:cs="Times New Roman"/>
          <w:color w:val="000000"/>
          <w:sz w:val="32"/>
          <w:szCs w:val="32"/>
          <w:lang w:eastAsia="zh-CN"/>
        </w:rPr>
        <w:t>进</w:t>
      </w:r>
      <w:r>
        <w:rPr>
          <w:rFonts w:ascii="Times New Roman" w:hAnsi="Times New Roman" w:eastAsia="仿宋_GB2312" w:cs="Times New Roman"/>
          <w:color w:val="000000"/>
          <w:sz w:val="32"/>
          <w:szCs w:val="32"/>
        </w:rPr>
        <w:t>学校</w:t>
      </w:r>
      <w:r>
        <w:rPr>
          <w:rFonts w:hint="eastAsia" w:eastAsia="仿宋_GB2312" w:cs="Times New Roman"/>
          <w:color w:val="000000"/>
          <w:sz w:val="32"/>
          <w:szCs w:val="32"/>
          <w:lang w:eastAsia="zh-CN"/>
        </w:rPr>
        <w:t>进</w:t>
      </w:r>
      <w:r>
        <w:rPr>
          <w:rFonts w:ascii="Times New Roman" w:hAnsi="Times New Roman" w:eastAsia="仿宋_GB2312" w:cs="Times New Roman"/>
          <w:color w:val="000000"/>
          <w:sz w:val="32"/>
          <w:szCs w:val="32"/>
        </w:rPr>
        <w:t>企业</w:t>
      </w:r>
      <w:r>
        <w:rPr>
          <w:rFonts w:hint="eastAsia" w:eastAsia="仿宋_GB2312" w:cs="Times New Roman"/>
          <w:color w:val="000000"/>
          <w:sz w:val="32"/>
          <w:szCs w:val="32"/>
          <w:lang w:eastAsia="zh-CN"/>
        </w:rPr>
        <w:t>、</w:t>
      </w:r>
      <w:r>
        <w:rPr>
          <w:rFonts w:hint="eastAsia" w:ascii="Times New Roman" w:hAnsi="Times New Roman" w:eastAsia="仿宋_GB2312" w:cs="Times New Roman"/>
          <w:bCs w:val="0"/>
          <w:color w:val="000000"/>
          <w:kern w:val="2"/>
          <w:sz w:val="32"/>
          <w:szCs w:val="32"/>
          <w:lang w:val="en-US" w:eastAsia="zh-CN" w:bidi="ar-SA"/>
        </w:rPr>
        <w:t>推进</w:t>
      </w:r>
      <w:r>
        <w:rPr>
          <w:rFonts w:hint="eastAsia" w:ascii="仿宋_GB2312" w:hAnsi="仿宋_GB2312" w:eastAsia="仿宋_GB2312" w:cs="仿宋_GB2312"/>
          <w:sz w:val="32"/>
          <w:szCs w:val="32"/>
          <w:lang w:val="en-US" w:eastAsia="zh-CN"/>
        </w:rPr>
        <w:t>全国“网络市场监管与服务示范区”创建、</w:t>
      </w:r>
      <w:r>
        <w:rPr>
          <w:rFonts w:hint="eastAsia" w:ascii="Times New Roman" w:hAnsi="Times New Roman" w:eastAsia="仿宋_GB2312" w:cs="Times New Roman"/>
          <w:kern w:val="0"/>
          <w:sz w:val="32"/>
          <w:szCs w:val="32"/>
          <w:lang w:val="en-US" w:eastAsia="zh-CN"/>
        </w:rPr>
        <w:t>走访帮扶指导企业</w:t>
      </w:r>
      <w:r>
        <w:rPr>
          <w:rFonts w:ascii="Times New Roman" w:hAnsi="Times New Roman" w:eastAsia="仿宋_GB2312" w:cs="Times New Roman"/>
          <w:sz w:val="32"/>
          <w:szCs w:val="32"/>
        </w:rPr>
        <w:t>持续提升质量基础设施协同服务效能</w:t>
      </w:r>
      <w:r>
        <w:rPr>
          <w:rFonts w:hint="eastAsia" w:eastAsia="仿宋_GB2312" w:cs="Times New Roman"/>
          <w:sz w:val="32"/>
          <w:szCs w:val="32"/>
          <w:lang w:eastAsia="zh-CN"/>
        </w:rPr>
        <w:t>等活动。</w:t>
      </w:r>
    </w:p>
    <w:p>
      <w:pPr>
        <w:keepNext w:val="0"/>
        <w:keepLines w:val="0"/>
        <w:pageBreakBefore w:val="0"/>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（三）</w:t>
      </w:r>
      <w:r>
        <w:rPr>
          <w:rFonts w:hint="eastAsia" w:ascii="Times New Roman" w:hAnsi="黑体" w:eastAsia="黑体"/>
          <w:bCs/>
          <w:color w:val="000000" w:themeColor="text1"/>
          <w:kern w:val="0"/>
          <w:sz w:val="32"/>
          <w:szCs w:val="32"/>
          <w14:textFill>
            <w14:solidFill>
              <w14:schemeClr w14:val="tx1"/>
            </w14:solidFill>
          </w14:textFill>
        </w:rPr>
        <w:t>河东区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kern w:val="0"/>
          <w:sz w:val="32"/>
          <w:szCs w:val="32"/>
          <w:lang w:val="en-US" w:eastAsia="zh-CN"/>
        </w:rPr>
      </w:pPr>
      <w:r>
        <w:rPr>
          <w:rStyle w:val="21"/>
          <w:rFonts w:hint="eastAsia" w:ascii="仿宋_GB2312" w:hAnsi="仿宋_GB2312" w:eastAsia="仿宋_GB2312" w:cs="仿宋_GB2312"/>
          <w:b w:val="0"/>
          <w:bCs w:val="0"/>
          <w:color w:val="auto"/>
          <w:sz w:val="32"/>
          <w:szCs w:val="32"/>
          <w:lang w:val="en-US" w:eastAsia="zh-CN"/>
        </w:rPr>
        <w:t>开</w:t>
      </w:r>
      <w:r>
        <w:rPr>
          <w:rFonts w:ascii="Times New Roman" w:hAnsi="Times New Roman" w:eastAsia="仿宋_GB2312"/>
          <w:sz w:val="32"/>
          <w:szCs w:val="32"/>
        </w:rPr>
        <w:t>展</w:t>
      </w:r>
      <w:r>
        <w:rPr>
          <w:rFonts w:hint="eastAsia" w:ascii="Times New Roman" w:hAnsi="Times New Roman" w:eastAsia="仿宋_GB2312"/>
          <w:sz w:val="32"/>
          <w:szCs w:val="32"/>
        </w:rPr>
        <w:t>“大</w:t>
      </w:r>
      <w:r>
        <w:rPr>
          <w:rFonts w:ascii="Times New Roman" w:hAnsi="Times New Roman" w:eastAsia="仿宋_GB2312"/>
          <w:sz w:val="32"/>
          <w:szCs w:val="32"/>
        </w:rPr>
        <w:t>质量</w:t>
      </w:r>
      <w:r>
        <w:rPr>
          <w:rFonts w:hint="eastAsia" w:ascii="Times New Roman" w:hAnsi="Times New Roman" w:eastAsia="仿宋_GB2312"/>
          <w:sz w:val="32"/>
          <w:szCs w:val="32"/>
        </w:rPr>
        <w:t>”</w:t>
      </w:r>
      <w:r>
        <w:rPr>
          <w:rFonts w:ascii="Times New Roman" w:hAnsi="Times New Roman" w:eastAsia="仿宋_GB2312"/>
          <w:sz w:val="32"/>
          <w:szCs w:val="32"/>
        </w:rPr>
        <w:t>专题宣传活动</w:t>
      </w:r>
      <w:r>
        <w:rPr>
          <w:rFonts w:hint="eastAsia" w:ascii="Times New Roman" w:hAnsi="Times New Roman" w:eastAsia="仿宋_GB2312"/>
          <w:sz w:val="32"/>
          <w:szCs w:val="32"/>
          <w:lang w:eastAsia="zh-CN"/>
        </w:rPr>
        <w:t>、</w:t>
      </w:r>
      <w:r>
        <w:rPr>
          <w:rFonts w:ascii="Times New Roman" w:hAnsi="Times New Roman" w:eastAsia="仿宋_GB2312"/>
          <w:sz w:val="32"/>
          <w:szCs w:val="32"/>
        </w:rPr>
        <w:t>推动质量</w:t>
      </w:r>
      <w:r>
        <w:rPr>
          <w:rFonts w:hint="eastAsia" w:ascii="Times New Roman" w:hAnsi="Times New Roman" w:eastAsia="仿宋_GB2312"/>
          <w:sz w:val="32"/>
          <w:szCs w:val="32"/>
          <w:lang w:eastAsia="zh-CN"/>
        </w:rPr>
        <w:t>宣传</w:t>
      </w:r>
      <w:r>
        <w:rPr>
          <w:rFonts w:ascii="Times New Roman" w:hAnsi="Times New Roman" w:eastAsia="仿宋_GB2312"/>
          <w:sz w:val="32"/>
          <w:szCs w:val="32"/>
        </w:rPr>
        <w:t>进机关进企业进校园进社区</w:t>
      </w:r>
      <w:r>
        <w:rPr>
          <w:rFonts w:hint="eastAsia" w:ascii="Times New Roman" w:hAnsi="Times New Roman" w:eastAsia="仿宋_GB2312"/>
          <w:sz w:val="32"/>
          <w:szCs w:val="32"/>
          <w:lang w:eastAsia="zh-CN"/>
        </w:rPr>
        <w:t>、</w:t>
      </w:r>
      <w:r>
        <w:rPr>
          <w:rFonts w:hint="eastAsia" w:ascii="Times New Roman" w:hAnsi="Times New Roman" w:eastAsia="仿宋_GB2312"/>
          <w:kern w:val="0"/>
          <w:sz w:val="32"/>
          <w:szCs w:val="32"/>
        </w:rPr>
        <w:t>开展12315市场监管热线、电梯安全宣传周、</w:t>
      </w:r>
      <w:r>
        <w:rPr>
          <w:rFonts w:hint="eastAsia" w:ascii="仿宋_GB2312" w:hAnsi="仿宋_GB2312" w:eastAsia="仿宋_GB2312" w:cs="仿宋_GB2312"/>
          <w:color w:val="auto"/>
          <w:kern w:val="0"/>
          <w:sz w:val="32"/>
          <w:szCs w:val="32"/>
          <w:highlight w:val="none"/>
        </w:rPr>
        <w:t>计量</w:t>
      </w:r>
      <w:r>
        <w:rPr>
          <w:rFonts w:hint="eastAsia" w:ascii="仿宋_GB2312" w:hAnsi="仿宋_GB2312" w:eastAsia="仿宋_GB2312" w:cs="仿宋_GB2312"/>
          <w:color w:val="auto"/>
          <w:kern w:val="0"/>
          <w:sz w:val="32"/>
          <w:szCs w:val="32"/>
          <w:highlight w:val="none"/>
          <w:lang w:eastAsia="zh-CN"/>
        </w:rPr>
        <w:t>便民服务日、</w:t>
      </w:r>
      <w:r>
        <w:rPr>
          <w:rFonts w:hint="eastAsia" w:ascii="Nimbus Roman No9 L" w:hAnsi="Nimbus Roman No9 L" w:eastAsia="仿宋_GB2312" w:cs="Nimbus Roman No9 L"/>
          <w:color w:val="000000"/>
          <w:kern w:val="2"/>
          <w:sz w:val="32"/>
          <w:szCs w:val="32"/>
          <w:lang w:val="en-US" w:eastAsia="zh-CN" w:bidi="ar-SA"/>
        </w:rPr>
        <w:t>金融安全知识</w:t>
      </w:r>
      <w:r>
        <w:rPr>
          <w:rFonts w:hint="eastAsia" w:ascii="Times New Roman" w:hAnsi="Times New Roman" w:eastAsia="仿宋_GB2312"/>
          <w:kern w:val="0"/>
          <w:sz w:val="32"/>
          <w:szCs w:val="32"/>
        </w:rPr>
        <w:t>等宣传活动</w:t>
      </w:r>
      <w:r>
        <w:rPr>
          <w:rFonts w:hint="eastAsia" w:ascii="Times New Roman" w:hAnsi="Times New Roman" w:eastAsia="仿宋_GB2312"/>
          <w:kern w:val="0"/>
          <w:sz w:val="32"/>
          <w:szCs w:val="32"/>
          <w:lang w:eastAsia="zh-CN"/>
        </w:rPr>
        <w:t>，</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检验检测产业优化升级行动</w:t>
      </w:r>
      <w:r>
        <w:rPr>
          <w:rFonts w:hint="eastAsia" w:ascii="仿宋_GB2312" w:hAnsi="仿宋_GB2312" w:eastAsia="仿宋_GB2312" w:cs="仿宋_GB2312"/>
          <w:sz w:val="32"/>
          <w:szCs w:val="32"/>
          <w:lang w:val="en-US" w:eastAsia="zh-CN"/>
        </w:rPr>
        <w:t>、质量技术帮扶“提质强企”行动、电控配电设备行业碳达峰、碳中和公共服务、</w:t>
      </w:r>
      <w:r>
        <w:rPr>
          <w:rStyle w:val="21"/>
          <w:rFonts w:hint="eastAsia" w:ascii="仿宋_GB2312" w:hAnsi="仿宋_GB2312" w:eastAsia="仿宋_GB2312" w:cs="仿宋_GB2312"/>
          <w:b w:val="0"/>
          <w:bCs w:val="0"/>
          <w:color w:val="auto"/>
          <w:sz w:val="32"/>
          <w:szCs w:val="32"/>
          <w:lang w:val="en-US" w:eastAsia="zh-CN"/>
        </w:rPr>
        <w:t>新建质量基础设施“一站式”综合服务平台、</w:t>
      </w:r>
      <w:r>
        <w:rPr>
          <w:rFonts w:hint="eastAsia" w:ascii="仿宋_GB2312" w:hAnsi="仿宋_GB2312" w:eastAsia="仿宋_GB2312" w:cs="仿宋_GB2312"/>
          <w:sz w:val="32"/>
          <w:szCs w:val="32"/>
          <w:lang w:val="en-US" w:eastAsia="zh-CN"/>
        </w:rPr>
        <w:t>小微企业质量管理体系认证提升行动、</w:t>
      </w:r>
      <w:r>
        <w:rPr>
          <w:rFonts w:hint="default" w:ascii="Times New Roman" w:hAnsi="Times New Roman" w:eastAsia="仿宋_GB2312" w:cs="Times New Roman"/>
          <w:kern w:val="0"/>
          <w:sz w:val="32"/>
          <w:szCs w:val="32"/>
        </w:rPr>
        <w:t>质量攻关</w:t>
      </w:r>
      <w:r>
        <w:rPr>
          <w:rFonts w:hint="eastAsia" w:ascii="Times New Roman" w:hAnsi="Times New Roman" w:eastAsia="仿宋_GB2312" w:cs="Times New Roman"/>
          <w:kern w:val="0"/>
          <w:sz w:val="32"/>
          <w:szCs w:val="32"/>
          <w:lang w:eastAsia="zh-CN"/>
        </w:rPr>
        <w:t>活动、</w:t>
      </w:r>
      <w:r>
        <w:rPr>
          <w:rFonts w:hint="eastAsia" w:ascii="Nimbus Roman No9 L" w:hAnsi="Nimbus Roman No9 L" w:eastAsia="仿宋_GB2312" w:cs="Nimbus Roman No9 L"/>
          <w:color w:val="000000"/>
          <w:kern w:val="0"/>
          <w:sz w:val="32"/>
          <w:szCs w:val="32"/>
          <w:lang w:val="en-US" w:eastAsia="zh-CN" w:bidi="ar-SA"/>
        </w:rPr>
        <w:t>举办区级职工职业技能大赛、</w:t>
      </w:r>
      <w:r>
        <w:rPr>
          <w:rFonts w:hint="eastAsia" w:ascii="仿宋_GB2312" w:hAnsi="仿宋_GB2312" w:eastAsia="仿宋_GB2312" w:cs="仿宋_GB2312"/>
          <w:sz w:val="32"/>
          <w:szCs w:val="32"/>
          <w:lang w:val="en-US" w:eastAsia="zh-CN"/>
        </w:rPr>
        <w:t>重点领域执法监管、</w:t>
      </w:r>
      <w:r>
        <w:rPr>
          <w:rFonts w:hint="eastAsia" w:ascii="仿宋_GB2312" w:hAnsi="仿宋_GB2312" w:eastAsia="仿宋_GB2312" w:cs="仿宋_GB2312"/>
          <w:color w:val="auto"/>
          <w:sz w:val="32"/>
          <w:szCs w:val="32"/>
          <w:lang w:val="en-US" w:eastAsia="zh-CN"/>
        </w:rPr>
        <w:t>认证从业机构监管、</w:t>
      </w:r>
      <w:r>
        <w:rPr>
          <w:rFonts w:hint="eastAsia" w:ascii="仿宋_GB2312" w:hAnsi="仿宋_GB2312" w:eastAsia="仿宋_GB2312" w:cs="仿宋_GB2312"/>
          <w:sz w:val="32"/>
          <w:szCs w:val="32"/>
          <w:lang w:val="en-US" w:eastAsia="zh-CN"/>
        </w:rPr>
        <w:t>“认证走流程”活动、</w:t>
      </w:r>
      <w:r>
        <w:rPr>
          <w:rFonts w:hint="eastAsia" w:ascii="Times New Roman" w:hAnsi="Times New Roman" w:eastAsia="仿宋_GB2312" w:cs="Times New Roman"/>
          <w:color w:val="000000"/>
          <w:sz w:val="32"/>
          <w:szCs w:val="32"/>
          <w:lang w:val="en" w:eastAsia="zh-CN"/>
        </w:rPr>
        <w:t>工程质量执法检查、</w:t>
      </w:r>
      <w:r>
        <w:rPr>
          <w:rFonts w:hint="eastAsia" w:ascii="Times New Roman" w:hAnsi="Times New Roman" w:eastAsia="仿宋_GB2312" w:cs="Times New Roman"/>
          <w:color w:val="000000"/>
          <w:sz w:val="32"/>
          <w:szCs w:val="32"/>
          <w:lang w:val="en-US" w:eastAsia="zh-CN"/>
        </w:rPr>
        <w:t>文化和旅游市场“强监管提质效</w:t>
      </w:r>
      <w:r>
        <w:rPr>
          <w:rFonts w:hint="eastAsia" w:ascii="Times New Roman" w:hAnsi="Times New Roman" w:eastAsia="仿宋_GB2312" w:cs="Times New Roman"/>
          <w:color w:val="000000"/>
          <w:sz w:val="32"/>
          <w:szCs w:val="32"/>
          <w:lang w:val="en" w:eastAsia="zh-CN"/>
        </w:rPr>
        <w:t xml:space="preserve"> </w:t>
      </w:r>
      <w:r>
        <w:rPr>
          <w:rFonts w:hint="eastAsia" w:ascii="Times New Roman" w:hAnsi="Times New Roman" w:eastAsia="仿宋_GB2312" w:cs="Times New Roman"/>
          <w:color w:val="000000"/>
          <w:sz w:val="32"/>
          <w:szCs w:val="32"/>
          <w:lang w:val="en-US" w:eastAsia="zh-CN"/>
        </w:rPr>
        <w:t>促发展”专项行动</w:t>
      </w:r>
      <w:r>
        <w:rPr>
          <w:rFonts w:hint="eastAsia" w:ascii="Times New Roman" w:hAnsi="Times New Roman" w:eastAsia="仿宋_GB2312" w:cs="Times New Roman"/>
          <w:color w:val="000000"/>
          <w:sz w:val="32"/>
          <w:szCs w:val="32"/>
          <w:lang w:val="en" w:eastAsia="zh-CN"/>
        </w:rPr>
        <w:t>。</w:t>
      </w:r>
    </w:p>
    <w:p>
      <w:pPr>
        <w:keepNext w:val="0"/>
        <w:keepLines w:val="0"/>
        <w:pageBreakBefore w:val="0"/>
        <w:numPr>
          <w:ilvl w:val="0"/>
          <w:numId w:val="3"/>
        </w:numPr>
        <w:kinsoku/>
        <w:wordWrap/>
        <w:topLinePunct w:val="0"/>
        <w:bidi w:val="0"/>
        <w:adjustRightInd/>
        <w:snapToGrid/>
        <w:spacing w:line="560" w:lineRule="exact"/>
        <w:ind w:left="0"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河西区</w:t>
      </w:r>
    </w:p>
    <w:p>
      <w:pPr>
        <w:pStyle w:val="5"/>
        <w:numPr>
          <w:ilvl w:val="0"/>
          <w:numId w:val="0"/>
        </w:numPr>
        <w:rPr>
          <w:rFonts w:hint="default" w:eastAsia="楷体_GB2312"/>
          <w:lang w:val="en-US" w:eastAsia="zh-CN"/>
        </w:rPr>
      </w:pPr>
      <w:r>
        <w:rPr>
          <w:rFonts w:hint="eastAsia"/>
          <w:lang w:val="en-US" w:eastAsia="zh-CN"/>
        </w:rPr>
        <w:t xml:space="preserve">      </w:t>
      </w:r>
      <w:r>
        <w:rPr>
          <w:rFonts w:hint="default" w:ascii="Times New Roman" w:hAnsi="Times New Roman" w:eastAsia="仿宋_GB2312" w:cs="Times New Roman"/>
          <w:color w:val="000000"/>
          <w:sz w:val="32"/>
          <w:szCs w:val="32"/>
          <w:highlight w:val="none"/>
          <w:lang w:val="en-US" w:eastAsia="zh-CN"/>
        </w:rPr>
        <w:t>举办</w:t>
      </w:r>
      <w:r>
        <w:rPr>
          <w:rFonts w:hint="eastAsia" w:eastAsia="仿宋_GB2312" w:cs="Times New Roman"/>
          <w:color w:val="000000"/>
          <w:sz w:val="32"/>
          <w:szCs w:val="32"/>
          <w:highlight w:val="none"/>
          <w:lang w:val="en-US" w:eastAsia="zh-CN"/>
        </w:rPr>
        <w:t>辖区</w:t>
      </w:r>
      <w:r>
        <w:rPr>
          <w:rFonts w:hint="default" w:ascii="Times New Roman" w:hAnsi="Times New Roman" w:eastAsia="仿宋_GB2312" w:cs="Times New Roman"/>
          <w:color w:val="000000"/>
          <w:sz w:val="32"/>
          <w:szCs w:val="32"/>
          <w:highlight w:val="none"/>
          <w:lang w:val="en-US" w:eastAsia="zh-CN"/>
        </w:rPr>
        <w:t>“质量月”活动启动仪式</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sz w:val="32"/>
          <w:szCs w:val="32"/>
        </w:rPr>
        <w:t>开展“质量月”集中宣传</w:t>
      </w:r>
      <w:r>
        <w:rPr>
          <w:rFonts w:hint="eastAsia" w:eastAsia="仿宋_GB2312" w:cs="Times New Roman"/>
          <w:sz w:val="32"/>
          <w:szCs w:val="32"/>
          <w:lang w:eastAsia="zh-CN"/>
        </w:rPr>
        <w:t>，组织</w:t>
      </w:r>
      <w:r>
        <w:rPr>
          <w:rFonts w:hint="eastAsia" w:eastAsia="仿宋_GB2312" w:cs="Times New Roman"/>
          <w:color w:val="000000"/>
          <w:sz w:val="32"/>
          <w:szCs w:val="32"/>
          <w:highlight w:val="none"/>
          <w:lang w:val="en-US" w:eastAsia="zh-CN"/>
        </w:rPr>
        <w:t>召</w:t>
      </w:r>
      <w:r>
        <w:rPr>
          <w:rFonts w:hint="default" w:ascii="Times New Roman" w:hAnsi="Times New Roman" w:eastAsia="仿宋_GB2312" w:cs="Times New Roman"/>
          <w:sz w:val="32"/>
          <w:szCs w:val="32"/>
        </w:rPr>
        <w:t>开</w:t>
      </w:r>
      <w:r>
        <w:rPr>
          <w:rFonts w:hint="default" w:ascii="Times New Roman" w:hAnsi="Times New Roman" w:eastAsia="仿宋_GB2312" w:cs="Times New Roman"/>
          <w:sz w:val="32"/>
          <w:szCs w:val="32"/>
          <w:lang w:val="en-US" w:eastAsia="zh-CN"/>
        </w:rPr>
        <w:t>认证证书获证组织集中培训会</w:t>
      </w:r>
      <w:r>
        <w:rPr>
          <w:rFonts w:hint="eastAsia" w:eastAsia="仿宋_GB2312" w:cs="Times New Roman"/>
          <w:sz w:val="32"/>
          <w:szCs w:val="32"/>
          <w:lang w:val="en-US" w:eastAsia="zh-CN"/>
        </w:rPr>
        <w:t>、</w:t>
      </w:r>
      <w:r>
        <w:rPr>
          <w:rFonts w:hint="eastAsia" w:ascii="Times New Roman" w:hAnsi="Times New Roman" w:eastAsia="仿宋_GB2312" w:cs="Times New Roman"/>
          <w:color w:val="000000"/>
          <w:sz w:val="32"/>
          <w:szCs w:val="32"/>
          <w:lang w:val="en-US" w:eastAsia="zh-CN"/>
        </w:rPr>
        <w:t>质量主体责任规定宣贯培训</w:t>
      </w:r>
      <w:r>
        <w:rPr>
          <w:rFonts w:hint="eastAsia" w:eastAsia="仿宋_GB2312" w:cs="Times New Roman"/>
          <w:color w:val="000000"/>
          <w:sz w:val="32"/>
          <w:szCs w:val="32"/>
          <w:lang w:val="en-US" w:eastAsia="zh-CN"/>
        </w:rPr>
        <w:t>等活动。</w:t>
      </w:r>
    </w:p>
    <w:p>
      <w:pPr>
        <w:keepNext w:val="0"/>
        <w:keepLines w:val="0"/>
        <w:pageBreakBefore w:val="0"/>
        <w:numPr>
          <w:ilvl w:val="0"/>
          <w:numId w:val="3"/>
        </w:numPr>
        <w:kinsoku/>
        <w:wordWrap/>
        <w:topLinePunct w:val="0"/>
        <w:bidi w:val="0"/>
        <w:adjustRightInd/>
        <w:snapToGrid/>
        <w:spacing w:line="560" w:lineRule="exact"/>
        <w:ind w:left="0"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南开区</w:t>
      </w:r>
    </w:p>
    <w:p>
      <w:pPr>
        <w:pStyle w:val="5"/>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开展质量宣传进社区进机关进企业活动、检验检测机构开放日活动、重点领域监督检查</w:t>
      </w:r>
      <w:r>
        <w:rPr>
          <w:rFonts w:hint="eastAsia" w:ascii="Times New Roman" w:hAnsi="Times New Roman" w:eastAsia="仿宋_GB2312" w:cs="Times New Roman"/>
          <w:sz w:val="32"/>
          <w:szCs w:val="32"/>
          <w:lang w:eastAsia="zh-CN"/>
        </w:rPr>
        <w:t>结合企业“双随机、一公开”抽查工作、组织检验检测机构自查等活动。</w:t>
      </w:r>
    </w:p>
    <w:p>
      <w:pPr>
        <w:keepNext w:val="0"/>
        <w:keepLines w:val="0"/>
        <w:pageBreakBefore w:val="0"/>
        <w:numPr>
          <w:ilvl w:val="0"/>
          <w:numId w:val="3"/>
        </w:numPr>
        <w:kinsoku/>
        <w:wordWrap/>
        <w:topLinePunct w:val="0"/>
        <w:bidi w:val="0"/>
        <w:adjustRightInd/>
        <w:snapToGrid/>
        <w:spacing w:line="560" w:lineRule="exact"/>
        <w:ind w:left="0"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红桥区</w:t>
      </w:r>
    </w:p>
    <w:p>
      <w:pPr>
        <w:pStyle w:val="5"/>
        <w:numPr>
          <w:ilvl w:val="0"/>
          <w:numId w:val="0"/>
        </w:numPr>
        <w:rPr>
          <w:rFonts w:hint="eastAsia" w:ascii="仿宋_GB2312" w:hAnsi="黑体" w:eastAsia="仿宋_GB2312"/>
          <w:sz w:val="32"/>
          <w:szCs w:val="32"/>
        </w:rPr>
      </w:pPr>
      <w:r>
        <w:rPr>
          <w:rFonts w:hint="eastAsia"/>
          <w:lang w:val="en-US" w:eastAsia="zh-CN"/>
        </w:rPr>
        <w:t xml:space="preserve">       </w:t>
      </w:r>
      <w:r>
        <w:rPr>
          <w:rFonts w:hint="eastAsia" w:ascii="仿宋_GB2312" w:eastAsia="仿宋_GB2312"/>
          <w:sz w:val="32"/>
          <w:szCs w:val="32"/>
        </w:rPr>
        <w:t>围绕质量强市</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开展相关宣传活动</w:t>
      </w:r>
      <w:r>
        <w:rPr>
          <w:rFonts w:hint="eastAsia" w:ascii="仿宋_GB2312" w:eastAsia="仿宋_GB2312"/>
          <w:sz w:val="32"/>
          <w:szCs w:val="32"/>
          <w:lang w:eastAsia="zh-CN"/>
        </w:rPr>
        <w:t>，</w:t>
      </w:r>
      <w:r>
        <w:rPr>
          <w:rFonts w:hint="eastAsia" w:ascii="仿宋_GB2312" w:hAnsi="黑体" w:eastAsia="仿宋_GB2312" w:cs="Times New Roman"/>
          <w:sz w:val="32"/>
          <w:szCs w:val="32"/>
        </w:rPr>
        <w:t>开展“计量便民服务日”</w:t>
      </w:r>
      <w:r>
        <w:rPr>
          <w:rFonts w:hint="eastAsia" w:ascii="仿宋_GB2312" w:hAnsi="黑体" w:eastAsia="仿宋_GB2312" w:cs="Times New Roman"/>
          <w:sz w:val="32"/>
          <w:szCs w:val="32"/>
          <w:lang w:eastAsia="zh-CN"/>
        </w:rPr>
        <w:t>、</w:t>
      </w:r>
      <w:r>
        <w:rPr>
          <w:rFonts w:hint="eastAsia" w:ascii="仿宋_GB2312" w:hAnsi="黑体" w:eastAsia="仿宋_GB2312"/>
          <w:sz w:val="32"/>
          <w:szCs w:val="32"/>
        </w:rPr>
        <w:t>公平竞争审查</w:t>
      </w:r>
      <w:r>
        <w:rPr>
          <w:rFonts w:hint="eastAsia" w:ascii="仿宋_GB2312" w:hAnsi="黑体" w:eastAsia="仿宋_GB2312"/>
          <w:sz w:val="32"/>
          <w:szCs w:val="32"/>
          <w:lang w:eastAsia="zh-CN"/>
        </w:rPr>
        <w:t>、</w:t>
      </w:r>
      <w:r>
        <w:rPr>
          <w:rFonts w:hint="eastAsia" w:ascii="仿宋_GB2312" w:hAnsi="黑体" w:eastAsia="仿宋_GB2312"/>
          <w:sz w:val="32"/>
          <w:szCs w:val="32"/>
        </w:rPr>
        <w:t>召开</w:t>
      </w:r>
      <w:r>
        <w:rPr>
          <w:rFonts w:hint="eastAsia" w:ascii="仿宋_GB2312" w:hAnsi="黑体" w:eastAsia="仿宋_GB2312" w:cs="Times New Roman"/>
          <w:sz w:val="32"/>
          <w:szCs w:val="32"/>
        </w:rPr>
        <w:t>国资系统干部职工管理与服务知识培训</w:t>
      </w:r>
      <w:r>
        <w:rPr>
          <w:rFonts w:hint="eastAsia" w:ascii="仿宋_GB2312" w:hAnsi="黑体" w:eastAsia="仿宋_GB2312"/>
          <w:sz w:val="32"/>
          <w:szCs w:val="32"/>
        </w:rPr>
        <w:t>会</w:t>
      </w:r>
      <w:r>
        <w:rPr>
          <w:rFonts w:hint="eastAsia" w:ascii="仿宋_GB2312" w:hAnsi="黑体" w:eastAsia="仿宋_GB2312"/>
          <w:sz w:val="32"/>
          <w:szCs w:val="32"/>
          <w:lang w:eastAsia="zh-CN"/>
        </w:rPr>
        <w:t>、</w:t>
      </w:r>
      <w:r>
        <w:rPr>
          <w:rFonts w:hint="eastAsia" w:ascii="仿宋_GB2312" w:hAnsi="黑体" w:eastAsia="仿宋_GB2312"/>
          <w:sz w:val="32"/>
          <w:szCs w:val="32"/>
        </w:rPr>
        <w:t>燃气具电动自行车等重点产品质量监督抽查</w:t>
      </w:r>
      <w:r>
        <w:rPr>
          <w:rFonts w:hint="eastAsia" w:ascii="仿宋_GB2312" w:hAnsi="黑体" w:eastAsia="仿宋_GB2312"/>
          <w:sz w:val="32"/>
          <w:szCs w:val="32"/>
          <w:lang w:eastAsia="zh-CN"/>
        </w:rPr>
        <w:t>等活动</w:t>
      </w:r>
      <w:r>
        <w:rPr>
          <w:rFonts w:hint="eastAsia" w:ascii="仿宋_GB2312" w:hAnsi="黑体" w:eastAsia="仿宋_GB2312"/>
          <w:sz w:val="32"/>
          <w:szCs w:val="32"/>
        </w:rPr>
        <w:t>。</w:t>
      </w:r>
    </w:p>
    <w:p>
      <w:pPr>
        <w:rPr>
          <w:rFonts w:hint="eastAsia" w:ascii="Times New Roman" w:hAnsi="黑体" w:eastAsia="黑体"/>
          <w:bCs/>
          <w:color w:val="000000" w:themeColor="text1"/>
          <w:kern w:val="0"/>
          <w:sz w:val="32"/>
          <w:szCs w:val="32"/>
          <w14:textFill>
            <w14:solidFill>
              <w14:schemeClr w14:val="tx1"/>
            </w14:solidFill>
          </w14:textFill>
        </w:rPr>
      </w:pPr>
      <w:r>
        <w:rPr>
          <w:rFonts w:hint="eastAsia" w:ascii="仿宋_GB2312" w:hAnsi="黑体" w:eastAsia="仿宋_GB2312"/>
          <w:sz w:val="32"/>
          <w:szCs w:val="32"/>
          <w:lang w:val="en-US" w:eastAsia="zh-CN"/>
        </w:rPr>
        <w:t xml:space="preserve">     </w:t>
      </w:r>
      <w:r>
        <w:rPr>
          <w:rFonts w:hint="eastAsia" w:ascii="Times New Roman" w:hAnsi="黑体" w:eastAsia="黑体"/>
          <w:bCs/>
          <w:color w:val="000000" w:themeColor="text1"/>
          <w:kern w:val="0"/>
          <w:sz w:val="32"/>
          <w:szCs w:val="32"/>
          <w:lang w:eastAsia="zh-CN"/>
          <w14:textFill>
            <w14:solidFill>
              <w14:schemeClr w14:val="tx1"/>
            </w14:solidFill>
          </w14:textFill>
        </w:rPr>
        <w:t>（六）</w:t>
      </w:r>
      <w:r>
        <w:rPr>
          <w:rFonts w:hint="eastAsia" w:ascii="Times New Roman" w:hAnsi="黑体" w:eastAsia="黑体"/>
          <w:bCs/>
          <w:color w:val="000000" w:themeColor="text1"/>
          <w:kern w:val="0"/>
          <w:sz w:val="32"/>
          <w:szCs w:val="32"/>
          <w14:textFill>
            <w14:solidFill>
              <w14:schemeClr w14:val="tx1"/>
            </w14:solidFill>
          </w14:textFill>
        </w:rPr>
        <w:t>东丽区</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组织开展辖区“质量月”集中宣传活动，开展食品、消费品、农产品监督抽查、质量监测、实验室开放日、计量便民服务、质量基础设施技术服务、质量攻关培训及成果指导推广应用、小微企业质量管理体系认证提升</w:t>
      </w:r>
      <w:r>
        <w:rPr>
          <w:rFonts w:hint="default" w:ascii="仿宋_GB2312" w:hAnsi="Times New Roman" w:eastAsia="仿宋_GB2312" w:cs="Times New Roman"/>
          <w:kern w:val="2"/>
          <w:sz w:val="32"/>
          <w:szCs w:val="32"/>
          <w:lang w:val="en-US" w:eastAsia="zh-CN" w:bidi="ar-SA"/>
        </w:rPr>
        <w:t>认证见证检查</w:t>
      </w:r>
      <w:r>
        <w:rPr>
          <w:rFonts w:hint="eastAsia" w:ascii="仿宋_GB2312" w:hAnsi="Times New Roman" w:eastAsia="仿宋_GB2312" w:cs="Times New Roman"/>
          <w:kern w:val="2"/>
          <w:sz w:val="32"/>
          <w:szCs w:val="32"/>
          <w:lang w:val="en-US" w:eastAsia="zh-CN" w:bidi="ar-SA"/>
        </w:rPr>
        <w:t>、知识产权进企业服务等活动。</w:t>
      </w:r>
    </w:p>
    <w:p>
      <w:pPr>
        <w:keepNext w:val="0"/>
        <w:keepLines w:val="0"/>
        <w:pageBreakBefore w:val="0"/>
        <w:numPr>
          <w:ilvl w:val="0"/>
          <w:numId w:val="0"/>
        </w:numPr>
        <w:kinsoku/>
        <w:wordWrap/>
        <w:topLinePunct w:val="0"/>
        <w:bidi w:val="0"/>
        <w:adjustRightInd/>
        <w:snapToGrid/>
        <w:spacing w:line="560" w:lineRule="exact"/>
        <w:ind w:leftChars="200" w:firstLine="320" w:firstLineChars="1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（七）</w:t>
      </w:r>
      <w:r>
        <w:rPr>
          <w:rFonts w:hint="eastAsia" w:ascii="Times New Roman" w:hAnsi="黑体" w:eastAsia="黑体"/>
          <w:bCs/>
          <w:color w:val="000000" w:themeColor="text1"/>
          <w:kern w:val="0"/>
          <w:sz w:val="32"/>
          <w:szCs w:val="32"/>
          <w14:textFill>
            <w14:solidFill>
              <w14:schemeClr w14:val="tx1"/>
            </w14:solidFill>
          </w14:textFill>
        </w:rPr>
        <w:t>津南区</w:t>
      </w:r>
    </w:p>
    <w:p>
      <w:pPr>
        <w:pStyle w:val="5"/>
        <w:numPr>
          <w:ilvl w:val="0"/>
          <w:numId w:val="0"/>
        </w:numPr>
        <w:ind w:firstLine="640" w:firstLineChars="200"/>
        <w:rPr>
          <w:rFonts w:hint="eastAsia" w:eastAsia="仿宋_GB2312"/>
          <w:lang w:val="en-US" w:eastAsia="zh-CN"/>
        </w:rPr>
      </w:pPr>
      <w:r>
        <w:rPr>
          <w:rFonts w:hint="eastAsia" w:ascii="仿宋_GB2312" w:hAnsi="仿宋_GB2312" w:eastAsia="仿宋_GB2312" w:cs="仿宋_GB2312"/>
          <w:sz w:val="32"/>
          <w:szCs w:val="32"/>
          <w:lang w:eastAsia="zh-CN"/>
        </w:rPr>
        <w:t>组织召开商标品牌指导站授牌仪式暨商标申请专题培训，</w:t>
      </w:r>
      <w:r>
        <w:rPr>
          <w:rFonts w:hint="default" w:ascii="Times New Roman" w:hAnsi="Times New Roman" w:eastAsia="仿宋_GB2312" w:cs="Times New Roman"/>
          <w:color w:val="auto"/>
          <w:sz w:val="32"/>
          <w:szCs w:val="32"/>
          <w:lang w:val="en-US" w:eastAsia="zh-CN"/>
        </w:rPr>
        <w:t>组织宣传推动首席质量官制度实施，</w:t>
      </w:r>
      <w:r>
        <w:rPr>
          <w:rFonts w:hint="eastAsia" w:ascii="仿宋_GB2312" w:eastAsia="仿宋_GB2312"/>
          <w:sz w:val="32"/>
          <w:szCs w:val="32"/>
        </w:rPr>
        <w:t>组织开展计量便民服务日活动</w:t>
      </w:r>
      <w:r>
        <w:rPr>
          <w:rFonts w:hint="eastAsia" w:ascii="仿宋_GB2312" w:eastAsia="仿宋_GB2312"/>
          <w:sz w:val="32"/>
          <w:szCs w:val="32"/>
          <w:lang w:eastAsia="zh-CN"/>
        </w:rPr>
        <w:t>、</w:t>
      </w:r>
      <w:r>
        <w:rPr>
          <w:rFonts w:hint="eastAsia" w:ascii="仿宋_GB2312" w:eastAsia="仿宋_GB2312"/>
          <w:sz w:val="32"/>
          <w:szCs w:val="32"/>
        </w:rPr>
        <w:t>定量包装商品计量监督抽查</w:t>
      </w:r>
      <w:r>
        <w:rPr>
          <w:rFonts w:hint="eastAsia" w:ascii="仿宋_GB2312" w:eastAsia="仿宋_GB2312"/>
          <w:sz w:val="32"/>
          <w:szCs w:val="32"/>
          <w:lang w:eastAsia="zh-CN"/>
        </w:rPr>
        <w:t>、</w:t>
      </w:r>
      <w:r>
        <w:rPr>
          <w:rFonts w:hint="eastAsia" w:ascii="仿宋_GB2312" w:hAnsi="仿宋" w:eastAsia="仿宋_GB2312"/>
          <w:sz w:val="32"/>
          <w:szCs w:val="32"/>
        </w:rPr>
        <w:t>计量服务中小企业行</w:t>
      </w:r>
      <w:r>
        <w:rPr>
          <w:rFonts w:hint="eastAsia" w:ascii="仿宋_GB2312" w:hAnsi="仿宋" w:eastAsia="仿宋_GB2312"/>
          <w:sz w:val="32"/>
          <w:szCs w:val="32"/>
          <w:lang w:eastAsia="zh-CN"/>
        </w:rPr>
        <w:t>、</w:t>
      </w:r>
      <w:r>
        <w:rPr>
          <w:rFonts w:hint="eastAsia" w:ascii="仿宋_GB2312" w:eastAsia="仿宋_GB2312"/>
          <w:sz w:val="32"/>
          <w:szCs w:val="32"/>
        </w:rPr>
        <w:t>儿童用品强制性产品认证专项检查</w:t>
      </w:r>
      <w:r>
        <w:rPr>
          <w:rFonts w:hint="eastAsia" w:ascii="仿宋_GB2312" w:eastAsia="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区小微企业质量管理体系认证提升</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sz w:val="32"/>
          <w:szCs w:val="32"/>
          <w:lang w:val="en-US" w:eastAsia="zh-CN"/>
        </w:rPr>
        <w:t>举办“质量月”暨电梯安全宣传周</w:t>
      </w:r>
      <w:r>
        <w:rPr>
          <w:rFonts w:hint="eastAsia" w:eastAsia="仿宋_GB2312" w:cs="Times New Roman"/>
          <w:color w:val="auto"/>
          <w:sz w:val="32"/>
          <w:szCs w:val="32"/>
          <w:lang w:val="en-US" w:eastAsia="zh-CN"/>
        </w:rPr>
        <w:t>启动、</w:t>
      </w:r>
      <w:r>
        <w:rPr>
          <w:rFonts w:hint="default" w:ascii="Times New Roman" w:hAnsi="Times New Roman" w:eastAsia="仿宋_GB2312" w:cs="Times New Roman"/>
          <w:color w:val="auto"/>
          <w:sz w:val="32"/>
          <w:szCs w:val="32"/>
          <w:lang w:val="en-US" w:eastAsia="zh-CN"/>
        </w:rPr>
        <w:t>质量技术帮扶“提质强企”</w:t>
      </w:r>
      <w:r>
        <w:rPr>
          <w:rFonts w:hint="eastAsia" w:eastAsia="仿宋_GB2312" w:cs="Times New Roman"/>
          <w:color w:val="auto"/>
          <w:sz w:val="32"/>
          <w:szCs w:val="32"/>
          <w:lang w:val="en-US" w:eastAsia="zh-CN"/>
        </w:rPr>
        <w:t>等活动</w:t>
      </w:r>
      <w:r>
        <w:rPr>
          <w:rFonts w:hint="default" w:ascii="Times New Roman" w:hAnsi="Times New Roman" w:eastAsia="仿宋_GB2312" w:cs="Times New Roman"/>
          <w:color w:val="auto"/>
          <w:sz w:val="32"/>
          <w:szCs w:val="32"/>
          <w:lang w:val="en-US" w:eastAsia="zh-CN"/>
        </w:rPr>
        <w:t>。</w:t>
      </w:r>
    </w:p>
    <w:p>
      <w:pPr>
        <w:keepNext w:val="0"/>
        <w:keepLines w:val="0"/>
        <w:pageBreakBefore w:val="0"/>
        <w:numPr>
          <w:ilvl w:val="0"/>
          <w:numId w:val="4"/>
        </w:numPr>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西青区</w:t>
      </w:r>
    </w:p>
    <w:p>
      <w:pPr>
        <w:ind w:firstLine="420" w:firstLineChars="200"/>
        <w:rPr>
          <w:rFonts w:hint="default" w:ascii="Times New Roman" w:hAnsi="Times New Roman" w:eastAsia="仿宋_GB2312" w:cs="Times New Roman"/>
          <w:sz w:val="32"/>
          <w:szCs w:val="32"/>
          <w:lang w:val="en-US" w:eastAsia="zh-CN"/>
        </w:rPr>
      </w:pPr>
      <w:r>
        <w:rPr>
          <w:rFonts w:hint="eastAsia"/>
          <w:lang w:val="en-US" w:eastAsia="zh-CN"/>
        </w:rPr>
        <w:t xml:space="preserve">  </w:t>
      </w:r>
      <w:r>
        <w:rPr>
          <w:rFonts w:hint="default" w:ascii="Times New Roman" w:hAnsi="Times New Roman" w:eastAsia="仿宋_GB2312" w:cs="Times New Roman"/>
          <w:sz w:val="32"/>
          <w:szCs w:val="32"/>
          <w:lang w:val="en-US" w:eastAsia="zh-CN"/>
        </w:rPr>
        <w:t>开展农产品质量安全主题宣传教育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农产品专项整治</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农资打假专项行动、中秋国庆节前食品安全检查、水利工程质量宣传、提升质量基础设施“一站式”服务平台质量效能助企纾困、宣贯《消费者权益保护法实施条例》、</w:t>
      </w:r>
      <w:r>
        <w:rPr>
          <w:rFonts w:hint="default" w:ascii="Times New Roman" w:hAnsi="Times New Roman" w:eastAsia="仿宋_GB2312" w:cs="Times New Roman"/>
          <w:sz w:val="32"/>
          <w:szCs w:val="32"/>
          <w:lang w:val="en-US" w:eastAsia="zh-CN"/>
        </w:rPr>
        <w:t>妨碍统一市场和公平竞争政策措施集中清理</w:t>
      </w:r>
      <w:r>
        <w:rPr>
          <w:rFonts w:hint="eastAsia" w:ascii="Times New Roman" w:hAnsi="Times New Roman" w:eastAsia="仿宋_GB2312" w:cs="Times New Roman"/>
          <w:sz w:val="32"/>
          <w:szCs w:val="32"/>
          <w:lang w:val="en-US" w:eastAsia="zh-CN"/>
        </w:rPr>
        <w:t>、财税人才</w:t>
      </w:r>
      <w:r>
        <w:rPr>
          <w:rFonts w:hint="default" w:ascii="Times New Roman" w:hAnsi="Times New Roman" w:eastAsia="仿宋_GB2312" w:cs="Times New Roman"/>
          <w:sz w:val="32"/>
          <w:szCs w:val="32"/>
          <w:lang w:val="en-US" w:eastAsia="zh-CN"/>
        </w:rPr>
        <w:t>政策宣传服务企业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旅游质量主题宣传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食品企业诚信体系宣贯交流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制造业企业质量管理能力评价贯标培训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质量培训交流及质量标准品牌赋值中小企业</w:t>
      </w:r>
      <w:r>
        <w:rPr>
          <w:rFonts w:hint="eastAsia" w:ascii="Times New Roman" w:hAnsi="Times New Roman" w:eastAsia="仿宋_GB2312" w:cs="Times New Roman"/>
          <w:sz w:val="32"/>
          <w:szCs w:val="32"/>
          <w:lang w:val="en-US" w:eastAsia="zh-CN"/>
        </w:rPr>
        <w:t>、商贸领域企业服务质量提升等活动。</w:t>
      </w:r>
    </w:p>
    <w:p>
      <w:pPr>
        <w:keepNext w:val="0"/>
        <w:keepLines w:val="0"/>
        <w:pageBreakBefore w:val="0"/>
        <w:numPr>
          <w:ilvl w:val="0"/>
          <w:numId w:val="4"/>
        </w:numPr>
        <w:kinsoku/>
        <w:wordWrap/>
        <w:topLinePunct w:val="0"/>
        <w:bidi w:val="0"/>
        <w:adjustRightInd/>
        <w:snapToGrid/>
        <w:spacing w:line="560" w:lineRule="exact"/>
        <w:ind w:left="0"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北辰区</w:t>
      </w:r>
    </w:p>
    <w:p>
      <w:pPr>
        <w:pStyle w:val="5"/>
        <w:numPr>
          <w:ilvl w:val="0"/>
          <w:numId w:val="0"/>
        </w:numPr>
        <w:rPr>
          <w:rFonts w:hint="eastAsia" w:eastAsia="仿宋_GB2312"/>
          <w:lang w:val="en-US" w:eastAsia="zh-CN"/>
        </w:rPr>
      </w:pPr>
      <w:r>
        <w:rPr>
          <w:rFonts w:hint="eastAsia"/>
          <w:lang w:val="en-US" w:eastAsia="zh-CN"/>
        </w:rPr>
        <w:t xml:space="preserve">      </w:t>
      </w:r>
      <w:r>
        <w:rPr>
          <w:rFonts w:hint="eastAsia" w:ascii="宋体" w:hAnsi="宋体" w:eastAsia="仿宋_GB2312" w:cs="仿宋_GB2312"/>
          <w:kern w:val="0"/>
          <w:sz w:val="32"/>
          <w:szCs w:val="32"/>
        </w:rPr>
        <w:t>组织开展企业质量标杆经验交流</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高端品质认证知识及政策宣传</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小微企业质量管理体系认证提升行动</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食品安全抽检专项行动</w:t>
      </w:r>
      <w:r>
        <w:rPr>
          <w:rFonts w:hint="eastAsia" w:ascii="宋体" w:hAnsi="宋体" w:eastAsia="仿宋_GB2312" w:cs="仿宋_GB2312"/>
          <w:kern w:val="0"/>
          <w:sz w:val="32"/>
          <w:szCs w:val="32"/>
          <w:lang w:eastAsia="zh-CN"/>
        </w:rPr>
        <w:t>、质量普法宣传</w:t>
      </w:r>
      <w:r>
        <w:rPr>
          <w:rFonts w:hint="eastAsia" w:ascii="宋体" w:hAnsi="宋体" w:eastAsia="仿宋_GB2312" w:cs="仿宋_GB2312"/>
          <w:kern w:val="0"/>
          <w:sz w:val="32"/>
          <w:szCs w:val="32"/>
        </w:rPr>
        <w:t>进社区进街镇</w:t>
      </w:r>
      <w:r>
        <w:rPr>
          <w:rFonts w:hint="eastAsia" w:ascii="宋体" w:hAnsi="宋体" w:eastAsia="仿宋_GB2312" w:cs="仿宋_GB2312"/>
          <w:kern w:val="0"/>
          <w:sz w:val="32"/>
          <w:szCs w:val="32"/>
          <w:lang w:eastAsia="zh-CN"/>
        </w:rPr>
        <w:t>、电梯</w:t>
      </w:r>
      <w:r>
        <w:rPr>
          <w:rFonts w:ascii="宋体" w:hAnsi="宋体" w:eastAsia="仿宋_GB2312" w:cs="仿宋_GB2312"/>
          <w:kern w:val="0"/>
          <w:sz w:val="32"/>
          <w:szCs w:val="32"/>
        </w:rPr>
        <w:t>应急演练</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秋季校园食品安全专项监督检查</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特种设备安全专项整治</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放心消费示范企业、放心消费示范街区公示</w:t>
      </w:r>
      <w:r>
        <w:rPr>
          <w:rFonts w:hint="eastAsia" w:eastAsia="仿宋_GB2312" w:cs="Times New Roman"/>
          <w:color w:val="000000" w:themeColor="text1"/>
          <w:kern w:val="0"/>
          <w:sz w:val="32"/>
          <w:szCs w:val="32"/>
          <w:lang w:eastAsia="zh-CN"/>
          <w14:textFill>
            <w14:solidFill>
              <w14:schemeClr w14:val="tx1"/>
            </w14:solidFill>
          </w14:textFill>
        </w:rPr>
        <w:t>、</w:t>
      </w:r>
      <w:r>
        <w:rPr>
          <w:rFonts w:hint="eastAsia" w:ascii="仿宋_GB2312" w:hAnsi="黑体" w:eastAsia="仿宋_GB2312"/>
          <w:kern w:val="0"/>
          <w:sz w:val="32"/>
          <w:szCs w:val="32"/>
        </w:rPr>
        <w:t>建设施工示范工地现场观摩</w:t>
      </w:r>
      <w:r>
        <w:rPr>
          <w:rFonts w:hint="eastAsia" w:ascii="仿宋_GB2312" w:hAnsi="黑体" w:eastAsia="仿宋_GB2312"/>
          <w:kern w:val="0"/>
          <w:sz w:val="32"/>
          <w:szCs w:val="32"/>
          <w:lang w:eastAsia="zh-CN"/>
        </w:rPr>
        <w:t>、</w:t>
      </w:r>
      <w:r>
        <w:rPr>
          <w:rFonts w:hint="eastAsia" w:ascii="仿宋_GB2312" w:hAnsi="仿宋_GB2312" w:eastAsia="仿宋_GB2312" w:cs="仿宋_GB2312"/>
          <w:bCs/>
          <w:kern w:val="0"/>
          <w:sz w:val="32"/>
          <w:szCs w:val="32"/>
        </w:rPr>
        <w:t>旅游社专项治理</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养老服务评估</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示范性劳模和工匠人才创新工作室推荐选树</w:t>
      </w:r>
      <w:r>
        <w:rPr>
          <w:rFonts w:hint="eastAsia" w:ascii="仿宋_GB2312" w:hAnsi="仿宋_GB2312" w:eastAsia="仿宋_GB2312" w:cs="仿宋_GB2312"/>
          <w:bCs/>
          <w:kern w:val="0"/>
          <w:sz w:val="32"/>
          <w:szCs w:val="32"/>
          <w:lang w:eastAsia="zh-CN"/>
        </w:rPr>
        <w:t>等活动。</w:t>
      </w:r>
    </w:p>
    <w:p>
      <w:pPr>
        <w:keepNext w:val="0"/>
        <w:keepLines w:val="0"/>
        <w:pageBreakBefore w:val="0"/>
        <w:kinsoku/>
        <w:wordWrap/>
        <w:topLinePunct w:val="0"/>
        <w:bidi w:val="0"/>
        <w:adjustRightInd/>
        <w:snapToGrid/>
        <w:spacing w:line="560" w:lineRule="exact"/>
        <w:ind w:firstLine="640" w:firstLineChars="20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（十一）宝坻区</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auto"/>
          <w:sz w:val="32"/>
          <w:szCs w:val="32"/>
          <w:lang w:val="en-US" w:eastAsia="zh-CN"/>
        </w:rPr>
        <w:t>开展电动自行车宣传教育、</w:t>
      </w:r>
      <w:r>
        <w:rPr>
          <w:rFonts w:hint="eastAsia" w:ascii="仿宋_GB2312" w:hAnsi="黑体" w:eastAsia="仿宋_GB2312"/>
          <w:sz w:val="32"/>
          <w:szCs w:val="32"/>
          <w:u w:val="none"/>
          <w:vertAlign w:val="baseline"/>
          <w:lang w:val="en-US" w:eastAsia="zh-CN"/>
        </w:rPr>
        <w:t>检验检测机构开放日、</w:t>
      </w:r>
      <w:r>
        <w:rPr>
          <w:rFonts w:hint="eastAsia" w:ascii="仿宋_GB2312" w:hAnsi="黑体" w:eastAsia="仿宋_GB2312"/>
          <w:sz w:val="32"/>
          <w:szCs w:val="32"/>
          <w:u w:val="none"/>
          <w:vertAlign w:val="baseline"/>
          <w:lang w:eastAsia="zh-CN"/>
        </w:rPr>
        <w:t>质量技术精准帮扶、</w:t>
      </w:r>
      <w:r>
        <w:rPr>
          <w:rFonts w:hint="eastAsia" w:ascii="仿宋_GB2312" w:hAnsi="Calibri" w:eastAsia="仿宋_GB2312" w:cs="Times New Roman"/>
          <w:kern w:val="2"/>
          <w:sz w:val="32"/>
          <w:szCs w:val="32"/>
          <w:lang w:val="en-US" w:eastAsia="zh-CN" w:bidi="ar-SA"/>
        </w:rPr>
        <w:t>民生领域案件查办“铁拳”行动</w:t>
      </w:r>
      <w:r>
        <w:rPr>
          <w:rFonts w:hint="eastAsia" w:ascii="仿宋_GB2312" w:eastAsia="仿宋_GB2312" w:cs="Times New Roman"/>
          <w:kern w:val="2"/>
          <w:sz w:val="32"/>
          <w:szCs w:val="32"/>
          <w:lang w:val="en-US" w:eastAsia="zh-CN" w:bidi="ar-SA"/>
        </w:rPr>
        <w:t>、执法打假系列活动</w:t>
      </w:r>
      <w:r>
        <w:rPr>
          <w:rFonts w:hint="eastAsia" w:ascii="仿宋_GB2312" w:hAnsi="Calibri" w:eastAsia="仿宋_GB2312" w:cs="Times New Roman"/>
          <w:kern w:val="2"/>
          <w:sz w:val="32"/>
          <w:szCs w:val="32"/>
          <w:lang w:val="en-US" w:eastAsia="zh-CN" w:bidi="ar-SA"/>
        </w:rPr>
        <w:t>。</w:t>
      </w:r>
    </w:p>
    <w:p>
      <w:pPr>
        <w:keepNext w:val="0"/>
        <w:keepLines w:val="0"/>
        <w:pageBreakBefore w:val="0"/>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（十二）武清区</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eastAsia" w:ascii="Nimbus Roman No9 L" w:hAnsi="Nimbus Roman No9 L" w:eastAsia="仿宋_GB2312" w:cs="Nimbus Roman No9 L"/>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olor w:val="000000"/>
          <w:sz w:val="32"/>
          <w:szCs w:val="32"/>
        </w:rPr>
        <w:t>开展“质量月”宣传活动</w:t>
      </w:r>
      <w:r>
        <w:rPr>
          <w:rFonts w:hint="eastAsia" w:ascii="Times New Roman" w:hAnsi="Times New Roman" w:eastAsia="仿宋_GB2312"/>
          <w:color w:val="000000"/>
          <w:sz w:val="32"/>
          <w:szCs w:val="32"/>
          <w:lang w:eastAsia="zh-CN"/>
        </w:rPr>
        <w:t>，推动</w:t>
      </w:r>
      <w:r>
        <w:rPr>
          <w:rFonts w:hint="eastAsia" w:ascii="Times New Roman" w:hAnsi="Times New Roman" w:eastAsia="仿宋_GB2312"/>
          <w:color w:val="000000"/>
          <w:sz w:val="32"/>
          <w:szCs w:val="32"/>
        </w:rPr>
        <w:t>学习宣传贯彻《天津市质量强市建设纲要》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推动质量基础设施“一站式”服务扩展新领域</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贯彻落实“两个主体责任”，督导工业产品生产、销售单位建立健全产品质量安全管理制度</w:t>
      </w:r>
      <w:r>
        <w:rPr>
          <w:rFonts w:hint="eastAsia" w:ascii="Times New Roman" w:hAnsi="Times New Roman" w:eastAsia="仿宋_GB2312"/>
          <w:color w:val="000000"/>
          <w:sz w:val="32"/>
          <w:szCs w:val="32"/>
          <w:lang w:eastAsia="zh-CN"/>
        </w:rPr>
        <w:t>。</w:t>
      </w:r>
    </w:p>
    <w:p>
      <w:pPr>
        <w:keepNext w:val="0"/>
        <w:keepLines w:val="0"/>
        <w:pageBreakBefore w:val="0"/>
        <w:numPr>
          <w:ilvl w:val="0"/>
          <w:numId w:val="1"/>
        </w:numPr>
        <w:kinsoku/>
        <w:wordWrap/>
        <w:topLinePunct w:val="0"/>
        <w:bidi w:val="0"/>
        <w:adjustRightInd/>
        <w:snapToGrid/>
        <w:spacing w:line="560" w:lineRule="exact"/>
        <w:ind w:left="420" w:leftChars="200" w:firstLine="0" w:firstLineChars="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宁河区</w:t>
      </w:r>
    </w:p>
    <w:p>
      <w:pPr>
        <w:keepNext w:val="0"/>
        <w:keepLines w:val="0"/>
        <w:pageBreakBefore w:val="0"/>
        <w:kinsoku/>
        <w:wordWrap/>
        <w:topLinePunct w:val="0"/>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举办宁河区“质量月”启动仪式、计量便民服务日、食品安全知识科普进街镇社区、</w:t>
      </w:r>
      <w:r>
        <w:rPr>
          <w:rFonts w:hint="default" w:ascii="仿宋_GB2312" w:hAnsi="仿宋_GB2312" w:eastAsia="仿宋_GB2312" w:cs="仿宋_GB2312"/>
          <w:color w:val="auto"/>
          <w:sz w:val="32"/>
          <w:szCs w:val="32"/>
          <w:lang w:val="en-US" w:eastAsia="zh-CN"/>
        </w:rPr>
        <w:t>校外培训材料插图排查、广告治理、</w:t>
      </w:r>
      <w:r>
        <w:rPr>
          <w:rFonts w:hint="eastAsia" w:ascii="仿宋_GB2312" w:hAnsi="仿宋_GB2312" w:eastAsia="仿宋_GB2312" w:cs="仿宋_GB2312"/>
          <w:color w:val="auto"/>
          <w:sz w:val="32"/>
          <w:szCs w:val="32"/>
          <w:lang w:val="en-US" w:eastAsia="zh-CN"/>
        </w:rPr>
        <w:t>资金监管</w:t>
      </w:r>
      <w:r>
        <w:rPr>
          <w:rFonts w:hint="default" w:ascii="仿宋_GB2312" w:hAnsi="仿宋_GB2312" w:eastAsia="仿宋_GB2312" w:cs="仿宋_GB2312"/>
          <w:color w:val="auto"/>
          <w:sz w:val="32"/>
          <w:szCs w:val="32"/>
          <w:lang w:val="en-US" w:eastAsia="zh-CN"/>
        </w:rPr>
        <w:t>、安全守护等专项整治</w:t>
      </w:r>
      <w:r>
        <w:rPr>
          <w:rFonts w:hint="eastAsia" w:ascii="仿宋_GB2312" w:hAnsi="仿宋_GB2312" w:eastAsia="仿宋_GB2312" w:cs="仿宋_GB2312"/>
          <w:color w:val="auto"/>
          <w:sz w:val="32"/>
          <w:szCs w:val="32"/>
          <w:lang w:val="en-US" w:eastAsia="zh-CN"/>
        </w:rPr>
        <w:t>、“匠星杯”劳动和技能竞赛、打击假冒伪劣宣传、“双减”改革宣传、进出口企业大调研、促进主要出口产品质量提升、“关企”互动政策技术咨询“一站式”服务企业等活动。</w:t>
      </w:r>
    </w:p>
    <w:p>
      <w:pPr>
        <w:keepNext w:val="0"/>
        <w:keepLines w:val="0"/>
        <w:pageBreakBefore w:val="0"/>
        <w:kinsoku/>
        <w:wordWrap/>
        <w:topLinePunct w:val="0"/>
        <w:bidi w:val="0"/>
        <w:adjustRightInd/>
        <w:snapToGrid/>
        <w:spacing w:line="560" w:lineRule="exact"/>
        <w:ind w:firstLine="640" w:firstLineChars="200"/>
        <w:rPr>
          <w:rFonts w:hint="eastAsia" w:ascii="Times New Roman" w:hAnsi="黑体" w:eastAsia="黑体"/>
          <w:bCs/>
          <w:color w:val="000000" w:themeColor="text1"/>
          <w:kern w:val="0"/>
          <w:sz w:val="32"/>
          <w:szCs w:val="32"/>
          <w:lang w:val="en-US" w:eastAsia="zh-CN"/>
          <w14:textFill>
            <w14:solidFill>
              <w14:schemeClr w14:val="tx1"/>
            </w14:solidFill>
          </w14:textFill>
        </w:rPr>
      </w:pPr>
      <w:r>
        <w:rPr>
          <w:rFonts w:hint="eastAsia" w:ascii="Times New Roman" w:hAnsi="黑体" w:eastAsia="黑体"/>
          <w:bCs/>
          <w:color w:val="000000" w:themeColor="text1"/>
          <w:kern w:val="0"/>
          <w:sz w:val="32"/>
          <w:szCs w:val="32"/>
          <w:lang w:val="en-US" w:eastAsia="zh-CN"/>
          <w14:textFill>
            <w14:solidFill>
              <w14:schemeClr w14:val="tx1"/>
            </w14:solidFill>
          </w14:textFill>
        </w:rPr>
        <w:t>（十四）静海区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开展“质量月”集中宣传、质量宣传进社区进学校进企业、农产品质量安全领域科普宣传、法治教育宣传、质量安全</w:t>
      </w:r>
      <w:r>
        <w:rPr>
          <w:rFonts w:hint="eastAsia" w:ascii="仿宋_GB2312" w:hAnsi="仿宋_GB2312" w:eastAsia="仿宋_GB2312" w:cs="仿宋_GB2312"/>
          <w:sz w:val="32"/>
          <w:szCs w:val="32"/>
          <w:lang w:val="en" w:eastAsia="zh-CN"/>
        </w:rPr>
        <w:t>“护苗”、</w:t>
      </w:r>
      <w:r>
        <w:rPr>
          <w:rFonts w:hint="default" w:ascii="仿宋_GB2312" w:hAnsi="仿宋_GB2312" w:eastAsia="仿宋_GB2312" w:cs="仿宋_GB2312"/>
          <w:sz w:val="32"/>
          <w:szCs w:val="32"/>
          <w:lang w:val="en" w:eastAsia="zh-CN"/>
        </w:rPr>
        <w:t>“开学季”儿童学生</w:t>
      </w:r>
      <w:r>
        <w:rPr>
          <w:rFonts w:hint="eastAsia" w:ascii="仿宋_GB2312" w:hAnsi="仿宋_GB2312" w:eastAsia="仿宋_GB2312" w:cs="仿宋_GB2312"/>
          <w:sz w:val="32"/>
          <w:szCs w:val="32"/>
          <w:lang w:val="en" w:eastAsia="zh-CN"/>
        </w:rPr>
        <w:t>用品玩具执法检查、</w:t>
      </w:r>
      <w:r>
        <w:rPr>
          <w:rFonts w:hint="eastAsia" w:ascii="仿宋_GB2312" w:hAnsi="仿宋_GB2312" w:eastAsia="仿宋_GB2312" w:cs="仿宋_GB2312"/>
          <w:sz w:val="32"/>
          <w:szCs w:val="32"/>
          <w:lang w:val="en-US" w:eastAsia="zh-CN"/>
        </w:rPr>
        <w:t>二级以下医疗机构医疗质量督导检查、在建工程品质提升、安全生产执法检查、</w:t>
      </w:r>
      <w:r>
        <w:rPr>
          <w:rFonts w:hint="eastAsia" w:ascii="仿宋_GB2312" w:hAnsi="仿宋_GB2312" w:eastAsia="仿宋_GB2312" w:cs="仿宋_GB2312"/>
          <w:sz w:val="32"/>
          <w:szCs w:val="32"/>
          <w:lang w:val="en" w:eastAsia="zh-CN"/>
        </w:rPr>
        <w:t>产品质量“巡回问诊”、首席质量官交流、</w:t>
      </w:r>
      <w:r>
        <w:rPr>
          <w:rFonts w:hint="eastAsia" w:ascii="仿宋_GB2312" w:hAnsi="仿宋_GB2312" w:eastAsia="仿宋_GB2312" w:cs="仿宋_GB2312"/>
          <w:sz w:val="32"/>
          <w:szCs w:val="32"/>
          <w:lang w:val="en-US" w:eastAsia="zh-CN"/>
        </w:rPr>
        <w:t>“诚信经营承诺店”、劳模示范和技能竞赛、品质工程经验交流等活动。</w:t>
      </w:r>
    </w:p>
    <w:p>
      <w:pPr>
        <w:keepNext w:val="0"/>
        <w:keepLines w:val="0"/>
        <w:pageBreakBefore w:val="0"/>
        <w:numPr>
          <w:ilvl w:val="0"/>
          <w:numId w:val="2"/>
        </w:numPr>
        <w:kinsoku/>
        <w:wordWrap/>
        <w:topLinePunct w:val="0"/>
        <w:bidi w:val="0"/>
        <w:adjustRightInd/>
        <w:snapToGrid/>
        <w:spacing w:line="560" w:lineRule="exact"/>
        <w:ind w:left="420" w:leftChars="200" w:firstLine="0" w:firstLineChars="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蓟州区</w:t>
      </w:r>
    </w:p>
    <w:p>
      <w:pPr>
        <w:pStyle w:val="6"/>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组织开展质量月联合宣传、水产品质量安全宣传、计量便民服务、诚信建设宣传、人社政策宣传、检验检测机构开放日活动、</w:t>
      </w:r>
      <w:r>
        <w:rPr>
          <w:rFonts w:hint="eastAsia" w:ascii="仿宋_GB2312" w:hAnsi="仿宋_GB2312" w:eastAsia="仿宋_GB2312" w:cs="仿宋_GB2312"/>
          <w:b w:val="0"/>
          <w:bCs w:val="0"/>
          <w:sz w:val="32"/>
          <w:szCs w:val="32"/>
          <w:lang w:val="en-US" w:eastAsia="zh-CN"/>
        </w:rPr>
        <w:t>学习宣贯《天津市质量强市建设纲要》、</w:t>
      </w:r>
      <w:r>
        <w:rPr>
          <w:rFonts w:hint="eastAsia" w:ascii="仿宋_GB2312" w:hAnsi="仿宋_GB2312" w:eastAsia="仿宋_GB2312" w:cs="仿宋_GB2312"/>
          <w:sz w:val="32"/>
          <w:szCs w:val="32"/>
          <w:lang w:val="en-US" w:eastAsia="zh-CN"/>
        </w:rPr>
        <w:t>小微企业质量管理体系认证提升、走访科技型企业调研服务、在建项目现场观摩交流会、在农业、环境、住房建筑工程、食品、药品、工业品、旅游服务、商贸服务等领域开展专项、联合执法行动等活动。</w:t>
      </w:r>
    </w:p>
    <w:p>
      <w:pPr>
        <w:pStyle w:val="6"/>
        <w:numPr>
          <w:ilvl w:val="0"/>
          <w:numId w:val="0"/>
        </w:numPr>
        <w:ind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（十六）滨海新区</w:t>
      </w:r>
    </w:p>
    <w:p>
      <w:pPr>
        <w:pStyle w:val="10"/>
        <w:spacing w:before="47" w:line="316" w:lineRule="auto"/>
        <w:ind w:firstLine="63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大力宣传贯彻质量强区建设的目标要求和重点任务、组织开展滨海新区质量攻关项目评比、</w:t>
      </w:r>
      <w:r>
        <w:rPr>
          <w:rFonts w:hint="eastAsia" w:ascii="Times New Roman" w:hAnsi="Times New Roman" w:eastAsia="仿宋_GB2312" w:cs="Times New Roman"/>
          <w:kern w:val="2"/>
          <w:sz w:val="32"/>
          <w:szCs w:val="32"/>
          <w:lang w:val="en" w:eastAsia="zh-CN" w:bidi="ar-SA"/>
        </w:rPr>
        <w:t>弘扬教育家精神深化师德师风建设、</w:t>
      </w:r>
      <w:r>
        <w:rPr>
          <w:rFonts w:hint="eastAsia" w:ascii="Times New Roman" w:hAnsi="Times New Roman" w:eastAsia="仿宋_GB2312" w:cs="Times New Roman"/>
          <w:kern w:val="2"/>
          <w:sz w:val="32"/>
          <w:szCs w:val="32"/>
          <w:lang w:val="en-US" w:eastAsia="zh-CN" w:bidi="ar-SA"/>
        </w:rPr>
        <w:t>辖区商业企业《安全生产法》宣传、单用途预付卡科普宣传进社区、商业综合体商超标准化菜市场执法检查、</w:t>
      </w:r>
      <w:r>
        <w:rPr>
          <w:rFonts w:hint="eastAsia" w:ascii="Times New Roman" w:hAnsi="Times New Roman" w:eastAsia="仿宋_GB2312" w:cs="Times New Roman"/>
          <w:kern w:val="2"/>
          <w:sz w:val="32"/>
          <w:szCs w:val="32"/>
          <w:lang w:val="zh-CN" w:eastAsia="zh-CN" w:bidi="ar-SA"/>
        </w:rPr>
        <w:t>“金锤杯”滨海职业技能大赛、</w:t>
      </w:r>
      <w:r>
        <w:rPr>
          <w:rFonts w:hint="eastAsia" w:ascii="Times New Roman" w:hAnsi="Times New Roman" w:eastAsia="仿宋_GB2312" w:cs="Times New Roman"/>
          <w:kern w:val="2"/>
          <w:sz w:val="32"/>
          <w:szCs w:val="32"/>
          <w:lang w:val="en-US" w:eastAsia="zh-CN" w:bidi="ar-SA"/>
        </w:rPr>
        <w:t>第一老年养护院质量月系列活动、全面提升医疗质量安全行动专项督查等活动。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98BF6"/>
    <w:multiLevelType w:val="singleLevel"/>
    <w:tmpl w:val="B0798BF6"/>
    <w:lvl w:ilvl="0" w:tentative="0">
      <w:start w:val="8"/>
      <w:numFmt w:val="chineseCounting"/>
      <w:suff w:val="nothing"/>
      <w:lvlText w:val="（%1）"/>
      <w:lvlJc w:val="left"/>
      <w:rPr>
        <w:rFonts w:hint="eastAsia"/>
      </w:rPr>
    </w:lvl>
  </w:abstractNum>
  <w:abstractNum w:abstractNumId="1">
    <w:nsid w:val="FEAB513C"/>
    <w:multiLevelType w:val="singleLevel"/>
    <w:tmpl w:val="FEAB513C"/>
    <w:lvl w:ilvl="0" w:tentative="0">
      <w:start w:val="13"/>
      <w:numFmt w:val="chineseCounting"/>
      <w:suff w:val="nothing"/>
      <w:lvlText w:val="（%1）"/>
      <w:lvlJc w:val="left"/>
      <w:rPr>
        <w:rFonts w:hint="eastAsia"/>
      </w:rPr>
    </w:lvl>
  </w:abstractNum>
  <w:abstractNum w:abstractNumId="2">
    <w:nsid w:val="FEAE83B7"/>
    <w:multiLevelType w:val="singleLevel"/>
    <w:tmpl w:val="FEAE83B7"/>
    <w:lvl w:ilvl="0" w:tentative="0">
      <w:start w:val="1"/>
      <w:numFmt w:val="chineseCounting"/>
      <w:suff w:val="nothing"/>
      <w:lvlText w:val="（%1）"/>
      <w:lvlJc w:val="left"/>
      <w:rPr>
        <w:rFonts w:hint="eastAsia"/>
      </w:rPr>
    </w:lvl>
  </w:abstractNum>
  <w:abstractNum w:abstractNumId="3">
    <w:nsid w:val="FFFFAD6E"/>
    <w:multiLevelType w:val="singleLevel"/>
    <w:tmpl w:val="FFFFAD6E"/>
    <w:lvl w:ilvl="0" w:tentative="0">
      <w:start w:val="1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B7"/>
    <w:rsid w:val="000066F7"/>
    <w:rsid w:val="00011696"/>
    <w:rsid w:val="00012B72"/>
    <w:rsid w:val="000138D1"/>
    <w:rsid w:val="000144E0"/>
    <w:rsid w:val="00014F1D"/>
    <w:rsid w:val="00020FDD"/>
    <w:rsid w:val="000210F9"/>
    <w:rsid w:val="00022662"/>
    <w:rsid w:val="00024810"/>
    <w:rsid w:val="00027631"/>
    <w:rsid w:val="00030FDE"/>
    <w:rsid w:val="00032133"/>
    <w:rsid w:val="00033A88"/>
    <w:rsid w:val="00040760"/>
    <w:rsid w:val="00054489"/>
    <w:rsid w:val="00057243"/>
    <w:rsid w:val="00062B79"/>
    <w:rsid w:val="00066132"/>
    <w:rsid w:val="00082431"/>
    <w:rsid w:val="00082D8A"/>
    <w:rsid w:val="000846BF"/>
    <w:rsid w:val="000924D7"/>
    <w:rsid w:val="0009298A"/>
    <w:rsid w:val="00095B51"/>
    <w:rsid w:val="00097176"/>
    <w:rsid w:val="00097426"/>
    <w:rsid w:val="000A7772"/>
    <w:rsid w:val="000B081E"/>
    <w:rsid w:val="000B2BF9"/>
    <w:rsid w:val="000B4E08"/>
    <w:rsid w:val="000B64D0"/>
    <w:rsid w:val="000B7536"/>
    <w:rsid w:val="000C16E0"/>
    <w:rsid w:val="000C71EE"/>
    <w:rsid w:val="000C7D81"/>
    <w:rsid w:val="000D5A38"/>
    <w:rsid w:val="000E1B7E"/>
    <w:rsid w:val="000F04B3"/>
    <w:rsid w:val="000F077C"/>
    <w:rsid w:val="001026D8"/>
    <w:rsid w:val="00104766"/>
    <w:rsid w:val="00105839"/>
    <w:rsid w:val="00107868"/>
    <w:rsid w:val="0011580E"/>
    <w:rsid w:val="00123B48"/>
    <w:rsid w:val="00132B42"/>
    <w:rsid w:val="001403F1"/>
    <w:rsid w:val="00143DBD"/>
    <w:rsid w:val="001448F1"/>
    <w:rsid w:val="00144D51"/>
    <w:rsid w:val="0015746C"/>
    <w:rsid w:val="00162E72"/>
    <w:rsid w:val="0016779C"/>
    <w:rsid w:val="00172A16"/>
    <w:rsid w:val="001741AD"/>
    <w:rsid w:val="0017468F"/>
    <w:rsid w:val="00177835"/>
    <w:rsid w:val="00177AAB"/>
    <w:rsid w:val="001878C1"/>
    <w:rsid w:val="00191BFD"/>
    <w:rsid w:val="00195AE1"/>
    <w:rsid w:val="00197E4C"/>
    <w:rsid w:val="001A4065"/>
    <w:rsid w:val="001A5158"/>
    <w:rsid w:val="001A5BF4"/>
    <w:rsid w:val="001B397C"/>
    <w:rsid w:val="001B4925"/>
    <w:rsid w:val="001C2706"/>
    <w:rsid w:val="001D300A"/>
    <w:rsid w:val="001D6A38"/>
    <w:rsid w:val="001E5DD0"/>
    <w:rsid w:val="001E5FC6"/>
    <w:rsid w:val="001E6A49"/>
    <w:rsid w:val="001E7FF4"/>
    <w:rsid w:val="001F2D3C"/>
    <w:rsid w:val="001F48B9"/>
    <w:rsid w:val="001F60D8"/>
    <w:rsid w:val="001F74D9"/>
    <w:rsid w:val="002037BB"/>
    <w:rsid w:val="00203E0F"/>
    <w:rsid w:val="00207E20"/>
    <w:rsid w:val="00210A78"/>
    <w:rsid w:val="00213B78"/>
    <w:rsid w:val="002242E4"/>
    <w:rsid w:val="002256D7"/>
    <w:rsid w:val="002301AB"/>
    <w:rsid w:val="00230FCC"/>
    <w:rsid w:val="0023608C"/>
    <w:rsid w:val="00256480"/>
    <w:rsid w:val="00261F40"/>
    <w:rsid w:val="0026436E"/>
    <w:rsid w:val="002651C1"/>
    <w:rsid w:val="00273B53"/>
    <w:rsid w:val="0027455B"/>
    <w:rsid w:val="002766CF"/>
    <w:rsid w:val="00281978"/>
    <w:rsid w:val="002833BC"/>
    <w:rsid w:val="0028534E"/>
    <w:rsid w:val="002909C2"/>
    <w:rsid w:val="002928CB"/>
    <w:rsid w:val="002930CB"/>
    <w:rsid w:val="00293232"/>
    <w:rsid w:val="00293245"/>
    <w:rsid w:val="00293780"/>
    <w:rsid w:val="00297DDA"/>
    <w:rsid w:val="002A06D2"/>
    <w:rsid w:val="002A351C"/>
    <w:rsid w:val="002A4463"/>
    <w:rsid w:val="002A453F"/>
    <w:rsid w:val="002A7F72"/>
    <w:rsid w:val="002B6D40"/>
    <w:rsid w:val="002B7109"/>
    <w:rsid w:val="002C6380"/>
    <w:rsid w:val="002E07B5"/>
    <w:rsid w:val="002E5398"/>
    <w:rsid w:val="002F3A26"/>
    <w:rsid w:val="002F4558"/>
    <w:rsid w:val="002F5107"/>
    <w:rsid w:val="002F7A19"/>
    <w:rsid w:val="00301D0F"/>
    <w:rsid w:val="00324BE8"/>
    <w:rsid w:val="0032557B"/>
    <w:rsid w:val="00327D90"/>
    <w:rsid w:val="003324D3"/>
    <w:rsid w:val="00343E2C"/>
    <w:rsid w:val="00344200"/>
    <w:rsid w:val="00345236"/>
    <w:rsid w:val="00347259"/>
    <w:rsid w:val="00351C3D"/>
    <w:rsid w:val="0036161A"/>
    <w:rsid w:val="00362758"/>
    <w:rsid w:val="003644A3"/>
    <w:rsid w:val="0037229F"/>
    <w:rsid w:val="003761CB"/>
    <w:rsid w:val="00386052"/>
    <w:rsid w:val="00391008"/>
    <w:rsid w:val="00396F07"/>
    <w:rsid w:val="003A0171"/>
    <w:rsid w:val="003A51CF"/>
    <w:rsid w:val="003A53AE"/>
    <w:rsid w:val="003B5B12"/>
    <w:rsid w:val="003C1FDB"/>
    <w:rsid w:val="003D5E7E"/>
    <w:rsid w:val="003E248B"/>
    <w:rsid w:val="003E4A9D"/>
    <w:rsid w:val="003E7600"/>
    <w:rsid w:val="003F6AE7"/>
    <w:rsid w:val="003F7537"/>
    <w:rsid w:val="003F7972"/>
    <w:rsid w:val="00400268"/>
    <w:rsid w:val="00400AEE"/>
    <w:rsid w:val="0040224E"/>
    <w:rsid w:val="00402B8A"/>
    <w:rsid w:val="00404A85"/>
    <w:rsid w:val="004064D5"/>
    <w:rsid w:val="00420432"/>
    <w:rsid w:val="004207EA"/>
    <w:rsid w:val="00421941"/>
    <w:rsid w:val="004222DF"/>
    <w:rsid w:val="00423167"/>
    <w:rsid w:val="0042553A"/>
    <w:rsid w:val="00431023"/>
    <w:rsid w:val="00432A5E"/>
    <w:rsid w:val="00435155"/>
    <w:rsid w:val="00435D10"/>
    <w:rsid w:val="004363A3"/>
    <w:rsid w:val="00436A1D"/>
    <w:rsid w:val="00444B3A"/>
    <w:rsid w:val="004517A5"/>
    <w:rsid w:val="00453CBB"/>
    <w:rsid w:val="004563EF"/>
    <w:rsid w:val="0046040A"/>
    <w:rsid w:val="00463E43"/>
    <w:rsid w:val="00466441"/>
    <w:rsid w:val="00466810"/>
    <w:rsid w:val="00473B48"/>
    <w:rsid w:val="00480E3F"/>
    <w:rsid w:val="004826B6"/>
    <w:rsid w:val="00490F0D"/>
    <w:rsid w:val="0049752F"/>
    <w:rsid w:val="004A0EC0"/>
    <w:rsid w:val="004A3D6E"/>
    <w:rsid w:val="004A6546"/>
    <w:rsid w:val="004A6EA9"/>
    <w:rsid w:val="004B1749"/>
    <w:rsid w:val="004B6945"/>
    <w:rsid w:val="004C0CAA"/>
    <w:rsid w:val="004C30B3"/>
    <w:rsid w:val="004C3930"/>
    <w:rsid w:val="004C63BA"/>
    <w:rsid w:val="004C7A9F"/>
    <w:rsid w:val="004D14E2"/>
    <w:rsid w:val="004D2E07"/>
    <w:rsid w:val="004E3194"/>
    <w:rsid w:val="004E459E"/>
    <w:rsid w:val="004E59DC"/>
    <w:rsid w:val="004F168D"/>
    <w:rsid w:val="004F6B4A"/>
    <w:rsid w:val="00507065"/>
    <w:rsid w:val="0051362E"/>
    <w:rsid w:val="00515868"/>
    <w:rsid w:val="00516D0C"/>
    <w:rsid w:val="0052007D"/>
    <w:rsid w:val="00520DAD"/>
    <w:rsid w:val="00522113"/>
    <w:rsid w:val="00527A3D"/>
    <w:rsid w:val="0053188E"/>
    <w:rsid w:val="005343AE"/>
    <w:rsid w:val="00534858"/>
    <w:rsid w:val="00535E05"/>
    <w:rsid w:val="00535EF7"/>
    <w:rsid w:val="00537912"/>
    <w:rsid w:val="00541DC7"/>
    <w:rsid w:val="00542154"/>
    <w:rsid w:val="00556E48"/>
    <w:rsid w:val="00566E9D"/>
    <w:rsid w:val="0058285E"/>
    <w:rsid w:val="00587DE0"/>
    <w:rsid w:val="005A0236"/>
    <w:rsid w:val="005A5720"/>
    <w:rsid w:val="005B5908"/>
    <w:rsid w:val="005B6DB5"/>
    <w:rsid w:val="005B6E2D"/>
    <w:rsid w:val="005B7004"/>
    <w:rsid w:val="005C14F8"/>
    <w:rsid w:val="005C238F"/>
    <w:rsid w:val="005C28FF"/>
    <w:rsid w:val="005C541B"/>
    <w:rsid w:val="005C6384"/>
    <w:rsid w:val="005C77CA"/>
    <w:rsid w:val="005D7920"/>
    <w:rsid w:val="005E4AFA"/>
    <w:rsid w:val="005E693C"/>
    <w:rsid w:val="005F010A"/>
    <w:rsid w:val="005F0EC0"/>
    <w:rsid w:val="005F353C"/>
    <w:rsid w:val="005F713E"/>
    <w:rsid w:val="006017F7"/>
    <w:rsid w:val="006064DC"/>
    <w:rsid w:val="00606628"/>
    <w:rsid w:val="006134D1"/>
    <w:rsid w:val="00623C32"/>
    <w:rsid w:val="006257D1"/>
    <w:rsid w:val="00634109"/>
    <w:rsid w:val="0063651A"/>
    <w:rsid w:val="00645AD8"/>
    <w:rsid w:val="00645C6A"/>
    <w:rsid w:val="00646A3B"/>
    <w:rsid w:val="00652453"/>
    <w:rsid w:val="00653BCC"/>
    <w:rsid w:val="006551E6"/>
    <w:rsid w:val="00656E83"/>
    <w:rsid w:val="00664611"/>
    <w:rsid w:val="00664729"/>
    <w:rsid w:val="00666B50"/>
    <w:rsid w:val="006729F4"/>
    <w:rsid w:val="00676824"/>
    <w:rsid w:val="00677159"/>
    <w:rsid w:val="0067781C"/>
    <w:rsid w:val="00680853"/>
    <w:rsid w:val="00692810"/>
    <w:rsid w:val="00692FB2"/>
    <w:rsid w:val="006955D6"/>
    <w:rsid w:val="00697BE9"/>
    <w:rsid w:val="006A0F1E"/>
    <w:rsid w:val="006A1A1F"/>
    <w:rsid w:val="006A526F"/>
    <w:rsid w:val="006B0A5B"/>
    <w:rsid w:val="006C1FA6"/>
    <w:rsid w:val="006C2479"/>
    <w:rsid w:val="006C4485"/>
    <w:rsid w:val="006C5E92"/>
    <w:rsid w:val="006D3710"/>
    <w:rsid w:val="006D3C34"/>
    <w:rsid w:val="006E6A46"/>
    <w:rsid w:val="006F1CB8"/>
    <w:rsid w:val="006F4517"/>
    <w:rsid w:val="007008D9"/>
    <w:rsid w:val="0070398A"/>
    <w:rsid w:val="00704713"/>
    <w:rsid w:val="0070724A"/>
    <w:rsid w:val="00713A46"/>
    <w:rsid w:val="007152AA"/>
    <w:rsid w:val="0072111B"/>
    <w:rsid w:val="007219C7"/>
    <w:rsid w:val="00723AB7"/>
    <w:rsid w:val="00723D64"/>
    <w:rsid w:val="00725B01"/>
    <w:rsid w:val="00725D38"/>
    <w:rsid w:val="007264F5"/>
    <w:rsid w:val="007268EF"/>
    <w:rsid w:val="00726C31"/>
    <w:rsid w:val="00733E17"/>
    <w:rsid w:val="00734321"/>
    <w:rsid w:val="00746C11"/>
    <w:rsid w:val="007572EC"/>
    <w:rsid w:val="00760161"/>
    <w:rsid w:val="00761445"/>
    <w:rsid w:val="0076445C"/>
    <w:rsid w:val="00765892"/>
    <w:rsid w:val="00766D6A"/>
    <w:rsid w:val="00771572"/>
    <w:rsid w:val="00775949"/>
    <w:rsid w:val="007826C8"/>
    <w:rsid w:val="00783B98"/>
    <w:rsid w:val="007866A3"/>
    <w:rsid w:val="00793D7B"/>
    <w:rsid w:val="007943AD"/>
    <w:rsid w:val="007A5FE5"/>
    <w:rsid w:val="007B20A4"/>
    <w:rsid w:val="007B26C8"/>
    <w:rsid w:val="007B4CDF"/>
    <w:rsid w:val="007C1DE5"/>
    <w:rsid w:val="007C493D"/>
    <w:rsid w:val="007C7758"/>
    <w:rsid w:val="007D2885"/>
    <w:rsid w:val="007D4C00"/>
    <w:rsid w:val="007D4DEC"/>
    <w:rsid w:val="007E2F7F"/>
    <w:rsid w:val="007E6249"/>
    <w:rsid w:val="007E6B3C"/>
    <w:rsid w:val="007F0F36"/>
    <w:rsid w:val="007F3A2B"/>
    <w:rsid w:val="007F5277"/>
    <w:rsid w:val="007F6BB7"/>
    <w:rsid w:val="008018A8"/>
    <w:rsid w:val="0080416F"/>
    <w:rsid w:val="00805817"/>
    <w:rsid w:val="00806C09"/>
    <w:rsid w:val="00827614"/>
    <w:rsid w:val="0083057C"/>
    <w:rsid w:val="008416B8"/>
    <w:rsid w:val="00846C13"/>
    <w:rsid w:val="00850872"/>
    <w:rsid w:val="008615A8"/>
    <w:rsid w:val="0086291D"/>
    <w:rsid w:val="0086296B"/>
    <w:rsid w:val="00866D50"/>
    <w:rsid w:val="008866BD"/>
    <w:rsid w:val="00893DC5"/>
    <w:rsid w:val="008A08D5"/>
    <w:rsid w:val="008A4E30"/>
    <w:rsid w:val="008A5F97"/>
    <w:rsid w:val="008A73BE"/>
    <w:rsid w:val="008B2638"/>
    <w:rsid w:val="008B698E"/>
    <w:rsid w:val="008B6DCF"/>
    <w:rsid w:val="008C4C3E"/>
    <w:rsid w:val="008C5853"/>
    <w:rsid w:val="008D2075"/>
    <w:rsid w:val="008D2FB0"/>
    <w:rsid w:val="008D6D9F"/>
    <w:rsid w:val="008E4419"/>
    <w:rsid w:val="008E476A"/>
    <w:rsid w:val="008E4F5E"/>
    <w:rsid w:val="008E713E"/>
    <w:rsid w:val="008F37D1"/>
    <w:rsid w:val="008F4628"/>
    <w:rsid w:val="009026E0"/>
    <w:rsid w:val="00903CA3"/>
    <w:rsid w:val="0090536D"/>
    <w:rsid w:val="0091010F"/>
    <w:rsid w:val="00910ACA"/>
    <w:rsid w:val="00911311"/>
    <w:rsid w:val="00915DE3"/>
    <w:rsid w:val="009162A1"/>
    <w:rsid w:val="0091686F"/>
    <w:rsid w:val="0091742A"/>
    <w:rsid w:val="00921991"/>
    <w:rsid w:val="009228E4"/>
    <w:rsid w:val="00925C54"/>
    <w:rsid w:val="00941BE4"/>
    <w:rsid w:val="009546AE"/>
    <w:rsid w:val="0097109C"/>
    <w:rsid w:val="00972C14"/>
    <w:rsid w:val="00975C64"/>
    <w:rsid w:val="00976480"/>
    <w:rsid w:val="00976D12"/>
    <w:rsid w:val="00976D24"/>
    <w:rsid w:val="00980C01"/>
    <w:rsid w:val="0098245A"/>
    <w:rsid w:val="00996832"/>
    <w:rsid w:val="0099747E"/>
    <w:rsid w:val="009A0C7F"/>
    <w:rsid w:val="009A453D"/>
    <w:rsid w:val="009A573B"/>
    <w:rsid w:val="009A5B42"/>
    <w:rsid w:val="009B20E0"/>
    <w:rsid w:val="009B2551"/>
    <w:rsid w:val="009B552B"/>
    <w:rsid w:val="009B5D12"/>
    <w:rsid w:val="009C2503"/>
    <w:rsid w:val="009C4627"/>
    <w:rsid w:val="009C7A76"/>
    <w:rsid w:val="009D4C67"/>
    <w:rsid w:val="009E24B6"/>
    <w:rsid w:val="009E4256"/>
    <w:rsid w:val="009E786E"/>
    <w:rsid w:val="009F6F8F"/>
    <w:rsid w:val="009F7DFC"/>
    <w:rsid w:val="00A10CAE"/>
    <w:rsid w:val="00A129E1"/>
    <w:rsid w:val="00A14F53"/>
    <w:rsid w:val="00A17157"/>
    <w:rsid w:val="00A22AE9"/>
    <w:rsid w:val="00A402F8"/>
    <w:rsid w:val="00A4093A"/>
    <w:rsid w:val="00A40B11"/>
    <w:rsid w:val="00A426F1"/>
    <w:rsid w:val="00A45463"/>
    <w:rsid w:val="00A50674"/>
    <w:rsid w:val="00A508B0"/>
    <w:rsid w:val="00A53183"/>
    <w:rsid w:val="00A56355"/>
    <w:rsid w:val="00A6449C"/>
    <w:rsid w:val="00A72AA0"/>
    <w:rsid w:val="00A74DB9"/>
    <w:rsid w:val="00A767BF"/>
    <w:rsid w:val="00A76B81"/>
    <w:rsid w:val="00A8071C"/>
    <w:rsid w:val="00A919F1"/>
    <w:rsid w:val="00A92E7A"/>
    <w:rsid w:val="00A92ED0"/>
    <w:rsid w:val="00A9534D"/>
    <w:rsid w:val="00A969B9"/>
    <w:rsid w:val="00A97535"/>
    <w:rsid w:val="00AA3E15"/>
    <w:rsid w:val="00AA4EB8"/>
    <w:rsid w:val="00AB0B78"/>
    <w:rsid w:val="00AB1B1A"/>
    <w:rsid w:val="00AB4CC8"/>
    <w:rsid w:val="00AC3B77"/>
    <w:rsid w:val="00AC46A5"/>
    <w:rsid w:val="00AC4F0E"/>
    <w:rsid w:val="00AD63DA"/>
    <w:rsid w:val="00AE0F57"/>
    <w:rsid w:val="00AE2118"/>
    <w:rsid w:val="00AF2665"/>
    <w:rsid w:val="00AF39C1"/>
    <w:rsid w:val="00AF4605"/>
    <w:rsid w:val="00B00B9A"/>
    <w:rsid w:val="00B11A9D"/>
    <w:rsid w:val="00B2214A"/>
    <w:rsid w:val="00B24396"/>
    <w:rsid w:val="00B26402"/>
    <w:rsid w:val="00B2752B"/>
    <w:rsid w:val="00B27931"/>
    <w:rsid w:val="00B320D4"/>
    <w:rsid w:val="00B35AC1"/>
    <w:rsid w:val="00B41297"/>
    <w:rsid w:val="00B41504"/>
    <w:rsid w:val="00B43442"/>
    <w:rsid w:val="00B53E3C"/>
    <w:rsid w:val="00B55245"/>
    <w:rsid w:val="00B5719B"/>
    <w:rsid w:val="00B702C1"/>
    <w:rsid w:val="00B70EA7"/>
    <w:rsid w:val="00B771D0"/>
    <w:rsid w:val="00B818FC"/>
    <w:rsid w:val="00B81F7D"/>
    <w:rsid w:val="00B84DAD"/>
    <w:rsid w:val="00B9204D"/>
    <w:rsid w:val="00B96E55"/>
    <w:rsid w:val="00BB04F6"/>
    <w:rsid w:val="00BB6377"/>
    <w:rsid w:val="00BB66B0"/>
    <w:rsid w:val="00BC09C0"/>
    <w:rsid w:val="00BD3C3D"/>
    <w:rsid w:val="00BD3F5F"/>
    <w:rsid w:val="00BE3376"/>
    <w:rsid w:val="00BE4263"/>
    <w:rsid w:val="00BF5741"/>
    <w:rsid w:val="00C03D09"/>
    <w:rsid w:val="00C05519"/>
    <w:rsid w:val="00C074B4"/>
    <w:rsid w:val="00C135ED"/>
    <w:rsid w:val="00C34B40"/>
    <w:rsid w:val="00C365A7"/>
    <w:rsid w:val="00C40F46"/>
    <w:rsid w:val="00C41B4C"/>
    <w:rsid w:val="00C50175"/>
    <w:rsid w:val="00C5268C"/>
    <w:rsid w:val="00C54A18"/>
    <w:rsid w:val="00C565A1"/>
    <w:rsid w:val="00C56992"/>
    <w:rsid w:val="00C61219"/>
    <w:rsid w:val="00C617A2"/>
    <w:rsid w:val="00C6364B"/>
    <w:rsid w:val="00C66BA9"/>
    <w:rsid w:val="00C670A3"/>
    <w:rsid w:val="00C67E51"/>
    <w:rsid w:val="00C7145A"/>
    <w:rsid w:val="00C74C4C"/>
    <w:rsid w:val="00C75675"/>
    <w:rsid w:val="00C75E44"/>
    <w:rsid w:val="00C801F6"/>
    <w:rsid w:val="00C86F7B"/>
    <w:rsid w:val="00C8706B"/>
    <w:rsid w:val="00C966FC"/>
    <w:rsid w:val="00CA13EF"/>
    <w:rsid w:val="00CA1C55"/>
    <w:rsid w:val="00CA3DB0"/>
    <w:rsid w:val="00CB7597"/>
    <w:rsid w:val="00CC19F1"/>
    <w:rsid w:val="00CC1AC7"/>
    <w:rsid w:val="00CC5714"/>
    <w:rsid w:val="00CC70AB"/>
    <w:rsid w:val="00CD3284"/>
    <w:rsid w:val="00CE2480"/>
    <w:rsid w:val="00CE295F"/>
    <w:rsid w:val="00CF64E1"/>
    <w:rsid w:val="00CF7652"/>
    <w:rsid w:val="00D00A8F"/>
    <w:rsid w:val="00D03EC0"/>
    <w:rsid w:val="00D12006"/>
    <w:rsid w:val="00D16385"/>
    <w:rsid w:val="00D20265"/>
    <w:rsid w:val="00D23A2F"/>
    <w:rsid w:val="00D24787"/>
    <w:rsid w:val="00D262EC"/>
    <w:rsid w:val="00D31041"/>
    <w:rsid w:val="00D3113F"/>
    <w:rsid w:val="00D42B12"/>
    <w:rsid w:val="00D44F5D"/>
    <w:rsid w:val="00D46917"/>
    <w:rsid w:val="00D4700B"/>
    <w:rsid w:val="00D518D7"/>
    <w:rsid w:val="00D5326C"/>
    <w:rsid w:val="00D54D0A"/>
    <w:rsid w:val="00D643DC"/>
    <w:rsid w:val="00D675D3"/>
    <w:rsid w:val="00D707C2"/>
    <w:rsid w:val="00D72C71"/>
    <w:rsid w:val="00D74604"/>
    <w:rsid w:val="00D7655A"/>
    <w:rsid w:val="00D816D1"/>
    <w:rsid w:val="00D85260"/>
    <w:rsid w:val="00D85A1E"/>
    <w:rsid w:val="00D85E99"/>
    <w:rsid w:val="00D86FD9"/>
    <w:rsid w:val="00D90AAC"/>
    <w:rsid w:val="00D90C3C"/>
    <w:rsid w:val="00D9220D"/>
    <w:rsid w:val="00D92D55"/>
    <w:rsid w:val="00D94D7A"/>
    <w:rsid w:val="00D95AED"/>
    <w:rsid w:val="00D96242"/>
    <w:rsid w:val="00DA050F"/>
    <w:rsid w:val="00DA5FCF"/>
    <w:rsid w:val="00DB1E18"/>
    <w:rsid w:val="00DB2AED"/>
    <w:rsid w:val="00DC3C9C"/>
    <w:rsid w:val="00DC5EFA"/>
    <w:rsid w:val="00DD0887"/>
    <w:rsid w:val="00DD2F6C"/>
    <w:rsid w:val="00DD5BF4"/>
    <w:rsid w:val="00DD6B7C"/>
    <w:rsid w:val="00DE296E"/>
    <w:rsid w:val="00DE4037"/>
    <w:rsid w:val="00DF0B59"/>
    <w:rsid w:val="00DF6E9F"/>
    <w:rsid w:val="00E01893"/>
    <w:rsid w:val="00E01D3C"/>
    <w:rsid w:val="00E06237"/>
    <w:rsid w:val="00E105C0"/>
    <w:rsid w:val="00E22EF2"/>
    <w:rsid w:val="00E27760"/>
    <w:rsid w:val="00E35E57"/>
    <w:rsid w:val="00E41245"/>
    <w:rsid w:val="00E47485"/>
    <w:rsid w:val="00E53C1C"/>
    <w:rsid w:val="00E55D5F"/>
    <w:rsid w:val="00E578BA"/>
    <w:rsid w:val="00E662BA"/>
    <w:rsid w:val="00E66441"/>
    <w:rsid w:val="00E70823"/>
    <w:rsid w:val="00E73971"/>
    <w:rsid w:val="00E76BDA"/>
    <w:rsid w:val="00E77BCA"/>
    <w:rsid w:val="00E82B2B"/>
    <w:rsid w:val="00E8675A"/>
    <w:rsid w:val="00E875B2"/>
    <w:rsid w:val="00E952AB"/>
    <w:rsid w:val="00E95913"/>
    <w:rsid w:val="00E96182"/>
    <w:rsid w:val="00E963A0"/>
    <w:rsid w:val="00EA3C4A"/>
    <w:rsid w:val="00EA49B9"/>
    <w:rsid w:val="00EA552E"/>
    <w:rsid w:val="00EA7575"/>
    <w:rsid w:val="00EB05D3"/>
    <w:rsid w:val="00EB0E33"/>
    <w:rsid w:val="00EB2969"/>
    <w:rsid w:val="00EB4D01"/>
    <w:rsid w:val="00EB5A93"/>
    <w:rsid w:val="00EC5E71"/>
    <w:rsid w:val="00ED0765"/>
    <w:rsid w:val="00ED33F2"/>
    <w:rsid w:val="00EE2621"/>
    <w:rsid w:val="00EE7C50"/>
    <w:rsid w:val="00EF0124"/>
    <w:rsid w:val="00EF3FA9"/>
    <w:rsid w:val="00F004EB"/>
    <w:rsid w:val="00F02DC9"/>
    <w:rsid w:val="00F03161"/>
    <w:rsid w:val="00F03179"/>
    <w:rsid w:val="00F063A4"/>
    <w:rsid w:val="00F072D4"/>
    <w:rsid w:val="00F07817"/>
    <w:rsid w:val="00F07EF5"/>
    <w:rsid w:val="00F13DAD"/>
    <w:rsid w:val="00F13F2B"/>
    <w:rsid w:val="00F156B2"/>
    <w:rsid w:val="00F15770"/>
    <w:rsid w:val="00F30580"/>
    <w:rsid w:val="00F30824"/>
    <w:rsid w:val="00F30F90"/>
    <w:rsid w:val="00F33BEF"/>
    <w:rsid w:val="00F34C18"/>
    <w:rsid w:val="00F369C2"/>
    <w:rsid w:val="00F4143A"/>
    <w:rsid w:val="00F4766E"/>
    <w:rsid w:val="00F505BB"/>
    <w:rsid w:val="00F505F4"/>
    <w:rsid w:val="00F52274"/>
    <w:rsid w:val="00F5390D"/>
    <w:rsid w:val="00F546AB"/>
    <w:rsid w:val="00F654AA"/>
    <w:rsid w:val="00F66984"/>
    <w:rsid w:val="00F74E8D"/>
    <w:rsid w:val="00F7531C"/>
    <w:rsid w:val="00F76E4A"/>
    <w:rsid w:val="00F7749E"/>
    <w:rsid w:val="00F85E81"/>
    <w:rsid w:val="00F9072E"/>
    <w:rsid w:val="00FA29AE"/>
    <w:rsid w:val="00FA51DC"/>
    <w:rsid w:val="00FB336B"/>
    <w:rsid w:val="00FB3CCE"/>
    <w:rsid w:val="00FD56D5"/>
    <w:rsid w:val="00FD6102"/>
    <w:rsid w:val="00FE1EB2"/>
    <w:rsid w:val="00FE5192"/>
    <w:rsid w:val="00FE6B13"/>
    <w:rsid w:val="00FF1F68"/>
    <w:rsid w:val="00FF2358"/>
    <w:rsid w:val="00FF71A8"/>
    <w:rsid w:val="0E1DC9AF"/>
    <w:rsid w:val="0F3DCB5E"/>
    <w:rsid w:val="0F432C76"/>
    <w:rsid w:val="1F7E7611"/>
    <w:rsid w:val="255C0492"/>
    <w:rsid w:val="258B83F4"/>
    <w:rsid w:val="25FD7DC4"/>
    <w:rsid w:val="27B93CB8"/>
    <w:rsid w:val="2BEB4876"/>
    <w:rsid w:val="2EF80B37"/>
    <w:rsid w:val="35DFEC09"/>
    <w:rsid w:val="377DD104"/>
    <w:rsid w:val="37AF4D88"/>
    <w:rsid w:val="39EDD68C"/>
    <w:rsid w:val="39F5E7B6"/>
    <w:rsid w:val="3ADE385B"/>
    <w:rsid w:val="3BF5D189"/>
    <w:rsid w:val="3DAB57DB"/>
    <w:rsid w:val="3DCD2A94"/>
    <w:rsid w:val="3E3C4911"/>
    <w:rsid w:val="3E7F8A2B"/>
    <w:rsid w:val="3F5FF567"/>
    <w:rsid w:val="3FD1AF3E"/>
    <w:rsid w:val="3FDBB4E2"/>
    <w:rsid w:val="3FE87E08"/>
    <w:rsid w:val="3FEF8389"/>
    <w:rsid w:val="3FF66453"/>
    <w:rsid w:val="3FF6C543"/>
    <w:rsid w:val="47FEA042"/>
    <w:rsid w:val="4AEF8ED1"/>
    <w:rsid w:val="4DF74379"/>
    <w:rsid w:val="4DFE67E8"/>
    <w:rsid w:val="4EFF768F"/>
    <w:rsid w:val="4F7AEE4B"/>
    <w:rsid w:val="4FDF51A6"/>
    <w:rsid w:val="52B79B21"/>
    <w:rsid w:val="577E16A1"/>
    <w:rsid w:val="579B7E3E"/>
    <w:rsid w:val="57FF4583"/>
    <w:rsid w:val="58BF5520"/>
    <w:rsid w:val="59EFEFA2"/>
    <w:rsid w:val="59FF56DF"/>
    <w:rsid w:val="5AE3B53B"/>
    <w:rsid w:val="5AF7443D"/>
    <w:rsid w:val="5BF12DE2"/>
    <w:rsid w:val="5BF3DD37"/>
    <w:rsid w:val="5BF778FE"/>
    <w:rsid w:val="5CE8F234"/>
    <w:rsid w:val="5D6EC182"/>
    <w:rsid w:val="5D9B3276"/>
    <w:rsid w:val="5DAA33F6"/>
    <w:rsid w:val="5DADB093"/>
    <w:rsid w:val="5DFFC9F8"/>
    <w:rsid w:val="5EF21826"/>
    <w:rsid w:val="5F9BA1A0"/>
    <w:rsid w:val="5FCC73EE"/>
    <w:rsid w:val="5FF6ADD0"/>
    <w:rsid w:val="5FFBC025"/>
    <w:rsid w:val="5FFDA6E7"/>
    <w:rsid w:val="5FFE3BDF"/>
    <w:rsid w:val="5FFF8E4D"/>
    <w:rsid w:val="62CEDFB6"/>
    <w:rsid w:val="63F5EE8C"/>
    <w:rsid w:val="6561E866"/>
    <w:rsid w:val="66FB414A"/>
    <w:rsid w:val="66FB469B"/>
    <w:rsid w:val="67D509BF"/>
    <w:rsid w:val="67DEE038"/>
    <w:rsid w:val="67F2825D"/>
    <w:rsid w:val="69BFED3F"/>
    <w:rsid w:val="69F95AD6"/>
    <w:rsid w:val="69FB1FDD"/>
    <w:rsid w:val="6B6DCA39"/>
    <w:rsid w:val="6BD709A5"/>
    <w:rsid w:val="6BF71482"/>
    <w:rsid w:val="6BFB8898"/>
    <w:rsid w:val="6BFF39F1"/>
    <w:rsid w:val="6CEF94E1"/>
    <w:rsid w:val="6D7FF588"/>
    <w:rsid w:val="6DF55745"/>
    <w:rsid w:val="6DFF6B22"/>
    <w:rsid w:val="6DFF7C37"/>
    <w:rsid w:val="6EFE0D0E"/>
    <w:rsid w:val="6F376413"/>
    <w:rsid w:val="6F7F7998"/>
    <w:rsid w:val="6FAE7D96"/>
    <w:rsid w:val="6FBE5849"/>
    <w:rsid w:val="6FEECD5F"/>
    <w:rsid w:val="6FF6CE6B"/>
    <w:rsid w:val="6FF7768A"/>
    <w:rsid w:val="6FFAD26C"/>
    <w:rsid w:val="6FFE5124"/>
    <w:rsid w:val="6FFFE189"/>
    <w:rsid w:val="735BBEED"/>
    <w:rsid w:val="737F04E1"/>
    <w:rsid w:val="73BB23C6"/>
    <w:rsid w:val="73DAF7F6"/>
    <w:rsid w:val="73DB08C0"/>
    <w:rsid w:val="73F9F6CD"/>
    <w:rsid w:val="74B1DD4A"/>
    <w:rsid w:val="74DF7193"/>
    <w:rsid w:val="74FE6A6B"/>
    <w:rsid w:val="75AAA760"/>
    <w:rsid w:val="75F719FF"/>
    <w:rsid w:val="75FC49F6"/>
    <w:rsid w:val="764E0E6E"/>
    <w:rsid w:val="766D0AAE"/>
    <w:rsid w:val="76754F86"/>
    <w:rsid w:val="767F4FB9"/>
    <w:rsid w:val="769F655E"/>
    <w:rsid w:val="76BF511C"/>
    <w:rsid w:val="76BF5473"/>
    <w:rsid w:val="76DF7967"/>
    <w:rsid w:val="777C4353"/>
    <w:rsid w:val="779AF860"/>
    <w:rsid w:val="77B6982A"/>
    <w:rsid w:val="77B9369A"/>
    <w:rsid w:val="77BD0F3F"/>
    <w:rsid w:val="77BF58E0"/>
    <w:rsid w:val="77DA8D39"/>
    <w:rsid w:val="786A168A"/>
    <w:rsid w:val="78DBBCD0"/>
    <w:rsid w:val="79F630CA"/>
    <w:rsid w:val="79F7F73B"/>
    <w:rsid w:val="79FC4FCF"/>
    <w:rsid w:val="79FF3899"/>
    <w:rsid w:val="7A373B0A"/>
    <w:rsid w:val="7A7919D0"/>
    <w:rsid w:val="7AAF5C9B"/>
    <w:rsid w:val="7AB2F6D8"/>
    <w:rsid w:val="7ABF9347"/>
    <w:rsid w:val="7B5D5CC8"/>
    <w:rsid w:val="7B5E7244"/>
    <w:rsid w:val="7B913357"/>
    <w:rsid w:val="7BBB23B3"/>
    <w:rsid w:val="7BBC8317"/>
    <w:rsid w:val="7BDDE6E7"/>
    <w:rsid w:val="7BF5B9CB"/>
    <w:rsid w:val="7BFB5593"/>
    <w:rsid w:val="7CB67D8D"/>
    <w:rsid w:val="7CF76626"/>
    <w:rsid w:val="7CFD6F1F"/>
    <w:rsid w:val="7CFF963D"/>
    <w:rsid w:val="7D332676"/>
    <w:rsid w:val="7DC54613"/>
    <w:rsid w:val="7DDF7484"/>
    <w:rsid w:val="7DFF3354"/>
    <w:rsid w:val="7DFFE75E"/>
    <w:rsid w:val="7E3FCBBB"/>
    <w:rsid w:val="7E6CDC9A"/>
    <w:rsid w:val="7EEEC685"/>
    <w:rsid w:val="7EF30C2E"/>
    <w:rsid w:val="7EFBBA4B"/>
    <w:rsid w:val="7EFFE564"/>
    <w:rsid w:val="7F1B1B2E"/>
    <w:rsid w:val="7F2BA24F"/>
    <w:rsid w:val="7F3E30BF"/>
    <w:rsid w:val="7F9FEEEA"/>
    <w:rsid w:val="7FB77EC3"/>
    <w:rsid w:val="7FBA1A1C"/>
    <w:rsid w:val="7FCB7E12"/>
    <w:rsid w:val="7FE77BCD"/>
    <w:rsid w:val="7FF7235C"/>
    <w:rsid w:val="7FF7C3C9"/>
    <w:rsid w:val="7FFF7E18"/>
    <w:rsid w:val="7FFFB1BB"/>
    <w:rsid w:val="8DFF1BAC"/>
    <w:rsid w:val="8F76BC15"/>
    <w:rsid w:val="93FF382F"/>
    <w:rsid w:val="97D7CB0F"/>
    <w:rsid w:val="97FDA697"/>
    <w:rsid w:val="99BF0412"/>
    <w:rsid w:val="9BFFC818"/>
    <w:rsid w:val="9CBB6F38"/>
    <w:rsid w:val="9FF745A8"/>
    <w:rsid w:val="9FFF40AD"/>
    <w:rsid w:val="9FFFBAE5"/>
    <w:rsid w:val="9FFFE5C6"/>
    <w:rsid w:val="A37F0F6D"/>
    <w:rsid w:val="AD1F9D2D"/>
    <w:rsid w:val="ADDF10BE"/>
    <w:rsid w:val="ADF2B4F5"/>
    <w:rsid w:val="ADF9357A"/>
    <w:rsid w:val="B55F1142"/>
    <w:rsid w:val="B5756AEC"/>
    <w:rsid w:val="B5DCFA98"/>
    <w:rsid w:val="B5F56719"/>
    <w:rsid w:val="B693A396"/>
    <w:rsid w:val="B6D6E10A"/>
    <w:rsid w:val="B7EFD7E5"/>
    <w:rsid w:val="B7F7A1E6"/>
    <w:rsid w:val="BADFEE8E"/>
    <w:rsid w:val="BAF8622D"/>
    <w:rsid w:val="BBB75050"/>
    <w:rsid w:val="BBED3CF8"/>
    <w:rsid w:val="BBFF3FC0"/>
    <w:rsid w:val="BD4D6D0F"/>
    <w:rsid w:val="BD7A8B65"/>
    <w:rsid w:val="BDEB12AC"/>
    <w:rsid w:val="BDEDBA50"/>
    <w:rsid w:val="BEFF1E3E"/>
    <w:rsid w:val="BF074FEE"/>
    <w:rsid w:val="BF7B2B04"/>
    <w:rsid w:val="BFBBFA1A"/>
    <w:rsid w:val="BFDF4FC5"/>
    <w:rsid w:val="BFF3AE8A"/>
    <w:rsid w:val="C22F9C90"/>
    <w:rsid w:val="C3BFBCD9"/>
    <w:rsid w:val="C6A31593"/>
    <w:rsid w:val="C6EFA143"/>
    <w:rsid w:val="CB973D1E"/>
    <w:rsid w:val="CE77CAEC"/>
    <w:rsid w:val="CF526448"/>
    <w:rsid w:val="CF5F4EDE"/>
    <w:rsid w:val="CF5F7BFD"/>
    <w:rsid w:val="CF7F96BB"/>
    <w:rsid w:val="CFFF95EE"/>
    <w:rsid w:val="D057A0D5"/>
    <w:rsid w:val="D1F91C28"/>
    <w:rsid w:val="D3FF3B7B"/>
    <w:rsid w:val="D65FC1A2"/>
    <w:rsid w:val="D6EB7627"/>
    <w:rsid w:val="D77B97CB"/>
    <w:rsid w:val="D7DA1FD0"/>
    <w:rsid w:val="D7EBFAF3"/>
    <w:rsid w:val="D7EF7D4B"/>
    <w:rsid w:val="DA343913"/>
    <w:rsid w:val="DAAFC868"/>
    <w:rsid w:val="DBE74F35"/>
    <w:rsid w:val="DBF71582"/>
    <w:rsid w:val="DC1203E5"/>
    <w:rsid w:val="DD3B7AD3"/>
    <w:rsid w:val="DDC96E41"/>
    <w:rsid w:val="DDCBE542"/>
    <w:rsid w:val="DDEE9D56"/>
    <w:rsid w:val="DDEF4D0F"/>
    <w:rsid w:val="DEBF2072"/>
    <w:rsid w:val="DEFFE569"/>
    <w:rsid w:val="DF521E04"/>
    <w:rsid w:val="DF6FEF84"/>
    <w:rsid w:val="DF87E5EB"/>
    <w:rsid w:val="DFBF2E08"/>
    <w:rsid w:val="DFF584E8"/>
    <w:rsid w:val="DFFBBD67"/>
    <w:rsid w:val="E1A85D42"/>
    <w:rsid w:val="E2DCFE22"/>
    <w:rsid w:val="E73B76D5"/>
    <w:rsid w:val="E77E5403"/>
    <w:rsid w:val="E7F5CE9B"/>
    <w:rsid w:val="E99D0A8A"/>
    <w:rsid w:val="E9B6DC7D"/>
    <w:rsid w:val="E9DE123C"/>
    <w:rsid w:val="E9DF07C4"/>
    <w:rsid w:val="EB6E305E"/>
    <w:rsid w:val="EBBF87C6"/>
    <w:rsid w:val="EC6FA55D"/>
    <w:rsid w:val="ECAB1330"/>
    <w:rsid w:val="ECC957A0"/>
    <w:rsid w:val="EDFF6ED3"/>
    <w:rsid w:val="EDFFEF29"/>
    <w:rsid w:val="EE7F8BDE"/>
    <w:rsid w:val="EED9C6C1"/>
    <w:rsid w:val="EEFD100F"/>
    <w:rsid w:val="EF3FCF50"/>
    <w:rsid w:val="EF6EC0E0"/>
    <w:rsid w:val="EF7FCC8B"/>
    <w:rsid w:val="EFAFEDBE"/>
    <w:rsid w:val="EFBB41B5"/>
    <w:rsid w:val="EFBDFEB3"/>
    <w:rsid w:val="EFBEB91D"/>
    <w:rsid w:val="EFDFE6A2"/>
    <w:rsid w:val="EFF183D0"/>
    <w:rsid w:val="F2FFC7FD"/>
    <w:rsid w:val="F3369699"/>
    <w:rsid w:val="F3E7E70A"/>
    <w:rsid w:val="F3FF50E6"/>
    <w:rsid w:val="F40F8163"/>
    <w:rsid w:val="F4B7B96E"/>
    <w:rsid w:val="F4FEE427"/>
    <w:rsid w:val="F59FB38F"/>
    <w:rsid w:val="F5BC82B7"/>
    <w:rsid w:val="F5CDBAFF"/>
    <w:rsid w:val="F5EFB9F3"/>
    <w:rsid w:val="F5F676A8"/>
    <w:rsid w:val="F5FA24ED"/>
    <w:rsid w:val="F5FBB02B"/>
    <w:rsid w:val="F65606B3"/>
    <w:rsid w:val="F6F7B4E8"/>
    <w:rsid w:val="F6F7DF2A"/>
    <w:rsid w:val="F727EF12"/>
    <w:rsid w:val="F73F40A7"/>
    <w:rsid w:val="F757BA86"/>
    <w:rsid w:val="F76F49E6"/>
    <w:rsid w:val="F79FED6E"/>
    <w:rsid w:val="F7DF35D1"/>
    <w:rsid w:val="F7EB8CA9"/>
    <w:rsid w:val="F7FF1592"/>
    <w:rsid w:val="F9D5AA49"/>
    <w:rsid w:val="F9DD0AB5"/>
    <w:rsid w:val="F9E077D4"/>
    <w:rsid w:val="F9EF7AF4"/>
    <w:rsid w:val="F9FF85F1"/>
    <w:rsid w:val="FAD95B7B"/>
    <w:rsid w:val="FB0F1DDE"/>
    <w:rsid w:val="FB173E8E"/>
    <w:rsid w:val="FB57899C"/>
    <w:rsid w:val="FB67CE3A"/>
    <w:rsid w:val="FBCB521F"/>
    <w:rsid w:val="FBDD34E1"/>
    <w:rsid w:val="FBDFEECB"/>
    <w:rsid w:val="FBE79631"/>
    <w:rsid w:val="FBFE59D3"/>
    <w:rsid w:val="FBFE6064"/>
    <w:rsid w:val="FBFF1598"/>
    <w:rsid w:val="FBFF374D"/>
    <w:rsid w:val="FCDBF359"/>
    <w:rsid w:val="FCDE44E4"/>
    <w:rsid w:val="FD2536DB"/>
    <w:rsid w:val="FD3F985C"/>
    <w:rsid w:val="FD3FACAE"/>
    <w:rsid w:val="FD7D9908"/>
    <w:rsid w:val="FDAFA291"/>
    <w:rsid w:val="FDBFC920"/>
    <w:rsid w:val="FDED8A14"/>
    <w:rsid w:val="FDFB09C1"/>
    <w:rsid w:val="FDFD397E"/>
    <w:rsid w:val="FDFEBF70"/>
    <w:rsid w:val="FDFF73A9"/>
    <w:rsid w:val="FE5F6890"/>
    <w:rsid w:val="FEDE054C"/>
    <w:rsid w:val="FEE1D0D6"/>
    <w:rsid w:val="FEEFF844"/>
    <w:rsid w:val="FEF3267E"/>
    <w:rsid w:val="FEFFEF86"/>
    <w:rsid w:val="FF13A4AB"/>
    <w:rsid w:val="FF31009C"/>
    <w:rsid w:val="FF5F391E"/>
    <w:rsid w:val="FF5FA486"/>
    <w:rsid w:val="FF77EBFD"/>
    <w:rsid w:val="FFAC9514"/>
    <w:rsid w:val="FFAF61B1"/>
    <w:rsid w:val="FFD71B99"/>
    <w:rsid w:val="FFDE3661"/>
    <w:rsid w:val="FFDF2A26"/>
    <w:rsid w:val="FFDFBD3D"/>
    <w:rsid w:val="FFEB3977"/>
    <w:rsid w:val="FFEF414C"/>
    <w:rsid w:val="FFEFB122"/>
    <w:rsid w:val="FFF5286E"/>
    <w:rsid w:val="FFFDB6C6"/>
    <w:rsid w:val="FFFDE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1"/>
    <w:pPr>
      <w:ind w:left="1621"/>
      <w:outlineLvl w:val="1"/>
    </w:pPr>
    <w:rPr>
      <w:rFonts w:ascii="宋体" w:hAnsi="宋体" w:eastAsia="宋体"/>
      <w:sz w:val="32"/>
      <w:szCs w:val="32"/>
    </w:rPr>
  </w:style>
  <w:style w:type="paragraph" w:styleId="5">
    <w:name w:val="heading 3"/>
    <w:basedOn w:val="1"/>
    <w:next w:val="1"/>
    <w:qFormat/>
    <w:uiPriority w:val="0"/>
    <w:pPr>
      <w:keepNext/>
      <w:keepLines/>
      <w:spacing w:beforeLines="0" w:beforeAutospacing="0" w:afterLines="0" w:afterAutospacing="0" w:line="560" w:lineRule="exact"/>
      <w:ind w:firstLine="632" w:firstLineChars="200"/>
      <w:outlineLvl w:val="2"/>
    </w:pPr>
    <w:rPr>
      <w:rFonts w:ascii="Times New Roman" w:hAnsi="Times New Roman" w:eastAsia="楷体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style>
  <w:style w:type="paragraph" w:styleId="3">
    <w:name w:val="Date"/>
    <w:basedOn w:val="1"/>
    <w:next w:val="1"/>
    <w:qFormat/>
    <w:uiPriority w:val="99"/>
    <w:pPr>
      <w:ind w:left="100" w:leftChars="2500"/>
    </w:pPr>
  </w:style>
  <w:style w:type="paragraph" w:styleId="6">
    <w:name w:val="Normal Indent"/>
    <w:basedOn w:val="1"/>
    <w:next w:val="7"/>
    <w:qFormat/>
    <w:uiPriority w:val="0"/>
    <w:rPr>
      <w:rFonts w:ascii="Calibri" w:hAnsi="Calibri" w:eastAsia="宋体" w:cs="Times New Roman"/>
    </w:rPr>
  </w:style>
  <w:style w:type="paragraph" w:styleId="7">
    <w:name w:val="header"/>
    <w:basedOn w:val="1"/>
    <w:next w:val="6"/>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index 5"/>
    <w:basedOn w:val="1"/>
    <w:next w:val="1"/>
    <w:qFormat/>
    <w:uiPriority w:val="0"/>
    <w:pPr>
      <w:ind w:left="1680"/>
    </w:pPr>
  </w:style>
  <w:style w:type="paragraph" w:styleId="9">
    <w:name w:val="annotation text"/>
    <w:basedOn w:val="1"/>
    <w:unhideWhenUsed/>
    <w:qFormat/>
    <w:uiPriority w:val="99"/>
    <w:pPr>
      <w:jc w:val="left"/>
    </w:pPr>
    <w:rPr>
      <w:rFonts w:ascii="Calibri" w:hAnsi="Calibri" w:eastAsia="宋体" w:cs="Times New Roman"/>
      <w:szCs w:val="24"/>
    </w:rPr>
  </w:style>
  <w:style w:type="paragraph" w:styleId="10">
    <w:name w:val="Body Text"/>
    <w:basedOn w:val="1"/>
    <w:next w:val="11"/>
    <w:link w:val="25"/>
    <w:unhideWhenUsed/>
    <w:qFormat/>
    <w:uiPriority w:val="0"/>
    <w:pPr>
      <w:spacing w:after="120"/>
    </w:pPr>
    <w:rPr>
      <w:kern w:val="0"/>
      <w:sz w:val="20"/>
      <w:szCs w:val="20"/>
      <w:lang w:val="zh-CN" w:eastAsia="zh-CN"/>
    </w:rPr>
  </w:style>
  <w:style w:type="paragraph" w:styleId="11">
    <w:name w:val="Body Text First Indent"/>
    <w:basedOn w:val="10"/>
    <w:next w:val="10"/>
    <w:qFormat/>
    <w:uiPriority w:val="0"/>
    <w:pPr>
      <w:ind w:firstLine="720"/>
    </w:pPr>
  </w:style>
  <w:style w:type="paragraph" w:styleId="12">
    <w:name w:val="Body Text Indent"/>
    <w:basedOn w:val="1"/>
    <w:qFormat/>
    <w:uiPriority w:val="0"/>
    <w:pPr>
      <w:ind w:firstLine="630"/>
    </w:pPr>
    <w:rPr>
      <w:rFonts w:ascii="仿宋_GB2312" w:hAnsi="Times New Roman" w:eastAsia="仿宋_GB2312"/>
      <w:sz w:val="32"/>
      <w:szCs w:val="24"/>
    </w:rPr>
  </w:style>
  <w:style w:type="paragraph" w:styleId="13">
    <w:name w:val="Plain Text"/>
    <w:next w:val="1"/>
    <w:unhideWhenUsed/>
    <w:qFormat/>
    <w:uiPriority w:val="99"/>
    <w:pPr>
      <w:widowControl w:val="0"/>
      <w:jc w:val="both"/>
    </w:pPr>
    <w:rPr>
      <w:rFonts w:ascii="宋体" w:hAnsi="Courier New" w:eastAsia="宋体" w:cs="Times New Roman"/>
      <w:kern w:val="2"/>
      <w:sz w:val="21"/>
      <w:szCs w:val="21"/>
      <w:lang w:val="en-US" w:eastAsia="zh-CN" w:bidi="ar-SA"/>
    </w:rPr>
  </w:style>
  <w:style w:type="paragraph" w:styleId="14">
    <w:name w:val="Body Text Indent 2"/>
    <w:basedOn w:val="1"/>
    <w:qFormat/>
    <w:uiPriority w:val="0"/>
    <w:pPr>
      <w:ind w:firstLine="720" w:firstLineChars="200"/>
    </w:pPr>
    <w:rPr>
      <w:rFonts w:cs="Times New Roman"/>
      <w:kern w:val="0"/>
      <w:sz w:val="24"/>
      <w:szCs w:val="24"/>
    </w:rPr>
  </w:style>
  <w:style w:type="paragraph" w:styleId="15">
    <w:name w:val="footer"/>
    <w:basedOn w:val="1"/>
    <w:next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line="640" w:lineRule="exact"/>
      <w:jc w:val="center"/>
    </w:pPr>
    <w:rPr>
      <w:rFonts w:eastAsia="方正小标宋简体"/>
      <w:bCs/>
      <w:sz w:val="44"/>
      <w:szCs w:val="32"/>
    </w:rPr>
  </w:style>
  <w:style w:type="table" w:styleId="19">
    <w:name w:val="Table Grid"/>
    <w:basedOn w:val="1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Normal Indent1"/>
    <w:basedOn w:val="1"/>
    <w:next w:val="1"/>
    <w:qFormat/>
    <w:uiPriority w:val="0"/>
    <w:pPr>
      <w:spacing w:line="660" w:lineRule="exact"/>
      <w:ind w:firstLine="720" w:firstLineChars="200"/>
    </w:pPr>
    <w:rPr>
      <w:rFonts w:eastAsia="楷体_GB2312"/>
      <w:sz w:val="36"/>
      <w:szCs w:val="36"/>
    </w:rPr>
  </w:style>
  <w:style w:type="character" w:customStyle="1" w:styleId="23">
    <w:name w:val="页眉 Char"/>
    <w:basedOn w:val="20"/>
    <w:link w:val="7"/>
    <w:qFormat/>
    <w:uiPriority w:val="99"/>
    <w:rPr>
      <w:sz w:val="18"/>
      <w:szCs w:val="18"/>
    </w:rPr>
  </w:style>
  <w:style w:type="character" w:customStyle="1" w:styleId="24">
    <w:name w:val="页脚 Char"/>
    <w:basedOn w:val="20"/>
    <w:link w:val="15"/>
    <w:qFormat/>
    <w:uiPriority w:val="99"/>
    <w:rPr>
      <w:sz w:val="18"/>
      <w:szCs w:val="18"/>
    </w:rPr>
  </w:style>
  <w:style w:type="character" w:customStyle="1" w:styleId="25">
    <w:name w:val="正文文本 Char"/>
    <w:basedOn w:val="20"/>
    <w:link w:val="10"/>
    <w:qFormat/>
    <w:uiPriority w:val="0"/>
    <w:rPr>
      <w:rFonts w:ascii="Calibri" w:hAnsi="Calibri" w:eastAsia="宋体" w:cs="Times New Roman"/>
      <w:kern w:val="0"/>
      <w:sz w:val="20"/>
      <w:szCs w:val="20"/>
      <w:lang w:val="zh-CN" w:eastAsia="zh-CN"/>
    </w:rPr>
  </w:style>
  <w:style w:type="paragraph" w:customStyle="1" w:styleId="26">
    <w:name w:val="p0"/>
    <w:basedOn w:val="1"/>
    <w:qFormat/>
    <w:uiPriority w:val="0"/>
    <w:pPr>
      <w:widowControl/>
    </w:pPr>
    <w:rPr>
      <w:rFonts w:ascii="Times New Roman" w:hAnsi="Times New Roman"/>
      <w:kern w:val="0"/>
      <w:szCs w:val="21"/>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1032</Words>
  <Characters>5885</Characters>
  <Lines>49</Lines>
  <Paragraphs>13</Paragraphs>
  <TotalTime>1</TotalTime>
  <ScaleCrop>false</ScaleCrop>
  <LinksUpToDate>false</LinksUpToDate>
  <CharactersWithSpaces>6904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2021-09-10T17:55:00Z</dcterms:created>
  <dc:creator>OA运维23345600</dc:creator>
  <cp:lastModifiedBy>scw</cp:lastModifiedBy>
  <dcterms:modified xsi:type="dcterms:W3CDTF">2024-08-09T17:10:03Z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