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78FBA" w14:textId="77777777" w:rsidR="00513E21" w:rsidRDefault="00774988">
      <w:pPr>
        <w:spacing w:line="440" w:lineRule="exact"/>
        <w:jc w:val="center"/>
        <w:rPr>
          <w:rFonts w:ascii="Times New Roman" w:eastAsia="方正小标宋简体" w:hAnsi="Times New Roman" w:cs="方正仿宋简体" w:hint="eastAsia"/>
          <w:color w:val="000000"/>
          <w:sz w:val="32"/>
          <w:szCs w:val="32"/>
        </w:rPr>
      </w:pPr>
      <w:r>
        <w:rPr>
          <w:rFonts w:ascii="Times New Roman" w:eastAsia="方正小标宋简体" w:hAnsi="Times New Roman" w:cs="方正仿宋简体" w:hint="eastAsia"/>
          <w:color w:val="000000"/>
          <w:sz w:val="32"/>
          <w:szCs w:val="32"/>
        </w:rPr>
        <w:t>天津市危险化学品包装物</w:t>
      </w:r>
      <w:r>
        <w:rPr>
          <w:rFonts w:ascii="Times New Roman" w:eastAsia="方正小标宋简体" w:hAnsi="Times New Roman" w:cs="方正仿宋简体" w:hint="eastAsia"/>
          <w:color w:val="000000"/>
          <w:sz w:val="32"/>
          <w:szCs w:val="32"/>
        </w:rPr>
        <w:t>容器（塑料桶（罐））</w:t>
      </w:r>
      <w:r>
        <w:rPr>
          <w:rFonts w:ascii="Times New Roman" w:eastAsia="方正小标宋简体" w:hAnsi="Times New Roman" w:cs="方正仿宋简体" w:hint="eastAsia"/>
          <w:color w:val="000000"/>
          <w:sz w:val="32"/>
          <w:szCs w:val="32"/>
        </w:rPr>
        <w:t>产品</w:t>
      </w:r>
    </w:p>
    <w:p w14:paraId="538F467B" w14:textId="3942ADA0" w:rsidR="003F275E" w:rsidRDefault="00774988" w:rsidP="00513E21">
      <w:pPr>
        <w:spacing w:line="440" w:lineRule="exact"/>
        <w:jc w:val="center"/>
        <w:rPr>
          <w:rFonts w:ascii="Times New Roman" w:eastAsia="方正小标宋简体" w:hAnsi="Times New Roman" w:cs="方正仿宋简体" w:hint="eastAsia"/>
          <w:color w:val="000000"/>
          <w:sz w:val="32"/>
          <w:szCs w:val="32"/>
        </w:rPr>
      </w:pPr>
      <w:r>
        <w:rPr>
          <w:rFonts w:ascii="Times New Roman" w:eastAsia="方正小标宋简体" w:hAnsi="Times New Roman" w:cs="方正仿宋简体" w:hint="eastAsia"/>
          <w:color w:val="000000"/>
          <w:sz w:val="32"/>
          <w:szCs w:val="32"/>
        </w:rPr>
        <w:t>质量</w:t>
      </w:r>
      <w:r>
        <w:rPr>
          <w:rFonts w:ascii="Times New Roman" w:eastAsia="方正小标宋简体" w:hAnsi="Times New Roman" w:cs="方正仿宋简体" w:hint="eastAsia"/>
          <w:color w:val="000000"/>
          <w:sz w:val="32"/>
          <w:szCs w:val="32"/>
        </w:rPr>
        <w:t>监督抽查实施细则</w:t>
      </w:r>
    </w:p>
    <w:p w14:paraId="43C63967" w14:textId="77777777" w:rsidR="00513E21" w:rsidRPr="007A4E67" w:rsidRDefault="00513E21" w:rsidP="00513E21">
      <w:pPr>
        <w:pStyle w:val="a9"/>
        <w:jc w:val="center"/>
        <w:rPr>
          <w:rFonts w:eastAsia="方正小标宋简体" w:cs="方正仿宋简体"/>
          <w:sz w:val="32"/>
          <w:szCs w:val="32"/>
        </w:rPr>
      </w:pPr>
      <w:r w:rsidRPr="000357DC">
        <w:rPr>
          <w:rFonts w:eastAsia="方正小标宋简体" w:cs="方正仿宋简体" w:hint="eastAsia"/>
          <w:sz w:val="32"/>
          <w:szCs w:val="32"/>
        </w:rPr>
        <w:t>（</w:t>
      </w:r>
      <w:r w:rsidRPr="000357DC">
        <w:rPr>
          <w:rFonts w:eastAsia="方正小标宋简体" w:cs="方正仿宋简体" w:hint="eastAsia"/>
          <w:sz w:val="32"/>
          <w:szCs w:val="32"/>
        </w:rPr>
        <w:t>2025</w:t>
      </w:r>
      <w:r w:rsidRPr="000357DC">
        <w:rPr>
          <w:rFonts w:eastAsia="方正小标宋简体" w:cs="方正仿宋简体" w:hint="eastAsia"/>
          <w:sz w:val="32"/>
          <w:szCs w:val="32"/>
        </w:rPr>
        <w:t>年版）</w:t>
      </w:r>
    </w:p>
    <w:p w14:paraId="5176DDBD" w14:textId="77777777" w:rsidR="003F275E" w:rsidRDefault="003F275E" w:rsidP="00513E21">
      <w:pPr>
        <w:spacing w:line="440" w:lineRule="exact"/>
        <w:rPr>
          <w:rFonts w:ascii="Times New Roman" w:eastAsia="方正小标宋简体" w:hAnsi="Times New Roman" w:cs="方正仿宋简体"/>
          <w:color w:val="000000"/>
          <w:sz w:val="32"/>
          <w:szCs w:val="32"/>
        </w:rPr>
      </w:pPr>
    </w:p>
    <w:p w14:paraId="22DF2090" w14:textId="77777777" w:rsidR="003F275E" w:rsidRDefault="00774988" w:rsidP="00774988">
      <w:pPr>
        <w:spacing w:line="440" w:lineRule="exact"/>
        <w:rPr>
          <w:rFonts w:ascii="Times New Roman" w:eastAsia="黑体" w:hAnsi="Times New Roman" w:cs="Times New Roman"/>
          <w:color w:val="000000"/>
          <w:szCs w:val="21"/>
        </w:rPr>
      </w:pPr>
      <w:bookmarkStart w:id="0" w:name="_GoBack"/>
      <w:r>
        <w:rPr>
          <w:rFonts w:ascii="Times New Roman" w:eastAsia="黑体" w:hAnsi="Times New Roman" w:cs="Times New Roman" w:hint="eastAsia"/>
          <w:color w:val="000000"/>
          <w:szCs w:val="21"/>
        </w:rPr>
        <w:t xml:space="preserve">1 </w:t>
      </w:r>
      <w:r>
        <w:rPr>
          <w:rFonts w:ascii="Times New Roman" w:eastAsia="黑体" w:hAnsi="Times New Roman" w:cs="Times New Roman" w:hint="eastAsia"/>
          <w:color w:val="000000"/>
          <w:szCs w:val="21"/>
        </w:rPr>
        <w:t>抽样方法</w:t>
      </w:r>
    </w:p>
    <w:bookmarkEnd w:id="0"/>
    <w:p w14:paraId="238A645F" w14:textId="77777777" w:rsidR="003F275E" w:rsidRDefault="00774988" w:rsidP="00513E21">
      <w:pPr>
        <w:snapToGrid w:val="0"/>
        <w:spacing w:line="440" w:lineRule="exact"/>
        <w:ind w:firstLineChars="171" w:firstLine="359"/>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以随机抽样的方式在被抽样生产者、销售者的待销产品中抽取。随机数一般可使用随机数表、随机数骰子或扑克牌等方法产生。</w:t>
      </w:r>
    </w:p>
    <w:p w14:paraId="1B0063A8" w14:textId="77777777" w:rsidR="003F275E" w:rsidRDefault="00774988" w:rsidP="00513E21">
      <w:pPr>
        <w:snapToGrid w:val="0"/>
        <w:spacing w:line="440" w:lineRule="exact"/>
        <w:ind w:firstLineChars="171" w:firstLine="359"/>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本次抽查抽取样品应为同一产品（同一生产企业、同一标准生产、同一商标、同一规格型号），抽取有产品质量检验合格证明或者以其他形式表明合格的、近期生产的产品，若产品标注有效期，则有效期应在监督抽查整体工作结束后。如存在多个规格型号，优先抽取企业的主导产品。抽样基数满足抽样数量即可。</w:t>
      </w:r>
    </w:p>
    <w:p w14:paraId="3A38A9B6" w14:textId="77777777" w:rsidR="003F275E" w:rsidRDefault="00774988" w:rsidP="00513E21">
      <w:pPr>
        <w:snapToGrid w:val="0"/>
        <w:spacing w:line="440" w:lineRule="exact"/>
        <w:ind w:firstLineChars="171" w:firstLine="359"/>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在企业成品库抽样时，抽样基数满足抽样数量即可。抽样数量见表</w:t>
      </w:r>
      <w:r>
        <w:rPr>
          <w:rFonts w:ascii="Times New Roman" w:eastAsia="宋体" w:hAnsi="Times New Roman" w:cs="Times New Roman" w:hint="eastAsia"/>
          <w:color w:val="000000"/>
          <w:szCs w:val="21"/>
        </w:rPr>
        <w:t>1</w:t>
      </w:r>
      <w:r>
        <w:rPr>
          <w:rFonts w:ascii="Times New Roman" w:eastAsia="宋体" w:hAnsi="Times New Roman" w:cs="Times New Roman" w:hint="eastAsia"/>
          <w:color w:val="000000"/>
          <w:szCs w:val="21"/>
        </w:rPr>
        <w:t>：</w:t>
      </w:r>
    </w:p>
    <w:p w14:paraId="6DE92207" w14:textId="77777777" w:rsidR="003F275E" w:rsidRDefault="00774988">
      <w:pPr>
        <w:snapToGrid w:val="0"/>
        <w:spacing w:line="440" w:lineRule="exact"/>
        <w:ind w:firstLineChars="200" w:firstLine="42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表</w:t>
      </w:r>
      <w:r>
        <w:rPr>
          <w:rFonts w:ascii="Times New Roman" w:eastAsia="宋体" w:hAnsi="Times New Roman" w:cs="Times New Roman" w:hint="eastAsia"/>
          <w:color w:val="000000"/>
          <w:szCs w:val="21"/>
        </w:rPr>
        <w:t>1</w:t>
      </w:r>
      <w:proofErr w:type="gramStart"/>
      <w:r>
        <w:rPr>
          <w:rFonts w:ascii="Times New Roman" w:eastAsia="宋体" w:hAnsi="Times New Roman" w:cs="Times New Roman" w:hint="eastAsia"/>
          <w:color w:val="000000"/>
          <w:szCs w:val="21"/>
        </w:rPr>
        <w:t>各</w:t>
      </w:r>
      <w:proofErr w:type="gramEnd"/>
      <w:r>
        <w:rPr>
          <w:rFonts w:ascii="Times New Roman" w:eastAsia="宋体" w:hAnsi="Times New Roman" w:cs="Times New Roman" w:hint="eastAsia"/>
          <w:color w:val="000000"/>
          <w:szCs w:val="21"/>
        </w:rPr>
        <w:t>类产品的抽样数量</w:t>
      </w:r>
    </w:p>
    <w:tbl>
      <w:tblPr>
        <w:tblW w:w="0" w:type="auto"/>
        <w:jc w:val="center"/>
        <w:tblCellMar>
          <w:left w:w="10" w:type="dxa"/>
          <w:right w:w="10" w:type="dxa"/>
        </w:tblCellMar>
        <w:tblLook w:val="04A0" w:firstRow="1" w:lastRow="0" w:firstColumn="1" w:lastColumn="0" w:noHBand="0" w:noVBand="1"/>
      </w:tblPr>
      <w:tblGrid>
        <w:gridCol w:w="673"/>
        <w:gridCol w:w="1341"/>
        <w:gridCol w:w="1370"/>
        <w:gridCol w:w="980"/>
        <w:gridCol w:w="1173"/>
        <w:gridCol w:w="1341"/>
        <w:gridCol w:w="1338"/>
      </w:tblGrid>
      <w:tr w:rsidR="003F275E" w14:paraId="3DC86542" w14:textId="77777777">
        <w:trPr>
          <w:trHeight w:val="388"/>
          <w:tblHeader/>
          <w:jc w:val="center"/>
        </w:trPr>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504686"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序号</w:t>
            </w:r>
          </w:p>
        </w:tc>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EBF456"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产品种类</w:t>
            </w:r>
          </w:p>
        </w:tc>
        <w:tc>
          <w:tcPr>
            <w:tcW w:w="23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B8D416"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产品名称</w:t>
            </w:r>
          </w:p>
        </w:tc>
        <w:tc>
          <w:tcPr>
            <w:tcW w:w="11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69B2EF"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抽样数量</w:t>
            </w:r>
          </w:p>
        </w:tc>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679DFF"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检验数量</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8AC329" w14:textId="77777777" w:rsidR="003F275E" w:rsidRDefault="00774988">
            <w:pPr>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备样数量</w:t>
            </w:r>
            <w:proofErr w:type="gramEnd"/>
          </w:p>
        </w:tc>
      </w:tr>
      <w:tr w:rsidR="003F275E" w14:paraId="6F19B6F7" w14:textId="77777777">
        <w:trPr>
          <w:cantSplit/>
          <w:trHeight w:val="388"/>
          <w:jc w:val="center"/>
        </w:trPr>
        <w:tc>
          <w:tcPr>
            <w:tcW w:w="67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7A1B9100"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341" w:type="dxa"/>
            <w:vMerge w:val="restart"/>
            <w:tcBorders>
              <w:top w:val="single" w:sz="4" w:space="0" w:color="000000"/>
              <w:left w:val="single" w:sz="4" w:space="0" w:color="000000"/>
              <w:right w:val="single" w:sz="4" w:space="0" w:color="auto"/>
            </w:tcBorders>
            <w:shd w:val="clear" w:color="000000" w:fill="FFFFFF"/>
            <w:tcMar>
              <w:left w:w="108" w:type="dxa"/>
              <w:right w:w="108" w:type="dxa"/>
            </w:tcMar>
            <w:vAlign w:val="center"/>
          </w:tcPr>
          <w:p w14:paraId="63A602A8"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塑料包装</w:t>
            </w:r>
          </w:p>
        </w:tc>
        <w:tc>
          <w:tcPr>
            <w:tcW w:w="1370" w:type="dxa"/>
            <w:vMerge w:val="restart"/>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37A9CE95"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危险品包装用塑料桶（罐）</w:t>
            </w:r>
          </w:p>
        </w:tc>
        <w:tc>
          <w:tcPr>
            <w:tcW w:w="98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01CFC033"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闭口型</w:t>
            </w:r>
          </w:p>
        </w:tc>
        <w:tc>
          <w:tcPr>
            <w:tcW w:w="117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05D6FD49"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30</w:t>
            </w:r>
            <w:r>
              <w:rPr>
                <w:rFonts w:ascii="Times New Roman" w:eastAsia="宋体" w:hAnsi="Times New Roman" w:cs="Times New Roman" w:hint="eastAsia"/>
                <w:szCs w:val="21"/>
              </w:rPr>
              <w:t>只</w:t>
            </w:r>
          </w:p>
        </w:tc>
        <w:tc>
          <w:tcPr>
            <w:tcW w:w="1341"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184C92B9"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15</w:t>
            </w:r>
            <w:r>
              <w:rPr>
                <w:rFonts w:ascii="Times New Roman" w:eastAsia="宋体" w:hAnsi="Times New Roman" w:cs="Times New Roman" w:hint="eastAsia"/>
                <w:szCs w:val="21"/>
              </w:rPr>
              <w:t>只</w:t>
            </w:r>
          </w:p>
        </w:tc>
        <w:tc>
          <w:tcPr>
            <w:tcW w:w="1338"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7A04F818"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15</w:t>
            </w:r>
            <w:r>
              <w:rPr>
                <w:rFonts w:ascii="Times New Roman" w:eastAsia="宋体" w:hAnsi="Times New Roman" w:cs="Times New Roman" w:hint="eastAsia"/>
                <w:szCs w:val="21"/>
              </w:rPr>
              <w:t>只</w:t>
            </w:r>
          </w:p>
        </w:tc>
      </w:tr>
      <w:tr w:rsidR="003F275E" w14:paraId="4971828A" w14:textId="77777777">
        <w:trPr>
          <w:cantSplit/>
          <w:trHeight w:val="742"/>
          <w:jc w:val="center"/>
        </w:trPr>
        <w:tc>
          <w:tcPr>
            <w:tcW w:w="673" w:type="dxa"/>
            <w:vMerge/>
            <w:tcBorders>
              <w:left w:val="single" w:sz="4" w:space="0" w:color="000000"/>
              <w:bottom w:val="single" w:sz="4" w:space="0" w:color="auto"/>
              <w:right w:val="single" w:sz="4" w:space="0" w:color="000000"/>
            </w:tcBorders>
            <w:shd w:val="clear" w:color="000000" w:fill="FFFFFF"/>
            <w:tcMar>
              <w:left w:w="108" w:type="dxa"/>
              <w:right w:w="108" w:type="dxa"/>
            </w:tcMar>
            <w:vAlign w:val="center"/>
          </w:tcPr>
          <w:p w14:paraId="2A9CB346" w14:textId="77777777" w:rsidR="003F275E" w:rsidRDefault="003F275E">
            <w:pPr>
              <w:jc w:val="center"/>
              <w:rPr>
                <w:rFonts w:ascii="Times New Roman" w:eastAsia="宋体" w:hAnsi="Times New Roman" w:cs="Times New Roman"/>
                <w:szCs w:val="21"/>
              </w:rPr>
            </w:pPr>
          </w:p>
        </w:tc>
        <w:tc>
          <w:tcPr>
            <w:tcW w:w="1341" w:type="dxa"/>
            <w:vMerge/>
            <w:tcBorders>
              <w:left w:val="single" w:sz="4" w:space="0" w:color="000000"/>
              <w:bottom w:val="single" w:sz="4" w:space="0" w:color="auto"/>
              <w:right w:val="single" w:sz="4" w:space="0" w:color="auto"/>
            </w:tcBorders>
            <w:shd w:val="clear" w:color="000000" w:fill="FFFFFF"/>
            <w:tcMar>
              <w:left w:w="108" w:type="dxa"/>
              <w:right w:w="108" w:type="dxa"/>
            </w:tcMar>
            <w:vAlign w:val="center"/>
          </w:tcPr>
          <w:p w14:paraId="6ECBCC43" w14:textId="77777777" w:rsidR="003F275E" w:rsidRDefault="003F275E">
            <w:pPr>
              <w:jc w:val="center"/>
              <w:rPr>
                <w:rFonts w:ascii="Times New Roman" w:eastAsia="宋体" w:hAnsi="Times New Roman" w:cs="Times New Roman"/>
                <w:szCs w:val="21"/>
              </w:rPr>
            </w:pPr>
          </w:p>
        </w:tc>
        <w:tc>
          <w:tcPr>
            <w:tcW w:w="1370" w:type="dxa"/>
            <w:vMerge/>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4250E21D" w14:textId="77777777" w:rsidR="003F275E" w:rsidRDefault="003F275E">
            <w:pPr>
              <w:jc w:val="center"/>
              <w:rPr>
                <w:rFonts w:ascii="Times New Roman" w:eastAsia="宋体" w:hAnsi="Times New Roman" w:cs="Times New Roman"/>
                <w:szCs w:val="21"/>
              </w:rPr>
            </w:pPr>
          </w:p>
        </w:tc>
        <w:tc>
          <w:tcPr>
            <w:tcW w:w="98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4C93EF3D"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开口型</w:t>
            </w:r>
          </w:p>
        </w:tc>
        <w:tc>
          <w:tcPr>
            <w:tcW w:w="117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7B9CBB19"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18</w:t>
            </w:r>
            <w:r>
              <w:rPr>
                <w:rFonts w:ascii="Times New Roman" w:eastAsia="宋体" w:hAnsi="Times New Roman" w:cs="Times New Roman" w:hint="eastAsia"/>
                <w:szCs w:val="21"/>
              </w:rPr>
              <w:t>只</w:t>
            </w:r>
          </w:p>
        </w:tc>
        <w:tc>
          <w:tcPr>
            <w:tcW w:w="1341"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52357176"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9</w:t>
            </w:r>
            <w:r>
              <w:rPr>
                <w:rFonts w:ascii="Times New Roman" w:eastAsia="宋体" w:hAnsi="Times New Roman" w:cs="Times New Roman" w:hint="eastAsia"/>
                <w:szCs w:val="21"/>
              </w:rPr>
              <w:t>只</w:t>
            </w:r>
          </w:p>
        </w:tc>
        <w:tc>
          <w:tcPr>
            <w:tcW w:w="1338"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vAlign w:val="center"/>
          </w:tcPr>
          <w:p w14:paraId="7ABEF263" w14:textId="77777777" w:rsidR="003F275E" w:rsidRDefault="00774988">
            <w:pPr>
              <w:jc w:val="center"/>
              <w:rPr>
                <w:rFonts w:ascii="Times New Roman" w:eastAsia="宋体" w:hAnsi="Times New Roman" w:cs="Times New Roman"/>
                <w:szCs w:val="21"/>
              </w:rPr>
            </w:pPr>
            <w:r>
              <w:rPr>
                <w:rFonts w:ascii="Times New Roman" w:eastAsia="宋体" w:hAnsi="Times New Roman" w:cs="Times New Roman" w:hint="eastAsia"/>
                <w:szCs w:val="21"/>
              </w:rPr>
              <w:t>9</w:t>
            </w:r>
            <w:r>
              <w:rPr>
                <w:rFonts w:ascii="Times New Roman" w:eastAsia="宋体" w:hAnsi="Times New Roman" w:cs="Times New Roman" w:hint="eastAsia"/>
                <w:szCs w:val="21"/>
              </w:rPr>
              <w:t>只</w:t>
            </w:r>
          </w:p>
        </w:tc>
      </w:tr>
    </w:tbl>
    <w:p w14:paraId="11DAFB23" w14:textId="77777777" w:rsidR="003F275E" w:rsidRDefault="00774988" w:rsidP="00513E21">
      <w:pPr>
        <w:snapToGrid w:val="0"/>
        <w:spacing w:line="440" w:lineRule="exact"/>
        <w:ind w:firstLineChars="171" w:firstLine="359"/>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注：在本细则的规定中，检验机构在检验过程中对检验结果进行复验所采用的样品，应是抽取的检验样品，不能采用备用样品。备用样品仅是指被抽查企业或者经过确认了样品的生产企业对检验结果提出异议，需要对不合格项目进行复检时，采用的备用样品。</w:t>
      </w:r>
    </w:p>
    <w:p w14:paraId="6106FD93" w14:textId="77777777" w:rsidR="00513E21" w:rsidRDefault="00513E21">
      <w:pPr>
        <w:snapToGrid w:val="0"/>
        <w:spacing w:line="440" w:lineRule="exact"/>
        <w:rPr>
          <w:rFonts w:ascii="Times New Roman" w:eastAsia="黑体" w:hAnsi="Times New Roman" w:cs="Times New Roman" w:hint="eastAsia"/>
          <w:color w:val="000000"/>
          <w:szCs w:val="21"/>
        </w:rPr>
      </w:pPr>
    </w:p>
    <w:p w14:paraId="643AD391" w14:textId="47EC6A5B" w:rsidR="00513E21" w:rsidRDefault="00513E21" w:rsidP="00774988">
      <w:pPr>
        <w:spacing w:line="440" w:lineRule="exact"/>
        <w:rPr>
          <w:rFonts w:ascii="Times New Roman" w:eastAsia="黑体" w:hAnsi="Times New Roman" w:cs="Times New Roman"/>
          <w:color w:val="000000"/>
          <w:szCs w:val="21"/>
        </w:rPr>
      </w:pPr>
      <w:r>
        <w:rPr>
          <w:rFonts w:ascii="Times New Roman" w:eastAsia="黑体" w:hAnsi="Times New Roman" w:cs="Times New Roman" w:hint="eastAsia"/>
          <w:color w:val="000000"/>
          <w:szCs w:val="21"/>
        </w:rPr>
        <w:t>2</w:t>
      </w:r>
      <w:r>
        <w:rPr>
          <w:rFonts w:ascii="Times New Roman" w:eastAsia="黑体" w:hAnsi="Times New Roman" w:cs="Times New Roman" w:hint="eastAsia"/>
          <w:color w:val="000000"/>
          <w:szCs w:val="21"/>
        </w:rPr>
        <w:t xml:space="preserve"> </w:t>
      </w:r>
      <w:r>
        <w:rPr>
          <w:rFonts w:ascii="Times New Roman" w:eastAsia="黑体" w:hAnsi="Times New Roman" w:cs="Times New Roman" w:hint="eastAsia"/>
          <w:color w:val="000000"/>
          <w:szCs w:val="21"/>
        </w:rPr>
        <w:t>检验</w:t>
      </w:r>
      <w:r>
        <w:rPr>
          <w:rFonts w:ascii="Times New Roman" w:eastAsia="黑体" w:hAnsi="Times New Roman" w:cs="Times New Roman" w:hint="eastAsia"/>
          <w:color w:val="000000"/>
          <w:szCs w:val="21"/>
        </w:rPr>
        <w:t>依据</w:t>
      </w:r>
    </w:p>
    <w:p w14:paraId="3FD35E22" w14:textId="77777777" w:rsidR="00513E21" w:rsidRDefault="00513E21" w:rsidP="00513E21">
      <w:pPr>
        <w:snapToGrid w:val="0"/>
        <w:spacing w:line="440" w:lineRule="exact"/>
        <w:ind w:firstLineChars="171" w:firstLine="359"/>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检验项目及重要程度分类</w:t>
      </w:r>
    </w:p>
    <w:p w14:paraId="2ACF0CE1" w14:textId="77777777" w:rsidR="00513E21" w:rsidRDefault="00513E21" w:rsidP="00513E21">
      <w:pPr>
        <w:snapToGrid w:val="0"/>
        <w:spacing w:line="440" w:lineRule="exact"/>
        <w:ind w:firstLineChars="171" w:firstLine="359"/>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检验项目及重要程度分类见表</w:t>
      </w:r>
      <w:r>
        <w:rPr>
          <w:rFonts w:ascii="Times New Roman" w:eastAsia="宋体" w:hAnsi="Times New Roman" w:cs="Times New Roman" w:hint="eastAsia"/>
          <w:color w:val="000000"/>
          <w:szCs w:val="21"/>
        </w:rPr>
        <w:t>2-1</w:t>
      </w:r>
      <w:r>
        <w:rPr>
          <w:rFonts w:ascii="Times New Roman" w:eastAsia="宋体" w:hAnsi="Times New Roman" w:cs="Times New Roman" w:hint="eastAsia"/>
          <w:color w:val="000000"/>
          <w:szCs w:val="21"/>
        </w:rPr>
        <w:t>。</w:t>
      </w:r>
    </w:p>
    <w:p w14:paraId="642DD500" w14:textId="77777777" w:rsidR="00513E21" w:rsidRDefault="00513E21" w:rsidP="00513E21">
      <w:pPr>
        <w:snapToGrid w:val="0"/>
        <w:spacing w:line="440" w:lineRule="exact"/>
        <w:ind w:firstLineChars="200" w:firstLine="42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表</w:t>
      </w:r>
      <w:r>
        <w:rPr>
          <w:rFonts w:ascii="Times New Roman" w:eastAsia="宋体" w:hAnsi="Times New Roman" w:cs="Times New Roman" w:hint="eastAsia"/>
          <w:color w:val="000000"/>
          <w:szCs w:val="21"/>
        </w:rPr>
        <w:t xml:space="preserve">2-1  </w:t>
      </w:r>
      <w:r>
        <w:rPr>
          <w:rFonts w:ascii="Times New Roman" w:eastAsia="宋体" w:hAnsi="Times New Roman" w:cs="Times New Roman" w:hint="eastAsia"/>
          <w:color w:val="000000"/>
          <w:szCs w:val="21"/>
        </w:rPr>
        <w:t>危险品包装用塑料桶（罐）检验项目及重要程度分类</w:t>
      </w:r>
    </w:p>
    <w:tbl>
      <w:tblPr>
        <w:tblW w:w="9397" w:type="dxa"/>
        <w:tblInd w:w="-176" w:type="dxa"/>
        <w:tblCellMar>
          <w:left w:w="10" w:type="dxa"/>
          <w:right w:w="10" w:type="dxa"/>
        </w:tblCellMar>
        <w:tblLook w:val="04A0" w:firstRow="1" w:lastRow="0" w:firstColumn="1" w:lastColumn="0" w:noHBand="0" w:noVBand="1"/>
      </w:tblPr>
      <w:tblGrid>
        <w:gridCol w:w="855"/>
        <w:gridCol w:w="1282"/>
        <w:gridCol w:w="1424"/>
        <w:gridCol w:w="1566"/>
        <w:gridCol w:w="2562"/>
        <w:gridCol w:w="855"/>
        <w:gridCol w:w="853"/>
      </w:tblGrid>
      <w:tr w:rsidR="00513E21" w14:paraId="0FEFC7C6" w14:textId="77777777" w:rsidTr="00315DFF">
        <w:trPr>
          <w:trHeight w:val="90"/>
        </w:trPr>
        <w:tc>
          <w:tcPr>
            <w:tcW w:w="85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5142DB"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序号</w:t>
            </w:r>
          </w:p>
        </w:tc>
        <w:tc>
          <w:tcPr>
            <w:tcW w:w="128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7EADF1"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检验项目</w:t>
            </w:r>
          </w:p>
        </w:tc>
        <w:tc>
          <w:tcPr>
            <w:tcW w:w="1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E3BCFC"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依据标准</w:t>
            </w:r>
          </w:p>
        </w:tc>
        <w:tc>
          <w:tcPr>
            <w:tcW w:w="156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D5DF7F"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强制性</w:t>
            </w:r>
            <w:r>
              <w:rPr>
                <w:rFonts w:ascii="Times New Roman" w:eastAsia="宋体" w:hAnsi="Times New Roman" w:cs="Times New Roman" w:hint="eastAsia"/>
                <w:szCs w:val="21"/>
              </w:rPr>
              <w:t>/</w:t>
            </w:r>
            <w:r>
              <w:rPr>
                <w:rFonts w:ascii="Times New Roman" w:eastAsia="宋体" w:hAnsi="Times New Roman" w:cs="Times New Roman" w:hint="eastAsia"/>
                <w:szCs w:val="21"/>
              </w:rPr>
              <w:t>推荐性</w:t>
            </w:r>
          </w:p>
        </w:tc>
        <w:tc>
          <w:tcPr>
            <w:tcW w:w="256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EBDDB6"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检测方法</w:t>
            </w:r>
          </w:p>
        </w:tc>
        <w:tc>
          <w:tcPr>
            <w:tcW w:w="170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A54909"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重要程度</w:t>
            </w:r>
          </w:p>
        </w:tc>
      </w:tr>
      <w:tr w:rsidR="00513E21" w14:paraId="00B8C9DC" w14:textId="77777777" w:rsidTr="00315DFF">
        <w:trPr>
          <w:trHeight w:val="90"/>
        </w:trPr>
        <w:tc>
          <w:tcPr>
            <w:tcW w:w="85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CFA0D0" w14:textId="77777777" w:rsidR="00513E21" w:rsidRDefault="00513E21" w:rsidP="00315DFF">
            <w:pPr>
              <w:jc w:val="center"/>
              <w:rPr>
                <w:rFonts w:ascii="Times New Roman" w:eastAsia="宋体" w:hAnsi="Times New Roman" w:cs="Times New Roman"/>
                <w:szCs w:val="21"/>
              </w:rPr>
            </w:pPr>
          </w:p>
        </w:tc>
        <w:tc>
          <w:tcPr>
            <w:tcW w:w="128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593A02" w14:textId="77777777" w:rsidR="00513E21" w:rsidRDefault="00513E21" w:rsidP="00315DFF">
            <w:pPr>
              <w:jc w:val="center"/>
              <w:rPr>
                <w:rFonts w:ascii="Times New Roman" w:eastAsia="宋体" w:hAnsi="Times New Roman" w:cs="Times New Roman"/>
                <w:szCs w:val="21"/>
              </w:rPr>
            </w:pPr>
          </w:p>
        </w:tc>
        <w:tc>
          <w:tcPr>
            <w:tcW w:w="142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132E87" w14:textId="77777777" w:rsidR="00513E21" w:rsidRDefault="00513E21" w:rsidP="00315DFF">
            <w:pPr>
              <w:jc w:val="center"/>
              <w:rPr>
                <w:rFonts w:ascii="Times New Roman" w:eastAsia="宋体" w:hAnsi="Times New Roman" w:cs="Times New Roman"/>
                <w:szCs w:val="21"/>
              </w:rPr>
            </w:pPr>
          </w:p>
        </w:tc>
        <w:tc>
          <w:tcPr>
            <w:tcW w:w="156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ECB5AE" w14:textId="77777777" w:rsidR="00513E21" w:rsidRDefault="00513E21" w:rsidP="00315DFF">
            <w:pPr>
              <w:jc w:val="center"/>
              <w:rPr>
                <w:rFonts w:ascii="Times New Roman" w:eastAsia="宋体" w:hAnsi="Times New Roman" w:cs="Times New Roman"/>
                <w:szCs w:val="21"/>
              </w:rPr>
            </w:pPr>
          </w:p>
        </w:tc>
        <w:tc>
          <w:tcPr>
            <w:tcW w:w="256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029660" w14:textId="77777777" w:rsidR="00513E21" w:rsidRDefault="00513E21" w:rsidP="00315DFF">
            <w:pPr>
              <w:jc w:val="center"/>
              <w:rPr>
                <w:rFonts w:ascii="Times New Roman" w:eastAsia="宋体" w:hAnsi="Times New Roman" w:cs="Times New Roman"/>
                <w:szCs w:val="21"/>
              </w:rPr>
            </w:pP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4FA342"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A</w:t>
            </w:r>
            <w:r>
              <w:rPr>
                <w:rFonts w:ascii="Times New Roman" w:eastAsia="宋体" w:hAnsi="Times New Roman" w:cs="Times New Roman" w:hint="eastAsia"/>
                <w:szCs w:val="21"/>
              </w:rPr>
              <w:t>类</w:t>
            </w:r>
            <w:r>
              <w:rPr>
                <w:rFonts w:ascii="Times New Roman" w:eastAsia="宋体" w:hAnsi="Times New Roman" w:cs="Times New Roman" w:hint="eastAsia"/>
                <w:szCs w:val="21"/>
              </w:rPr>
              <w:t>a</w:t>
            </w:r>
          </w:p>
        </w:tc>
        <w:tc>
          <w:tcPr>
            <w:tcW w:w="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3718A1"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B</w:t>
            </w:r>
            <w:r>
              <w:rPr>
                <w:rFonts w:ascii="Times New Roman" w:eastAsia="宋体" w:hAnsi="Times New Roman" w:cs="Times New Roman" w:hint="eastAsia"/>
                <w:szCs w:val="21"/>
              </w:rPr>
              <w:t>类</w:t>
            </w:r>
            <w:r>
              <w:rPr>
                <w:rFonts w:ascii="Times New Roman" w:eastAsia="宋体" w:hAnsi="Times New Roman" w:cs="Times New Roman" w:hint="eastAsia"/>
                <w:szCs w:val="21"/>
              </w:rPr>
              <w:t>b</w:t>
            </w:r>
          </w:p>
        </w:tc>
      </w:tr>
      <w:tr w:rsidR="00513E21" w14:paraId="5A3D1BAC" w14:textId="77777777" w:rsidTr="00774988">
        <w:trPr>
          <w:trHeight w:val="966"/>
        </w:trPr>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24A9A7"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8D565E"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气密试验</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72C45"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 18191</w:t>
            </w:r>
          </w:p>
          <w:p w14:paraId="01A9F790"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 19160</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8AEE08"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强制性</w:t>
            </w:r>
          </w:p>
        </w:tc>
        <w:tc>
          <w:tcPr>
            <w:tcW w:w="2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DA94E2"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GB/T 17344</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8E573B"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B51D97" w14:textId="77777777" w:rsidR="00513E21" w:rsidRDefault="00513E21" w:rsidP="00315DFF">
            <w:pPr>
              <w:jc w:val="center"/>
              <w:rPr>
                <w:rFonts w:ascii="Times New Roman" w:eastAsia="宋体" w:hAnsi="Times New Roman" w:cs="Times New Roman"/>
                <w:szCs w:val="21"/>
              </w:rPr>
            </w:pPr>
          </w:p>
        </w:tc>
      </w:tr>
      <w:tr w:rsidR="00513E21" w14:paraId="051AB3BD" w14:textId="77777777" w:rsidTr="00774988">
        <w:trPr>
          <w:trHeight w:val="993"/>
        </w:trPr>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5B6BF3"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493AA5"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液压试验</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5B9F09"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 18191</w:t>
            </w:r>
          </w:p>
          <w:p w14:paraId="20F106F8"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 19160</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A524BF"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强制性</w:t>
            </w:r>
          </w:p>
        </w:tc>
        <w:tc>
          <w:tcPr>
            <w:tcW w:w="2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7F8642"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 18191</w:t>
            </w:r>
          </w:p>
          <w:p w14:paraId="4A4E67C5"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 19160</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EFC995"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52AE0" w14:textId="77777777" w:rsidR="00513E21" w:rsidRDefault="00513E21" w:rsidP="00315DFF">
            <w:pPr>
              <w:jc w:val="center"/>
              <w:rPr>
                <w:rFonts w:ascii="Times New Roman" w:eastAsia="宋体" w:hAnsi="Times New Roman" w:cs="Times New Roman"/>
                <w:szCs w:val="21"/>
              </w:rPr>
            </w:pPr>
          </w:p>
        </w:tc>
      </w:tr>
      <w:tr w:rsidR="00513E21" w14:paraId="677A9DFE" w14:textId="77777777" w:rsidTr="00315DFF">
        <w:trPr>
          <w:trHeight w:val="23"/>
        </w:trPr>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DFD66" w14:textId="77777777" w:rsidR="00513E21" w:rsidRPr="00513E21" w:rsidRDefault="00513E21" w:rsidP="00315DFF">
            <w:pPr>
              <w:jc w:val="center"/>
              <w:rPr>
                <w:rFonts w:ascii="Times New Roman" w:eastAsia="宋体" w:hAnsi="Times New Roman" w:cs="Times New Roman"/>
                <w:szCs w:val="21"/>
              </w:rPr>
            </w:pPr>
            <w:r w:rsidRPr="00513E21">
              <w:rPr>
                <w:rFonts w:ascii="Times New Roman" w:eastAsia="宋体" w:hAnsi="Times New Roman" w:cs="Times New Roman" w:hint="eastAsia"/>
                <w:szCs w:val="21"/>
              </w:rPr>
              <w:lastRenderedPageBreak/>
              <w:t>3</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9F248B" w14:textId="77777777" w:rsidR="00513E21" w:rsidRPr="00513E21" w:rsidRDefault="00513E21" w:rsidP="00315DFF">
            <w:pPr>
              <w:jc w:val="center"/>
              <w:rPr>
                <w:rFonts w:ascii="Times New Roman" w:eastAsia="宋体" w:hAnsi="Times New Roman" w:cs="Times New Roman"/>
                <w:szCs w:val="21"/>
              </w:rPr>
            </w:pPr>
            <w:r w:rsidRPr="00513E21">
              <w:rPr>
                <w:rFonts w:ascii="Times New Roman" w:eastAsia="宋体" w:hAnsi="Times New Roman" w:cs="Times New Roman" w:hint="eastAsia"/>
                <w:szCs w:val="21"/>
              </w:rPr>
              <w:t>堆码试验</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49D751" w14:textId="77777777" w:rsidR="00513E21" w:rsidRPr="00513E21" w:rsidRDefault="00513E21" w:rsidP="00315DFF">
            <w:pPr>
              <w:jc w:val="center"/>
              <w:rPr>
                <w:rFonts w:ascii="Times New Roman" w:eastAsia="宋体" w:hAnsi="Times New Roman" w:cs="Times New Roman"/>
                <w:szCs w:val="21"/>
              </w:rPr>
            </w:pPr>
            <w:r w:rsidRPr="00513E21">
              <w:rPr>
                <w:rFonts w:ascii="Times New Roman" w:eastAsia="宋体" w:hAnsi="Times New Roman" w:cs="Times New Roman" w:hint="eastAsia"/>
                <w:szCs w:val="21"/>
              </w:rPr>
              <w:t>GB 18191</w:t>
            </w:r>
          </w:p>
          <w:p w14:paraId="31D60AB4" w14:textId="77777777" w:rsidR="00513E21" w:rsidRPr="00513E21" w:rsidRDefault="00513E21" w:rsidP="00315DFF">
            <w:pPr>
              <w:jc w:val="center"/>
              <w:rPr>
                <w:rFonts w:ascii="Times New Roman" w:eastAsia="宋体" w:hAnsi="Times New Roman" w:cs="Times New Roman"/>
                <w:szCs w:val="21"/>
              </w:rPr>
            </w:pPr>
            <w:r w:rsidRPr="00513E21">
              <w:rPr>
                <w:rFonts w:ascii="Times New Roman" w:eastAsia="宋体" w:hAnsi="Times New Roman" w:cs="Times New Roman" w:hint="eastAsia"/>
                <w:szCs w:val="21"/>
              </w:rPr>
              <w:t>GB 19160</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6571C8" w14:textId="77777777" w:rsidR="00513E21" w:rsidRPr="00513E21" w:rsidRDefault="00513E21" w:rsidP="00315DFF">
            <w:pPr>
              <w:jc w:val="center"/>
              <w:rPr>
                <w:rFonts w:ascii="Times New Roman" w:eastAsia="宋体" w:hAnsi="Times New Roman" w:cs="Times New Roman"/>
                <w:szCs w:val="21"/>
              </w:rPr>
            </w:pPr>
            <w:r w:rsidRPr="00513E21">
              <w:rPr>
                <w:rFonts w:ascii="Times New Roman" w:eastAsia="宋体" w:hAnsi="Times New Roman" w:cs="Times New Roman" w:hint="eastAsia"/>
                <w:szCs w:val="21"/>
              </w:rPr>
              <w:t>强制性</w:t>
            </w:r>
          </w:p>
        </w:tc>
        <w:tc>
          <w:tcPr>
            <w:tcW w:w="2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CAF00D" w14:textId="77777777" w:rsidR="00513E21" w:rsidRPr="00513E21" w:rsidRDefault="00513E21" w:rsidP="00315DFF">
            <w:pPr>
              <w:jc w:val="center"/>
              <w:rPr>
                <w:rFonts w:ascii="Times New Roman" w:eastAsia="宋体" w:hAnsi="Times New Roman" w:cs="Times New Roman"/>
                <w:szCs w:val="21"/>
              </w:rPr>
            </w:pPr>
            <w:r w:rsidRPr="00513E21">
              <w:rPr>
                <w:rFonts w:ascii="Times New Roman" w:eastAsia="宋体" w:hAnsi="Times New Roman" w:cs="Times New Roman" w:hint="eastAsia"/>
                <w:szCs w:val="21"/>
              </w:rPr>
              <w:t>GB/T 4857.3</w:t>
            </w:r>
          </w:p>
          <w:p w14:paraId="6D68203A" w14:textId="77777777" w:rsidR="00513E21" w:rsidRPr="00513E21" w:rsidRDefault="00513E21" w:rsidP="00315DFF">
            <w:pPr>
              <w:jc w:val="left"/>
              <w:rPr>
                <w:rFonts w:ascii="Times New Roman" w:eastAsia="宋体" w:hAnsi="Times New Roman" w:cs="Times New Roman"/>
                <w:szCs w:val="21"/>
              </w:rPr>
            </w:pPr>
            <w:r w:rsidRPr="00513E21">
              <w:rPr>
                <w:rFonts w:ascii="Times New Roman" w:eastAsia="宋体" w:hAnsi="Times New Roman" w:cs="Times New Roman" w:hint="eastAsia"/>
                <w:szCs w:val="21"/>
              </w:rPr>
              <w:t>开口桶（罐）：常温下堆码</w:t>
            </w:r>
            <w:r w:rsidRPr="00513E21">
              <w:rPr>
                <w:rFonts w:ascii="Times New Roman" w:eastAsia="宋体" w:hAnsi="Times New Roman" w:cs="Times New Roman" w:hint="eastAsia"/>
                <w:szCs w:val="21"/>
              </w:rPr>
              <w:t>24h</w:t>
            </w:r>
            <w:r w:rsidRPr="00513E21">
              <w:rPr>
                <w:rFonts w:ascii="Times New Roman" w:eastAsia="宋体" w:hAnsi="Times New Roman" w:cs="Times New Roman" w:hint="eastAsia"/>
                <w:szCs w:val="21"/>
              </w:rPr>
              <w:t>；</w:t>
            </w:r>
          </w:p>
          <w:p w14:paraId="4EA93480" w14:textId="77777777" w:rsidR="00513E21" w:rsidRPr="00513E21" w:rsidRDefault="00513E21" w:rsidP="00315DFF">
            <w:pPr>
              <w:jc w:val="left"/>
              <w:rPr>
                <w:rFonts w:ascii="Times New Roman" w:eastAsia="宋体" w:hAnsi="Times New Roman" w:cs="Times New Roman"/>
                <w:szCs w:val="21"/>
              </w:rPr>
            </w:pPr>
            <w:r w:rsidRPr="00513E21">
              <w:rPr>
                <w:rFonts w:ascii="Times New Roman" w:eastAsia="宋体" w:hAnsi="Times New Roman" w:cs="Times New Roman" w:hint="eastAsia"/>
                <w:szCs w:val="21"/>
              </w:rPr>
              <w:t>闭口桶（罐）：在不低于</w:t>
            </w:r>
            <w:r w:rsidRPr="00513E21">
              <w:rPr>
                <w:rFonts w:ascii="Times New Roman" w:eastAsia="宋体" w:hAnsi="Times New Roman" w:cs="Times New Roman" w:hint="eastAsia"/>
                <w:szCs w:val="21"/>
              </w:rPr>
              <w:t>40</w:t>
            </w:r>
            <w:r w:rsidRPr="00513E21">
              <w:rPr>
                <w:rFonts w:ascii="Times New Roman" w:eastAsia="宋体" w:hAnsi="Times New Roman" w:cs="Times New Roman" w:hint="eastAsia"/>
                <w:szCs w:val="21"/>
              </w:rPr>
              <w:t>℃的环境下堆码</w:t>
            </w:r>
            <w:r w:rsidRPr="00513E21">
              <w:rPr>
                <w:rFonts w:ascii="Times New Roman" w:eastAsia="宋体" w:hAnsi="Times New Roman" w:cs="Times New Roman" w:hint="eastAsia"/>
                <w:szCs w:val="21"/>
              </w:rPr>
              <w:t>28d</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4FEDD6" w14:textId="77777777" w:rsidR="00513E21" w:rsidRPr="00513E21" w:rsidRDefault="00513E21" w:rsidP="00315DFF">
            <w:pPr>
              <w:jc w:val="center"/>
              <w:rPr>
                <w:rFonts w:ascii="Times New Roman" w:eastAsia="宋体" w:hAnsi="Times New Roman" w:cs="Times New Roman"/>
                <w:szCs w:val="21"/>
              </w:rPr>
            </w:pPr>
            <w:r w:rsidRPr="00513E21">
              <w:rPr>
                <w:rFonts w:ascii="Times New Roman" w:eastAsia="宋体" w:hAnsi="Times New Roman" w:cs="Times New Roman" w:hint="eastAsia"/>
                <w:szCs w:val="21"/>
              </w:rPr>
              <w:t>●</w:t>
            </w:r>
          </w:p>
        </w:tc>
        <w:tc>
          <w:tcPr>
            <w:tcW w:w="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414B1" w14:textId="77777777" w:rsidR="00513E21" w:rsidRDefault="00513E21" w:rsidP="00315DFF">
            <w:pPr>
              <w:jc w:val="center"/>
              <w:rPr>
                <w:rFonts w:ascii="Times New Roman" w:eastAsia="宋体" w:hAnsi="Times New Roman" w:cs="Times New Roman"/>
                <w:szCs w:val="21"/>
                <w:highlight w:val="yellow"/>
              </w:rPr>
            </w:pPr>
          </w:p>
        </w:tc>
      </w:tr>
      <w:tr w:rsidR="00513E21" w14:paraId="369A5B59" w14:textId="77777777" w:rsidTr="00774988">
        <w:trPr>
          <w:trHeight w:val="962"/>
        </w:trPr>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0C155A"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9C161A"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跌落试验</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08DFAE"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 18191</w:t>
            </w:r>
          </w:p>
          <w:p w14:paraId="4A79CFD5"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 19160</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26EC01"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强制性</w:t>
            </w:r>
          </w:p>
        </w:tc>
        <w:tc>
          <w:tcPr>
            <w:tcW w:w="2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38C318"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GB/T4857.5</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A15CA9"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6CC3A5" w14:textId="77777777" w:rsidR="00513E21" w:rsidRDefault="00513E21" w:rsidP="00315DFF">
            <w:pPr>
              <w:jc w:val="center"/>
              <w:rPr>
                <w:rFonts w:ascii="Times New Roman" w:eastAsia="宋体" w:hAnsi="Times New Roman" w:cs="Times New Roman"/>
                <w:szCs w:val="21"/>
              </w:rPr>
            </w:pPr>
          </w:p>
        </w:tc>
      </w:tr>
      <w:tr w:rsidR="00513E21" w14:paraId="0C76D66F" w14:textId="77777777" w:rsidTr="00315DFF">
        <w:trPr>
          <w:trHeight w:val="90"/>
        </w:trPr>
        <w:tc>
          <w:tcPr>
            <w:tcW w:w="9397"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AF26F8" w14:textId="77777777" w:rsidR="00513E21" w:rsidRDefault="00513E21" w:rsidP="00315DFF">
            <w:pPr>
              <w:jc w:val="center"/>
              <w:rPr>
                <w:rFonts w:ascii="Times New Roman" w:eastAsia="宋体" w:hAnsi="Times New Roman" w:cs="Times New Roman"/>
                <w:szCs w:val="21"/>
              </w:rPr>
            </w:pPr>
            <w:r>
              <w:rPr>
                <w:rFonts w:ascii="Times New Roman" w:eastAsia="宋体" w:hAnsi="Times New Roman" w:cs="Times New Roman" w:hint="eastAsia"/>
                <w:szCs w:val="21"/>
              </w:rPr>
              <w:t>备注：</w:t>
            </w:r>
            <w:r>
              <w:rPr>
                <w:rFonts w:ascii="Times New Roman" w:eastAsia="宋体" w:hAnsi="Times New Roman" w:cs="Times New Roman" w:hint="eastAsia"/>
                <w:szCs w:val="21"/>
              </w:rPr>
              <w:t>a</w:t>
            </w:r>
            <w:r>
              <w:rPr>
                <w:rFonts w:ascii="Times New Roman" w:eastAsia="宋体" w:hAnsi="Times New Roman" w:cs="Times New Roman" w:hint="eastAsia"/>
                <w:szCs w:val="21"/>
              </w:rPr>
              <w:t>极重要质量项目；</w:t>
            </w:r>
            <w:r>
              <w:rPr>
                <w:rFonts w:ascii="Times New Roman" w:eastAsia="宋体" w:hAnsi="Times New Roman" w:cs="Times New Roman" w:hint="eastAsia"/>
                <w:szCs w:val="21"/>
              </w:rPr>
              <w:t>b</w:t>
            </w:r>
            <w:r>
              <w:rPr>
                <w:rFonts w:ascii="Times New Roman" w:eastAsia="宋体" w:hAnsi="Times New Roman" w:cs="Times New Roman" w:hint="eastAsia"/>
                <w:szCs w:val="21"/>
              </w:rPr>
              <w:t>重要质量项目</w:t>
            </w:r>
          </w:p>
        </w:tc>
      </w:tr>
    </w:tbl>
    <w:p w14:paraId="01F9EB61" w14:textId="77777777" w:rsidR="00513E21" w:rsidRDefault="00513E21" w:rsidP="00513E21">
      <w:pPr>
        <w:adjustRightInd w:val="0"/>
        <w:snapToGrid w:val="0"/>
        <w:spacing w:line="440" w:lineRule="exact"/>
        <w:rPr>
          <w:rFonts w:eastAsia="黑体" w:hint="eastAsia"/>
          <w:szCs w:val="21"/>
        </w:rPr>
      </w:pPr>
    </w:p>
    <w:p w14:paraId="53B9014B" w14:textId="77777777" w:rsidR="00513E21" w:rsidRPr="00774988" w:rsidRDefault="00513E21" w:rsidP="00774988">
      <w:pPr>
        <w:spacing w:line="440" w:lineRule="exact"/>
        <w:rPr>
          <w:rFonts w:ascii="Times New Roman" w:eastAsia="黑体" w:hAnsi="Times New Roman" w:cs="Times New Roman"/>
          <w:color w:val="000000"/>
          <w:szCs w:val="21"/>
        </w:rPr>
      </w:pPr>
      <w:r w:rsidRPr="00774988">
        <w:rPr>
          <w:rFonts w:ascii="Times New Roman" w:eastAsia="黑体" w:hAnsi="Times New Roman" w:cs="Times New Roman"/>
          <w:color w:val="000000"/>
          <w:szCs w:val="21"/>
        </w:rPr>
        <w:t xml:space="preserve">3 </w:t>
      </w:r>
      <w:r w:rsidRPr="00774988">
        <w:rPr>
          <w:rFonts w:ascii="Times New Roman" w:eastAsia="黑体" w:hAnsi="Times New Roman" w:cs="Times New Roman"/>
          <w:color w:val="000000"/>
          <w:szCs w:val="21"/>
        </w:rPr>
        <w:t>判定规则</w:t>
      </w:r>
    </w:p>
    <w:p w14:paraId="7B738B16" w14:textId="77777777" w:rsidR="00513E21" w:rsidRDefault="00513E21" w:rsidP="00513E21">
      <w:pPr>
        <w:adjustRightInd w:val="0"/>
        <w:snapToGrid w:val="0"/>
        <w:spacing w:line="440" w:lineRule="exact"/>
        <w:rPr>
          <w:szCs w:val="21"/>
        </w:rPr>
      </w:pPr>
      <w:r>
        <w:rPr>
          <w:szCs w:val="21"/>
        </w:rPr>
        <w:t>3.1</w:t>
      </w:r>
      <w:r>
        <w:rPr>
          <w:szCs w:val="21"/>
        </w:rPr>
        <w:t>依据标准</w:t>
      </w:r>
    </w:p>
    <w:p w14:paraId="5CDE916D"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hint="eastAsia"/>
          <w:color w:val="000000"/>
          <w:szCs w:val="21"/>
        </w:rPr>
        <w:t>下列文件凡是注日期的，其随后所有的修改单（不包括勘误的内容）或修订版不适用于本方案。凡是不注日期的引用文件，其最新版本适用于本方案。</w:t>
      </w:r>
    </w:p>
    <w:p w14:paraId="10F17B26"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hint="eastAsia"/>
          <w:color w:val="000000"/>
          <w:szCs w:val="21"/>
        </w:rPr>
        <w:t xml:space="preserve">GB 18191  </w:t>
      </w:r>
      <w:r w:rsidRPr="00513E21">
        <w:rPr>
          <w:rFonts w:ascii="Times New Roman" w:eastAsia="宋体" w:hAnsi="Times New Roman" w:cs="Times New Roman" w:hint="eastAsia"/>
          <w:color w:val="000000"/>
          <w:szCs w:val="21"/>
        </w:rPr>
        <w:t>包装容器危险品包装用塑料桶</w:t>
      </w:r>
    </w:p>
    <w:p w14:paraId="6D1E8222"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hint="eastAsia"/>
          <w:color w:val="000000"/>
          <w:szCs w:val="21"/>
        </w:rPr>
        <w:t xml:space="preserve">GB 19160  </w:t>
      </w:r>
      <w:r w:rsidRPr="00513E21">
        <w:rPr>
          <w:rFonts w:ascii="Times New Roman" w:eastAsia="宋体" w:hAnsi="Times New Roman" w:cs="Times New Roman" w:hint="eastAsia"/>
          <w:color w:val="000000"/>
          <w:szCs w:val="21"/>
        </w:rPr>
        <w:t>包装容器危险品包装用塑料罐</w:t>
      </w:r>
    </w:p>
    <w:p w14:paraId="7E3C8E5B"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hint="eastAsia"/>
          <w:color w:val="000000"/>
          <w:szCs w:val="21"/>
        </w:rPr>
        <w:t xml:space="preserve">GB/T 17344  </w:t>
      </w:r>
      <w:r w:rsidRPr="00513E21">
        <w:rPr>
          <w:rFonts w:ascii="Times New Roman" w:eastAsia="宋体" w:hAnsi="Times New Roman" w:cs="Times New Roman" w:hint="eastAsia"/>
          <w:color w:val="000000"/>
          <w:szCs w:val="21"/>
        </w:rPr>
        <w:t>包装包装容器气密试验方法</w:t>
      </w:r>
    </w:p>
    <w:p w14:paraId="1579F2FC"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hint="eastAsia"/>
          <w:color w:val="000000"/>
          <w:szCs w:val="21"/>
        </w:rPr>
        <w:t xml:space="preserve">GB/T 4857.3 </w:t>
      </w:r>
      <w:r w:rsidRPr="00513E21">
        <w:rPr>
          <w:rFonts w:ascii="Times New Roman" w:eastAsia="宋体" w:hAnsi="Times New Roman" w:cs="Times New Roman" w:hint="eastAsia"/>
          <w:color w:val="000000"/>
          <w:szCs w:val="21"/>
        </w:rPr>
        <w:t>包装运输包装</w:t>
      </w:r>
      <w:proofErr w:type="gramStart"/>
      <w:r w:rsidRPr="00513E21">
        <w:rPr>
          <w:rFonts w:ascii="Times New Roman" w:eastAsia="宋体" w:hAnsi="Times New Roman" w:cs="Times New Roman" w:hint="eastAsia"/>
          <w:color w:val="000000"/>
          <w:szCs w:val="21"/>
        </w:rPr>
        <w:t>件基本</w:t>
      </w:r>
      <w:proofErr w:type="gramEnd"/>
      <w:r w:rsidRPr="00513E21">
        <w:rPr>
          <w:rFonts w:ascii="Times New Roman" w:eastAsia="宋体" w:hAnsi="Times New Roman" w:cs="Times New Roman" w:hint="eastAsia"/>
          <w:color w:val="000000"/>
          <w:szCs w:val="21"/>
        </w:rPr>
        <w:t>实验第</w:t>
      </w:r>
      <w:r w:rsidRPr="00513E21">
        <w:rPr>
          <w:rFonts w:ascii="Times New Roman" w:eastAsia="宋体" w:hAnsi="Times New Roman" w:cs="Times New Roman" w:hint="eastAsia"/>
          <w:color w:val="000000"/>
          <w:szCs w:val="21"/>
        </w:rPr>
        <w:t xml:space="preserve"> 3 </w:t>
      </w:r>
      <w:r w:rsidRPr="00513E21">
        <w:rPr>
          <w:rFonts w:ascii="Times New Roman" w:eastAsia="宋体" w:hAnsi="Times New Roman" w:cs="Times New Roman" w:hint="eastAsia"/>
          <w:color w:val="000000"/>
          <w:szCs w:val="21"/>
        </w:rPr>
        <w:t>部分：静载荷堆码试验方法</w:t>
      </w:r>
    </w:p>
    <w:p w14:paraId="78A54FA2"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hint="eastAsia"/>
          <w:color w:val="000000"/>
          <w:szCs w:val="21"/>
        </w:rPr>
        <w:t xml:space="preserve">GB/T 4857.5  </w:t>
      </w:r>
      <w:r w:rsidRPr="00513E21">
        <w:rPr>
          <w:rFonts w:ascii="Times New Roman" w:eastAsia="宋体" w:hAnsi="Times New Roman" w:cs="Times New Roman" w:hint="eastAsia"/>
          <w:color w:val="000000"/>
          <w:szCs w:val="21"/>
        </w:rPr>
        <w:t>包装运输包装件跌落试验方法</w:t>
      </w:r>
    </w:p>
    <w:p w14:paraId="6DB0A98F"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hint="eastAsia"/>
          <w:color w:val="000000"/>
          <w:szCs w:val="21"/>
        </w:rPr>
        <w:t>相关的法律法规、部门规章和规范</w:t>
      </w:r>
    </w:p>
    <w:p w14:paraId="19580805" w14:textId="6BC79EEF"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hint="eastAsia"/>
          <w:color w:val="000000"/>
          <w:szCs w:val="21"/>
        </w:rPr>
        <w:t>现行有效的企业标准、团体标准、地方标准及产品明示质量要求</w:t>
      </w:r>
    </w:p>
    <w:p w14:paraId="4909ECA8" w14:textId="77777777" w:rsidR="00513E21" w:rsidRDefault="00513E21" w:rsidP="00513E21">
      <w:pPr>
        <w:adjustRightInd w:val="0"/>
        <w:snapToGrid w:val="0"/>
        <w:spacing w:line="440" w:lineRule="exact"/>
        <w:rPr>
          <w:szCs w:val="21"/>
        </w:rPr>
      </w:pPr>
      <w:r>
        <w:rPr>
          <w:szCs w:val="21"/>
        </w:rPr>
        <w:t>3.2</w:t>
      </w:r>
      <w:r>
        <w:rPr>
          <w:szCs w:val="21"/>
        </w:rPr>
        <w:t>判定原则</w:t>
      </w:r>
    </w:p>
    <w:p w14:paraId="7A67C68F"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color w:val="000000"/>
          <w:szCs w:val="21"/>
        </w:rPr>
        <w:t>经检验，检验项目全部合格，判定为被抽查产品所检项目未发现不合格；检验项目中任一项或一项以上不合格，判定为被抽查产品不合格。</w:t>
      </w:r>
    </w:p>
    <w:p w14:paraId="3D9F2778"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color w:val="000000"/>
          <w:szCs w:val="21"/>
        </w:rPr>
        <w:t>若被检产品明示的质量要求高于本细则中检验项目依据的标准要求时，应按被检产品明示的质量要求判定。</w:t>
      </w:r>
    </w:p>
    <w:p w14:paraId="2A761EA7"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color w:val="000000"/>
          <w:szCs w:val="21"/>
        </w:rPr>
        <w:t>若被检产品明示的质量要求低于本细则中检验项目依据的强制性标准要求时，应按照强制性标准要求判定。</w:t>
      </w:r>
    </w:p>
    <w:p w14:paraId="09EA9E2A"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color w:val="000000"/>
          <w:szCs w:val="21"/>
        </w:rPr>
        <w:t>若被检产品明示的质量要求低于或包含本细则中检验项目依据的推荐性标准要求时，应以被检产品明示的质量要求判定。</w:t>
      </w:r>
    </w:p>
    <w:p w14:paraId="19BB28A2" w14:textId="77777777" w:rsidR="003F275E" w:rsidRPr="00513E21" w:rsidRDefault="00774988"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color w:val="000000"/>
          <w:szCs w:val="21"/>
        </w:rPr>
        <w:t>若被检产品明示的质量要求缺少本细则中检验项目依据的强制性标准要求时，应按照强制性标准要求判定。</w:t>
      </w:r>
    </w:p>
    <w:p w14:paraId="6579CA19" w14:textId="4986D640" w:rsidR="00513E21" w:rsidRPr="00513E21" w:rsidRDefault="00774988" w:rsidP="00774988">
      <w:pPr>
        <w:snapToGrid w:val="0"/>
        <w:spacing w:line="440" w:lineRule="exact"/>
        <w:ind w:firstLineChars="171" w:firstLine="359"/>
        <w:rPr>
          <w:rFonts w:ascii="Times New Roman" w:eastAsia="宋体" w:hAnsi="Times New Roman" w:cs="Times New Roman" w:hint="eastAsia"/>
          <w:color w:val="000000"/>
          <w:szCs w:val="21"/>
        </w:rPr>
      </w:pPr>
      <w:r w:rsidRPr="00513E21">
        <w:rPr>
          <w:rFonts w:ascii="Times New Roman" w:eastAsia="宋体" w:hAnsi="Times New Roman" w:cs="Times New Roman"/>
          <w:color w:val="000000"/>
          <w:szCs w:val="21"/>
        </w:rPr>
        <w:t>若被检产品明示的质量要求缺少本细则中检验项目依据的推荐性标准要求时，该项目不参与判定。</w:t>
      </w:r>
    </w:p>
    <w:p w14:paraId="059AC2BA" w14:textId="77777777" w:rsidR="00513E21" w:rsidRPr="00774988" w:rsidRDefault="00513E21" w:rsidP="00513E21">
      <w:pPr>
        <w:spacing w:line="440" w:lineRule="exact"/>
        <w:rPr>
          <w:rFonts w:ascii="Times New Roman" w:eastAsia="黑体" w:hAnsi="Times New Roman" w:cs="Times New Roman"/>
          <w:color w:val="000000"/>
          <w:szCs w:val="21"/>
        </w:rPr>
      </w:pPr>
      <w:r w:rsidRPr="00774988">
        <w:rPr>
          <w:rFonts w:ascii="Times New Roman" w:eastAsia="黑体" w:hAnsi="Times New Roman" w:cs="Times New Roman" w:hint="eastAsia"/>
          <w:color w:val="000000"/>
          <w:szCs w:val="21"/>
        </w:rPr>
        <w:lastRenderedPageBreak/>
        <w:t xml:space="preserve">4 </w:t>
      </w:r>
      <w:r w:rsidRPr="00774988">
        <w:rPr>
          <w:rFonts w:ascii="Times New Roman" w:eastAsia="黑体" w:hAnsi="Times New Roman" w:cs="Times New Roman" w:hint="eastAsia"/>
          <w:color w:val="000000"/>
          <w:szCs w:val="21"/>
        </w:rPr>
        <w:t>附则</w:t>
      </w:r>
    </w:p>
    <w:p w14:paraId="5264B917" w14:textId="64292797" w:rsidR="003F275E" w:rsidRPr="00513E21" w:rsidRDefault="00513E21" w:rsidP="00513E21">
      <w:pPr>
        <w:snapToGrid w:val="0"/>
        <w:spacing w:line="440" w:lineRule="exact"/>
        <w:ind w:firstLineChars="171" w:firstLine="359"/>
        <w:rPr>
          <w:rFonts w:ascii="Times New Roman" w:eastAsia="宋体" w:hAnsi="Times New Roman" w:cs="Times New Roman"/>
          <w:color w:val="000000"/>
          <w:szCs w:val="21"/>
        </w:rPr>
      </w:pPr>
      <w:r w:rsidRPr="00513E21">
        <w:rPr>
          <w:rFonts w:ascii="Times New Roman" w:eastAsia="宋体" w:hAnsi="Times New Roman" w:cs="Times New Roman" w:hint="eastAsia"/>
          <w:color w:val="000000"/>
          <w:szCs w:val="21"/>
        </w:rPr>
        <w:t>本细则首次发布。</w:t>
      </w:r>
    </w:p>
    <w:sectPr w:rsidR="003F275E" w:rsidRPr="00513E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00000" w:usb2="00000000" w:usb3="00000000" w:csb0="00040000" w:csb1="00000000"/>
  </w:font>
  <w:font w:name="方正仿宋简体">
    <w:altName w:val="微软雅黑"/>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33E"/>
    <w:rsid w:val="00023E3B"/>
    <w:rsid w:val="0004612E"/>
    <w:rsid w:val="00054FB8"/>
    <w:rsid w:val="00060BCA"/>
    <w:rsid w:val="000643C7"/>
    <w:rsid w:val="0007729F"/>
    <w:rsid w:val="00077DB7"/>
    <w:rsid w:val="00082727"/>
    <w:rsid w:val="00087CC1"/>
    <w:rsid w:val="0009339C"/>
    <w:rsid w:val="000A6C89"/>
    <w:rsid w:val="000B0AB8"/>
    <w:rsid w:val="000B1A71"/>
    <w:rsid w:val="000B39AD"/>
    <w:rsid w:val="000B4929"/>
    <w:rsid w:val="000C03E5"/>
    <w:rsid w:val="000C33B4"/>
    <w:rsid w:val="000C3E24"/>
    <w:rsid w:val="000D4C97"/>
    <w:rsid w:val="000D58F7"/>
    <w:rsid w:val="000D6179"/>
    <w:rsid w:val="000D700D"/>
    <w:rsid w:val="000E7251"/>
    <w:rsid w:val="000F290F"/>
    <w:rsid w:val="000F5E8D"/>
    <w:rsid w:val="000F68C7"/>
    <w:rsid w:val="00101A0D"/>
    <w:rsid w:val="00132936"/>
    <w:rsid w:val="001405FD"/>
    <w:rsid w:val="00152DF5"/>
    <w:rsid w:val="00156BA5"/>
    <w:rsid w:val="00157160"/>
    <w:rsid w:val="001628FC"/>
    <w:rsid w:val="001631A8"/>
    <w:rsid w:val="00166561"/>
    <w:rsid w:val="00170A14"/>
    <w:rsid w:val="00180884"/>
    <w:rsid w:val="00195531"/>
    <w:rsid w:val="001A1439"/>
    <w:rsid w:val="001A15D4"/>
    <w:rsid w:val="001A3EE4"/>
    <w:rsid w:val="001A58AB"/>
    <w:rsid w:val="001B155F"/>
    <w:rsid w:val="001C2BFE"/>
    <w:rsid w:val="001C382C"/>
    <w:rsid w:val="001C673A"/>
    <w:rsid w:val="001E0578"/>
    <w:rsid w:val="00200E73"/>
    <w:rsid w:val="00220E69"/>
    <w:rsid w:val="0022451D"/>
    <w:rsid w:val="00233928"/>
    <w:rsid w:val="002404DC"/>
    <w:rsid w:val="00261ED5"/>
    <w:rsid w:val="00264DDA"/>
    <w:rsid w:val="00270E89"/>
    <w:rsid w:val="002765EA"/>
    <w:rsid w:val="00283094"/>
    <w:rsid w:val="002B324B"/>
    <w:rsid w:val="002B66E7"/>
    <w:rsid w:val="002C02C4"/>
    <w:rsid w:val="002E7F1E"/>
    <w:rsid w:val="002F70BD"/>
    <w:rsid w:val="00303231"/>
    <w:rsid w:val="00332F68"/>
    <w:rsid w:val="0034236D"/>
    <w:rsid w:val="00363F7E"/>
    <w:rsid w:val="00367CA5"/>
    <w:rsid w:val="00383749"/>
    <w:rsid w:val="0038451C"/>
    <w:rsid w:val="003939F9"/>
    <w:rsid w:val="003978F3"/>
    <w:rsid w:val="003B0E37"/>
    <w:rsid w:val="003B20EF"/>
    <w:rsid w:val="003B455B"/>
    <w:rsid w:val="003C1A61"/>
    <w:rsid w:val="003C4A91"/>
    <w:rsid w:val="003C7AB4"/>
    <w:rsid w:val="003D4647"/>
    <w:rsid w:val="003E1D5A"/>
    <w:rsid w:val="003E6A61"/>
    <w:rsid w:val="003F275E"/>
    <w:rsid w:val="003F2E8B"/>
    <w:rsid w:val="003F4497"/>
    <w:rsid w:val="00402F27"/>
    <w:rsid w:val="00404FB6"/>
    <w:rsid w:val="00420B02"/>
    <w:rsid w:val="00423D7D"/>
    <w:rsid w:val="00424075"/>
    <w:rsid w:val="00432BCA"/>
    <w:rsid w:val="00433C05"/>
    <w:rsid w:val="004358F8"/>
    <w:rsid w:val="00435C84"/>
    <w:rsid w:val="004433DB"/>
    <w:rsid w:val="004517D7"/>
    <w:rsid w:val="004528B6"/>
    <w:rsid w:val="0046761E"/>
    <w:rsid w:val="004705D7"/>
    <w:rsid w:val="0048318E"/>
    <w:rsid w:val="004967A6"/>
    <w:rsid w:val="004974E7"/>
    <w:rsid w:val="004A3C18"/>
    <w:rsid w:val="004E2826"/>
    <w:rsid w:val="004F71F1"/>
    <w:rsid w:val="0050466E"/>
    <w:rsid w:val="00504E98"/>
    <w:rsid w:val="005069BE"/>
    <w:rsid w:val="00506D92"/>
    <w:rsid w:val="00513E21"/>
    <w:rsid w:val="005150FE"/>
    <w:rsid w:val="00536CDA"/>
    <w:rsid w:val="0055284F"/>
    <w:rsid w:val="00556ECE"/>
    <w:rsid w:val="005671F8"/>
    <w:rsid w:val="005872DA"/>
    <w:rsid w:val="005A3B43"/>
    <w:rsid w:val="005B6049"/>
    <w:rsid w:val="005E3984"/>
    <w:rsid w:val="005F01AF"/>
    <w:rsid w:val="00607652"/>
    <w:rsid w:val="00616213"/>
    <w:rsid w:val="00630B72"/>
    <w:rsid w:val="006351DC"/>
    <w:rsid w:val="00645E1E"/>
    <w:rsid w:val="00656B2A"/>
    <w:rsid w:val="00661EBA"/>
    <w:rsid w:val="00672C7C"/>
    <w:rsid w:val="006934CC"/>
    <w:rsid w:val="006967DB"/>
    <w:rsid w:val="00696F3F"/>
    <w:rsid w:val="006A34FA"/>
    <w:rsid w:val="006B2541"/>
    <w:rsid w:val="006B41F4"/>
    <w:rsid w:val="006B72DA"/>
    <w:rsid w:val="006B7C8B"/>
    <w:rsid w:val="006C416A"/>
    <w:rsid w:val="006D2B4A"/>
    <w:rsid w:val="006D6AC7"/>
    <w:rsid w:val="006F2CB2"/>
    <w:rsid w:val="0070357F"/>
    <w:rsid w:val="00721FFA"/>
    <w:rsid w:val="00753EF2"/>
    <w:rsid w:val="00766C60"/>
    <w:rsid w:val="00774988"/>
    <w:rsid w:val="0078303C"/>
    <w:rsid w:val="007B2763"/>
    <w:rsid w:val="007B7344"/>
    <w:rsid w:val="007C397E"/>
    <w:rsid w:val="007D60C7"/>
    <w:rsid w:val="007D6AEE"/>
    <w:rsid w:val="007F0BF8"/>
    <w:rsid w:val="00811046"/>
    <w:rsid w:val="00811933"/>
    <w:rsid w:val="00812C9D"/>
    <w:rsid w:val="00812EE9"/>
    <w:rsid w:val="008173DF"/>
    <w:rsid w:val="00851B34"/>
    <w:rsid w:val="00852292"/>
    <w:rsid w:val="008533CC"/>
    <w:rsid w:val="008537DD"/>
    <w:rsid w:val="0086306D"/>
    <w:rsid w:val="00865B3B"/>
    <w:rsid w:val="0087008D"/>
    <w:rsid w:val="0089333E"/>
    <w:rsid w:val="008A15E8"/>
    <w:rsid w:val="008A5510"/>
    <w:rsid w:val="008B2384"/>
    <w:rsid w:val="008C4FCD"/>
    <w:rsid w:val="008E17FB"/>
    <w:rsid w:val="008E4514"/>
    <w:rsid w:val="00910331"/>
    <w:rsid w:val="0091213C"/>
    <w:rsid w:val="00913A21"/>
    <w:rsid w:val="00917F10"/>
    <w:rsid w:val="00937901"/>
    <w:rsid w:val="0094146B"/>
    <w:rsid w:val="00943277"/>
    <w:rsid w:val="009537C3"/>
    <w:rsid w:val="00967DC8"/>
    <w:rsid w:val="0098294F"/>
    <w:rsid w:val="00986268"/>
    <w:rsid w:val="00987092"/>
    <w:rsid w:val="00995F3E"/>
    <w:rsid w:val="00996C96"/>
    <w:rsid w:val="009A7EA7"/>
    <w:rsid w:val="009B3081"/>
    <w:rsid w:val="009B608C"/>
    <w:rsid w:val="009E3349"/>
    <w:rsid w:val="009E58E3"/>
    <w:rsid w:val="009E61AB"/>
    <w:rsid w:val="009E6569"/>
    <w:rsid w:val="009F7DC0"/>
    <w:rsid w:val="00A00294"/>
    <w:rsid w:val="00A02D85"/>
    <w:rsid w:val="00A05ADD"/>
    <w:rsid w:val="00A14B43"/>
    <w:rsid w:val="00A347E9"/>
    <w:rsid w:val="00A42CFA"/>
    <w:rsid w:val="00A47877"/>
    <w:rsid w:val="00A67E09"/>
    <w:rsid w:val="00A81597"/>
    <w:rsid w:val="00A8328B"/>
    <w:rsid w:val="00A83A06"/>
    <w:rsid w:val="00AB4441"/>
    <w:rsid w:val="00AC0882"/>
    <w:rsid w:val="00AD321C"/>
    <w:rsid w:val="00AD43B4"/>
    <w:rsid w:val="00AD4AF3"/>
    <w:rsid w:val="00AD6A9E"/>
    <w:rsid w:val="00B07003"/>
    <w:rsid w:val="00B36601"/>
    <w:rsid w:val="00B570A6"/>
    <w:rsid w:val="00B70D4E"/>
    <w:rsid w:val="00B87129"/>
    <w:rsid w:val="00BB60FD"/>
    <w:rsid w:val="00BC0C2A"/>
    <w:rsid w:val="00BD0889"/>
    <w:rsid w:val="00BD7496"/>
    <w:rsid w:val="00BE0BEF"/>
    <w:rsid w:val="00BE58DA"/>
    <w:rsid w:val="00C13EC1"/>
    <w:rsid w:val="00C24FB8"/>
    <w:rsid w:val="00C264E7"/>
    <w:rsid w:val="00C31871"/>
    <w:rsid w:val="00C3650D"/>
    <w:rsid w:val="00C41FDD"/>
    <w:rsid w:val="00C83310"/>
    <w:rsid w:val="00C96132"/>
    <w:rsid w:val="00C96EA9"/>
    <w:rsid w:val="00CA278A"/>
    <w:rsid w:val="00CB169B"/>
    <w:rsid w:val="00CB49A7"/>
    <w:rsid w:val="00CC422C"/>
    <w:rsid w:val="00CC567F"/>
    <w:rsid w:val="00CE5B10"/>
    <w:rsid w:val="00D21852"/>
    <w:rsid w:val="00D23E25"/>
    <w:rsid w:val="00D33EF7"/>
    <w:rsid w:val="00D44C0A"/>
    <w:rsid w:val="00D573FA"/>
    <w:rsid w:val="00D6267A"/>
    <w:rsid w:val="00D771DA"/>
    <w:rsid w:val="00D916B6"/>
    <w:rsid w:val="00D92519"/>
    <w:rsid w:val="00DA3382"/>
    <w:rsid w:val="00DB0236"/>
    <w:rsid w:val="00DB58BB"/>
    <w:rsid w:val="00DB687D"/>
    <w:rsid w:val="00DD4DEB"/>
    <w:rsid w:val="00DF7058"/>
    <w:rsid w:val="00E2387F"/>
    <w:rsid w:val="00E27ADB"/>
    <w:rsid w:val="00E3435A"/>
    <w:rsid w:val="00E73D77"/>
    <w:rsid w:val="00E76378"/>
    <w:rsid w:val="00EA05DB"/>
    <w:rsid w:val="00EC7F2D"/>
    <w:rsid w:val="00ED0DE1"/>
    <w:rsid w:val="00EE5BD9"/>
    <w:rsid w:val="00F077E8"/>
    <w:rsid w:val="00F07F3A"/>
    <w:rsid w:val="00F13B96"/>
    <w:rsid w:val="00F20A24"/>
    <w:rsid w:val="00F23854"/>
    <w:rsid w:val="00F43A95"/>
    <w:rsid w:val="00F62C33"/>
    <w:rsid w:val="00F642B9"/>
    <w:rsid w:val="00F6441F"/>
    <w:rsid w:val="00F6585F"/>
    <w:rsid w:val="00F74D08"/>
    <w:rsid w:val="00F75A29"/>
    <w:rsid w:val="00F850CE"/>
    <w:rsid w:val="00F907C0"/>
    <w:rsid w:val="00FA323B"/>
    <w:rsid w:val="00FB4566"/>
    <w:rsid w:val="00FF06A1"/>
    <w:rsid w:val="00FF1414"/>
    <w:rsid w:val="04CE1AD9"/>
    <w:rsid w:val="20727519"/>
    <w:rsid w:val="21A0209F"/>
    <w:rsid w:val="398D5884"/>
    <w:rsid w:val="453F3AD3"/>
    <w:rsid w:val="709E28CE"/>
    <w:rsid w:val="757A4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unhideWhenUsed/>
    <w:qFormat/>
    <w:pPr>
      <w:ind w:firstLineChars="200" w:firstLine="640"/>
    </w:pPr>
    <w:rPr>
      <w:rFonts w:ascii="仿宋_GB2312" w:eastAsia="仿宋_GB2312" w:hAnsi="Times New Roman" w:cs="Times New Roman"/>
      <w:sz w:val="32"/>
      <w:szCs w:val="24"/>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Times New Roman" w:cs="仿宋"/>
      <w:color w:val="000000"/>
      <w:sz w:val="24"/>
      <w:szCs w:val="24"/>
    </w:rPr>
  </w:style>
  <w:style w:type="character" w:customStyle="1" w:styleId="Char">
    <w:name w:val="正文文本缩进 Char"/>
    <w:basedOn w:val="a0"/>
    <w:link w:val="a3"/>
    <w:semiHidden/>
    <w:qFormat/>
    <w:rPr>
      <w:rFonts w:ascii="仿宋_GB2312" w:eastAsia="仿宋_GB2312" w:hAnsi="Times New Roman" w:cs="Times New Roman"/>
      <w:sz w:val="32"/>
      <w:szCs w:val="24"/>
    </w:rPr>
  </w:style>
  <w:style w:type="paragraph" w:styleId="a7">
    <w:name w:val="List Paragraph"/>
    <w:basedOn w:val="a"/>
    <w:uiPriority w:val="34"/>
    <w:qFormat/>
    <w:pPr>
      <w:ind w:firstLineChars="200" w:firstLine="420"/>
    </w:pPr>
  </w:style>
  <w:style w:type="paragraph" w:styleId="a8">
    <w:name w:val="No Spacing"/>
    <w:uiPriority w:val="1"/>
    <w:qFormat/>
    <w:pPr>
      <w:widowControl w:val="0"/>
      <w:jc w:val="both"/>
    </w:pPr>
    <w:rPr>
      <w:rFonts w:ascii="Times New Roman" w:eastAsia="宋体" w:hAnsi="Times New Roman" w:cs="Times New Roman"/>
      <w:kern w:val="2"/>
      <w:sz w:val="21"/>
      <w:szCs w:val="22"/>
    </w:rPr>
  </w:style>
  <w:style w:type="paragraph" w:styleId="a9">
    <w:name w:val="Body Text"/>
    <w:basedOn w:val="a"/>
    <w:link w:val="Char2"/>
    <w:uiPriority w:val="99"/>
    <w:semiHidden/>
    <w:unhideWhenUsed/>
    <w:rsid w:val="00513E21"/>
    <w:pPr>
      <w:spacing w:after="120"/>
    </w:pPr>
  </w:style>
  <w:style w:type="character" w:customStyle="1" w:styleId="Char2">
    <w:name w:val="正文文本 Char"/>
    <w:basedOn w:val="a0"/>
    <w:link w:val="a9"/>
    <w:uiPriority w:val="99"/>
    <w:semiHidden/>
    <w:rsid w:val="00513E21"/>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unhideWhenUsed/>
    <w:qFormat/>
    <w:pPr>
      <w:ind w:firstLineChars="200" w:firstLine="640"/>
    </w:pPr>
    <w:rPr>
      <w:rFonts w:ascii="仿宋_GB2312" w:eastAsia="仿宋_GB2312" w:hAnsi="Times New Roman" w:cs="Times New Roman"/>
      <w:sz w:val="32"/>
      <w:szCs w:val="24"/>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Times New Roman" w:cs="仿宋"/>
      <w:color w:val="000000"/>
      <w:sz w:val="24"/>
      <w:szCs w:val="24"/>
    </w:rPr>
  </w:style>
  <w:style w:type="character" w:customStyle="1" w:styleId="Char">
    <w:name w:val="正文文本缩进 Char"/>
    <w:basedOn w:val="a0"/>
    <w:link w:val="a3"/>
    <w:semiHidden/>
    <w:qFormat/>
    <w:rPr>
      <w:rFonts w:ascii="仿宋_GB2312" w:eastAsia="仿宋_GB2312" w:hAnsi="Times New Roman" w:cs="Times New Roman"/>
      <w:sz w:val="32"/>
      <w:szCs w:val="24"/>
    </w:rPr>
  </w:style>
  <w:style w:type="paragraph" w:styleId="a7">
    <w:name w:val="List Paragraph"/>
    <w:basedOn w:val="a"/>
    <w:uiPriority w:val="34"/>
    <w:qFormat/>
    <w:pPr>
      <w:ind w:firstLineChars="200" w:firstLine="420"/>
    </w:pPr>
  </w:style>
  <w:style w:type="paragraph" w:styleId="a8">
    <w:name w:val="No Spacing"/>
    <w:uiPriority w:val="1"/>
    <w:qFormat/>
    <w:pPr>
      <w:widowControl w:val="0"/>
      <w:jc w:val="both"/>
    </w:pPr>
    <w:rPr>
      <w:rFonts w:ascii="Times New Roman" w:eastAsia="宋体" w:hAnsi="Times New Roman" w:cs="Times New Roman"/>
      <w:kern w:val="2"/>
      <w:sz w:val="21"/>
      <w:szCs w:val="22"/>
    </w:rPr>
  </w:style>
  <w:style w:type="paragraph" w:styleId="a9">
    <w:name w:val="Body Text"/>
    <w:basedOn w:val="a"/>
    <w:link w:val="Char2"/>
    <w:uiPriority w:val="99"/>
    <w:semiHidden/>
    <w:unhideWhenUsed/>
    <w:rsid w:val="00513E21"/>
    <w:pPr>
      <w:spacing w:after="120"/>
    </w:pPr>
  </w:style>
  <w:style w:type="character" w:customStyle="1" w:styleId="Char2">
    <w:name w:val="正文文本 Char"/>
    <w:basedOn w:val="a0"/>
    <w:link w:val="a9"/>
    <w:uiPriority w:val="99"/>
    <w:semiHidden/>
    <w:rsid w:val="00513E2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215</Words>
  <Characters>1230</Characters>
  <Application>Microsoft Office Word</Application>
  <DocSecurity>0</DocSecurity>
  <Lines>10</Lines>
  <Paragraphs>2</Paragraphs>
  <ScaleCrop>false</ScaleCrop>
  <Company>Microsoft</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null</cp:lastModifiedBy>
  <cp:revision>18</cp:revision>
  <dcterms:created xsi:type="dcterms:W3CDTF">2020-05-26T10:47:00Z</dcterms:created>
  <dcterms:modified xsi:type="dcterms:W3CDTF">2025-12-10T07:27:00Z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9B467BF2D7F34353A30ECB3B88675B0F_13</vt:lpwstr>
  </property>
  <property fmtid="{D5CDD505-2E9C-101B-9397-08002B2CF9AE}" pid="4" name="KSOTemplateDocerSaveRecord">
    <vt:lpwstr>eyJoZGlkIjoiYWVlYTU0M2I0ZDlkZWNmYmFhNjZjNmRhMjZkMTAyZmUiLCJ1c2VySWQiOiIxMzEzMzM1MjkwIn0=</vt:lpwstr>
  </property>
</Properties>
</file>