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32DEC34" w14:textId="77777777" w:rsidR="004D5453" w:rsidRDefault="007009FC">
      <w:pPr>
        <w:pStyle w:val="22"/>
        <w:rPr>
          <w:rFonts w:hint="eastAsia"/>
        </w:rPr>
      </w:pPr>
      <w:r>
        <w:rPr>
          <w:rFonts w:hint="eastAsia"/>
        </w:rPr>
        <w:t>天津市液化石油气产品质量监督抽查实施细则</w:t>
      </w:r>
    </w:p>
    <w:p w14:paraId="0E7A0654" w14:textId="77777777" w:rsidR="00C31970" w:rsidRDefault="00C31970" w:rsidP="00C31970">
      <w:pPr>
        <w:adjustRightInd w:val="0"/>
        <w:snapToGrid w:val="0"/>
        <w:spacing w:line="594" w:lineRule="exact"/>
        <w:jc w:val="center"/>
        <w:rPr>
          <w:rFonts w:eastAsia="方正小标宋简体"/>
          <w:sz w:val="32"/>
          <w:szCs w:val="32"/>
        </w:rPr>
      </w:pPr>
      <w:r>
        <w:rPr>
          <w:rFonts w:eastAsia="方正小标宋简体" w:hint="eastAsia"/>
          <w:sz w:val="32"/>
          <w:szCs w:val="32"/>
        </w:rPr>
        <w:t>（</w:t>
      </w:r>
      <w:r>
        <w:rPr>
          <w:rFonts w:eastAsia="方正小标宋简体" w:hint="eastAsia"/>
          <w:sz w:val="32"/>
          <w:szCs w:val="32"/>
        </w:rPr>
        <w:t>2025</w:t>
      </w:r>
      <w:r>
        <w:rPr>
          <w:rFonts w:eastAsia="方正小标宋简体" w:hint="eastAsia"/>
          <w:sz w:val="32"/>
          <w:szCs w:val="32"/>
        </w:rPr>
        <w:t>版）</w:t>
      </w:r>
    </w:p>
    <w:p w14:paraId="23CB6A79" w14:textId="77777777" w:rsidR="004D5453" w:rsidRDefault="004D5453" w:rsidP="00C31970">
      <w:pPr>
        <w:pStyle w:val="22"/>
        <w:jc w:val="both"/>
      </w:pPr>
    </w:p>
    <w:p w14:paraId="4DC066CB" w14:textId="77777777" w:rsidR="004D5453" w:rsidRDefault="007009FC">
      <w:pPr>
        <w:snapToGrid w:val="0"/>
        <w:spacing w:line="440" w:lineRule="exact"/>
        <w:rPr>
          <w:rFonts w:eastAsia="黑体"/>
          <w:color w:val="000000"/>
          <w:szCs w:val="21"/>
        </w:rPr>
      </w:pPr>
      <w:r>
        <w:rPr>
          <w:rFonts w:eastAsia="黑体"/>
          <w:color w:val="000000"/>
          <w:szCs w:val="21"/>
        </w:rPr>
        <w:t xml:space="preserve">1 </w:t>
      </w:r>
      <w:r>
        <w:rPr>
          <w:rFonts w:eastAsia="黑体"/>
          <w:color w:val="000000"/>
          <w:szCs w:val="21"/>
        </w:rPr>
        <w:t>抽样方法</w:t>
      </w:r>
    </w:p>
    <w:p w14:paraId="7C12E15C" w14:textId="77777777" w:rsidR="004D5453" w:rsidRPr="00C31970" w:rsidRDefault="007009FC">
      <w:pPr>
        <w:snapToGrid w:val="0"/>
        <w:spacing w:line="440" w:lineRule="exact"/>
        <w:ind w:firstLineChars="200" w:firstLine="420"/>
        <w:rPr>
          <w:szCs w:val="21"/>
        </w:rPr>
      </w:pPr>
      <w:r w:rsidRPr="00C31970">
        <w:rPr>
          <w:rFonts w:hint="eastAsia"/>
          <w:szCs w:val="21"/>
        </w:rPr>
        <w:t>1.1</w:t>
      </w:r>
      <w:r w:rsidRPr="00C31970">
        <w:rPr>
          <w:rFonts w:hint="eastAsia"/>
          <w:szCs w:val="21"/>
        </w:rPr>
        <w:t>本次抽查抽取样品应为同一产品（同一生产企业、同一标准生产、同一商标、同一规格型号）。</w:t>
      </w:r>
    </w:p>
    <w:p w14:paraId="7B5C81C0" w14:textId="77777777" w:rsidR="004D5453" w:rsidRPr="00C31970" w:rsidRDefault="007009FC">
      <w:pPr>
        <w:snapToGrid w:val="0"/>
        <w:spacing w:line="440" w:lineRule="exact"/>
        <w:ind w:firstLineChars="200" w:firstLine="420"/>
        <w:rPr>
          <w:szCs w:val="21"/>
        </w:rPr>
      </w:pPr>
      <w:r w:rsidRPr="00C31970">
        <w:rPr>
          <w:rFonts w:hint="eastAsia"/>
          <w:szCs w:val="21"/>
        </w:rPr>
        <w:t>1.2</w:t>
      </w:r>
      <w:r w:rsidRPr="00C31970">
        <w:rPr>
          <w:rFonts w:hint="eastAsia"/>
          <w:szCs w:val="21"/>
        </w:rPr>
        <w:t>在被抽查单位的灌装处或储存罐出口抽取以任何方式表明合格的样品，抽样方式为随机抽样。</w:t>
      </w:r>
    </w:p>
    <w:p w14:paraId="26EAA25B" w14:textId="77777777" w:rsidR="004D5453" w:rsidRPr="00C31970" w:rsidRDefault="007009FC">
      <w:pPr>
        <w:snapToGrid w:val="0"/>
        <w:spacing w:line="440" w:lineRule="exact"/>
        <w:ind w:firstLineChars="200" w:firstLine="420"/>
        <w:rPr>
          <w:szCs w:val="21"/>
        </w:rPr>
      </w:pPr>
      <w:r w:rsidRPr="00C31970">
        <w:rPr>
          <w:rFonts w:hint="eastAsia"/>
          <w:szCs w:val="21"/>
        </w:rPr>
        <w:t>1.3</w:t>
      </w:r>
      <w:r w:rsidRPr="00C31970">
        <w:rPr>
          <w:rFonts w:hint="eastAsia"/>
          <w:szCs w:val="21"/>
        </w:rPr>
        <w:t>使用家用</w:t>
      </w:r>
      <w:r w:rsidRPr="00C31970">
        <w:rPr>
          <w:rFonts w:hint="eastAsia"/>
          <w:szCs w:val="21"/>
        </w:rPr>
        <w:t>2</w:t>
      </w:r>
      <w:r w:rsidRPr="00C31970">
        <w:rPr>
          <w:rFonts w:hint="eastAsia"/>
          <w:szCs w:val="21"/>
        </w:rPr>
        <w:t>公斤或</w:t>
      </w:r>
      <w:r w:rsidRPr="00C31970">
        <w:rPr>
          <w:rFonts w:hint="eastAsia"/>
          <w:szCs w:val="21"/>
        </w:rPr>
        <w:t>5</w:t>
      </w:r>
      <w:r w:rsidRPr="00C31970">
        <w:rPr>
          <w:rFonts w:hint="eastAsia"/>
          <w:szCs w:val="21"/>
        </w:rPr>
        <w:t>公斤液化气瓶灌装</w:t>
      </w:r>
      <w:r w:rsidRPr="00C31970">
        <w:rPr>
          <w:rFonts w:hint="eastAsia"/>
          <w:szCs w:val="21"/>
        </w:rPr>
        <w:t>1</w:t>
      </w:r>
      <w:r w:rsidRPr="00C31970">
        <w:rPr>
          <w:rFonts w:hint="eastAsia"/>
          <w:szCs w:val="21"/>
        </w:rPr>
        <w:t>公斤左右液化气样品。</w:t>
      </w:r>
    </w:p>
    <w:p w14:paraId="12633D6D" w14:textId="77777777" w:rsidR="004D5453" w:rsidRPr="00C31970" w:rsidRDefault="007009FC">
      <w:pPr>
        <w:snapToGrid w:val="0"/>
        <w:spacing w:line="440" w:lineRule="exact"/>
        <w:ind w:firstLineChars="200" w:firstLine="420"/>
        <w:rPr>
          <w:szCs w:val="21"/>
        </w:rPr>
      </w:pPr>
      <w:r w:rsidRPr="00C31970">
        <w:rPr>
          <w:rFonts w:hint="eastAsia"/>
          <w:szCs w:val="21"/>
        </w:rPr>
        <w:t>1.4</w:t>
      </w:r>
      <w:r w:rsidRPr="00C31970">
        <w:rPr>
          <w:rFonts w:hint="eastAsia"/>
          <w:szCs w:val="21"/>
        </w:rPr>
        <w:t>每个独立的储罐抽取</w:t>
      </w:r>
      <w:r w:rsidRPr="00C31970">
        <w:rPr>
          <w:rFonts w:hint="eastAsia"/>
          <w:szCs w:val="21"/>
        </w:rPr>
        <w:t>A</w:t>
      </w:r>
      <w:r w:rsidRPr="00C31970">
        <w:rPr>
          <w:rFonts w:hint="eastAsia"/>
          <w:szCs w:val="21"/>
        </w:rPr>
        <w:t>、</w:t>
      </w:r>
      <w:r w:rsidRPr="00C31970">
        <w:rPr>
          <w:rFonts w:hint="eastAsia"/>
          <w:szCs w:val="21"/>
        </w:rPr>
        <w:t>B</w:t>
      </w:r>
      <w:r w:rsidRPr="00C31970">
        <w:rPr>
          <w:rFonts w:hint="eastAsia"/>
          <w:szCs w:val="21"/>
        </w:rPr>
        <w:t>两个样品，</w:t>
      </w:r>
      <w:r w:rsidRPr="00C31970">
        <w:rPr>
          <w:rFonts w:hint="eastAsia"/>
          <w:szCs w:val="21"/>
        </w:rPr>
        <w:t>A</w:t>
      </w:r>
      <w:proofErr w:type="gramStart"/>
      <w:r w:rsidRPr="00C31970">
        <w:rPr>
          <w:rFonts w:hint="eastAsia"/>
          <w:szCs w:val="21"/>
        </w:rPr>
        <w:t>样用于</w:t>
      </w:r>
      <w:proofErr w:type="gramEnd"/>
      <w:r w:rsidRPr="00C31970">
        <w:rPr>
          <w:rFonts w:hint="eastAsia"/>
          <w:szCs w:val="21"/>
        </w:rPr>
        <w:t>检验，</w:t>
      </w:r>
      <w:r w:rsidRPr="00C31970">
        <w:rPr>
          <w:rFonts w:hint="eastAsia"/>
          <w:szCs w:val="21"/>
        </w:rPr>
        <w:t>B</w:t>
      </w:r>
      <w:proofErr w:type="gramStart"/>
      <w:r w:rsidRPr="00C31970">
        <w:rPr>
          <w:rFonts w:hint="eastAsia"/>
          <w:szCs w:val="21"/>
        </w:rPr>
        <w:t>样用于</w:t>
      </w:r>
      <w:proofErr w:type="gramEnd"/>
      <w:r w:rsidRPr="00C31970">
        <w:rPr>
          <w:rFonts w:hint="eastAsia"/>
          <w:szCs w:val="21"/>
        </w:rPr>
        <w:t>异议复核检验。</w:t>
      </w:r>
    </w:p>
    <w:p w14:paraId="04383334" w14:textId="77777777" w:rsidR="004D5453" w:rsidRPr="00C31970" w:rsidRDefault="007009FC">
      <w:pPr>
        <w:snapToGrid w:val="0"/>
        <w:spacing w:line="440" w:lineRule="exact"/>
        <w:ind w:firstLineChars="200" w:firstLine="420"/>
        <w:rPr>
          <w:szCs w:val="21"/>
        </w:rPr>
      </w:pPr>
      <w:r w:rsidRPr="00C31970">
        <w:rPr>
          <w:rFonts w:hint="eastAsia"/>
          <w:szCs w:val="21"/>
        </w:rPr>
        <w:t>1.5</w:t>
      </w:r>
      <w:r w:rsidRPr="00C31970">
        <w:rPr>
          <w:rFonts w:hint="eastAsia"/>
          <w:szCs w:val="21"/>
        </w:rPr>
        <w:t>灌装样品前抽样人员应在现场将瓶中残余的液化气放空，并反复用现场欲抽样液化气洗涤液化气瓶</w:t>
      </w:r>
      <w:r w:rsidRPr="00C31970">
        <w:rPr>
          <w:rFonts w:hint="eastAsia"/>
          <w:szCs w:val="21"/>
        </w:rPr>
        <w:t>2-3</w:t>
      </w:r>
      <w:r w:rsidRPr="00C31970">
        <w:rPr>
          <w:rFonts w:hint="eastAsia"/>
          <w:szCs w:val="21"/>
        </w:rPr>
        <w:t>次。</w:t>
      </w:r>
    </w:p>
    <w:p w14:paraId="7B10F2A2" w14:textId="77777777" w:rsidR="004D5453" w:rsidRPr="00C31970" w:rsidRDefault="007009FC">
      <w:pPr>
        <w:snapToGrid w:val="0"/>
        <w:spacing w:line="440" w:lineRule="exact"/>
        <w:ind w:firstLineChars="200" w:firstLine="420"/>
        <w:rPr>
          <w:szCs w:val="21"/>
        </w:rPr>
      </w:pPr>
      <w:r w:rsidRPr="00C31970">
        <w:rPr>
          <w:rFonts w:hint="eastAsia"/>
          <w:szCs w:val="21"/>
        </w:rPr>
        <w:t>1.6</w:t>
      </w:r>
      <w:r w:rsidRPr="00C31970">
        <w:rPr>
          <w:rFonts w:hint="eastAsia"/>
          <w:szCs w:val="21"/>
        </w:rPr>
        <w:t>抽样完成后在钢瓶</w:t>
      </w:r>
      <w:proofErr w:type="gramStart"/>
      <w:r w:rsidRPr="00C31970">
        <w:rPr>
          <w:rFonts w:hint="eastAsia"/>
          <w:szCs w:val="21"/>
        </w:rPr>
        <w:t>瓶阀上</w:t>
      </w:r>
      <w:proofErr w:type="gramEnd"/>
      <w:r w:rsidRPr="00C31970">
        <w:rPr>
          <w:rFonts w:hint="eastAsia"/>
          <w:szCs w:val="21"/>
        </w:rPr>
        <w:t>加封封条，企业代表和抽样人员同时签字。</w:t>
      </w:r>
    </w:p>
    <w:p w14:paraId="54391927" w14:textId="77777777" w:rsidR="004D5453" w:rsidRPr="00C31970" w:rsidRDefault="007009FC">
      <w:pPr>
        <w:snapToGrid w:val="0"/>
        <w:spacing w:line="440" w:lineRule="exact"/>
        <w:ind w:firstLineChars="200" w:firstLine="420"/>
        <w:rPr>
          <w:szCs w:val="21"/>
        </w:rPr>
      </w:pPr>
      <w:r w:rsidRPr="00C31970">
        <w:rPr>
          <w:rFonts w:hint="eastAsia"/>
          <w:szCs w:val="21"/>
        </w:rPr>
        <w:t>1.7</w:t>
      </w:r>
      <w:r w:rsidRPr="00C31970">
        <w:rPr>
          <w:rFonts w:hint="eastAsia"/>
          <w:szCs w:val="21"/>
        </w:rPr>
        <w:t>由抽样人员将已抽样品送至检验单位。</w:t>
      </w:r>
    </w:p>
    <w:p w14:paraId="59B5CFF6" w14:textId="77777777" w:rsidR="004D5453" w:rsidRDefault="004D5453">
      <w:pPr>
        <w:snapToGrid w:val="0"/>
        <w:spacing w:line="440" w:lineRule="exact"/>
        <w:rPr>
          <w:rFonts w:eastAsia="黑体"/>
          <w:color w:val="000000"/>
          <w:szCs w:val="21"/>
        </w:rPr>
      </w:pPr>
    </w:p>
    <w:p w14:paraId="2EF7FE97" w14:textId="77777777" w:rsidR="004D5453" w:rsidRDefault="007009FC">
      <w:pPr>
        <w:snapToGrid w:val="0"/>
        <w:spacing w:line="440" w:lineRule="exact"/>
        <w:rPr>
          <w:rFonts w:eastAsia="黑体"/>
          <w:color w:val="000000"/>
          <w:szCs w:val="21"/>
        </w:rPr>
      </w:pPr>
      <w:r>
        <w:rPr>
          <w:rFonts w:eastAsia="黑体"/>
          <w:color w:val="000000"/>
          <w:szCs w:val="21"/>
        </w:rPr>
        <w:t xml:space="preserve">2 </w:t>
      </w:r>
      <w:r>
        <w:rPr>
          <w:rFonts w:eastAsia="黑体"/>
          <w:color w:val="000000"/>
          <w:szCs w:val="21"/>
        </w:rPr>
        <w:t>检验依据</w:t>
      </w:r>
    </w:p>
    <w:p w14:paraId="7AEEA1BF" w14:textId="77777777" w:rsidR="004D5453" w:rsidRDefault="004D5453">
      <w:pPr>
        <w:snapToGrid w:val="0"/>
        <w:spacing w:line="440" w:lineRule="exact"/>
        <w:ind w:firstLineChars="171" w:firstLine="359"/>
        <w:rPr>
          <w:color w:val="000000"/>
          <w:szCs w:val="21"/>
        </w:rPr>
      </w:pPr>
    </w:p>
    <w:tbl>
      <w:tblPr>
        <w:tblW w:w="499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9"/>
        <w:gridCol w:w="2908"/>
        <w:gridCol w:w="4230"/>
      </w:tblGrid>
      <w:tr w:rsidR="004D5453" w14:paraId="68D23483" w14:textId="77777777">
        <w:trPr>
          <w:trHeight w:val="340"/>
          <w:jc w:val="center"/>
        </w:trPr>
        <w:tc>
          <w:tcPr>
            <w:tcW w:w="1107" w:type="pct"/>
            <w:vAlign w:val="center"/>
          </w:tcPr>
          <w:p w14:paraId="2FC013C0" w14:textId="77777777" w:rsidR="004D5453" w:rsidRDefault="007009FC">
            <w:pPr>
              <w:snapToGrid w:val="0"/>
              <w:jc w:val="center"/>
              <w:rPr>
                <w:color w:val="000000"/>
                <w:szCs w:val="21"/>
              </w:rPr>
            </w:pPr>
            <w:r>
              <w:rPr>
                <w:color w:val="000000"/>
                <w:szCs w:val="21"/>
              </w:rPr>
              <w:t>序号</w:t>
            </w:r>
          </w:p>
        </w:tc>
        <w:tc>
          <w:tcPr>
            <w:tcW w:w="1586" w:type="pct"/>
            <w:vAlign w:val="center"/>
          </w:tcPr>
          <w:p w14:paraId="76C26DDC" w14:textId="77777777" w:rsidR="004D5453" w:rsidRDefault="007009FC">
            <w:pPr>
              <w:snapToGrid w:val="0"/>
              <w:jc w:val="center"/>
              <w:rPr>
                <w:color w:val="000000"/>
                <w:szCs w:val="21"/>
              </w:rPr>
            </w:pPr>
            <w:r>
              <w:rPr>
                <w:color w:val="000000"/>
                <w:szCs w:val="21"/>
              </w:rPr>
              <w:t>检验项目</w:t>
            </w:r>
          </w:p>
        </w:tc>
        <w:tc>
          <w:tcPr>
            <w:tcW w:w="2307" w:type="pct"/>
            <w:vAlign w:val="center"/>
          </w:tcPr>
          <w:p w14:paraId="1BFD8B35" w14:textId="77777777" w:rsidR="004D5453" w:rsidRDefault="007009FC">
            <w:pPr>
              <w:snapToGrid w:val="0"/>
              <w:jc w:val="center"/>
              <w:rPr>
                <w:color w:val="000000"/>
                <w:szCs w:val="21"/>
              </w:rPr>
            </w:pPr>
            <w:r>
              <w:rPr>
                <w:color w:val="000000"/>
                <w:szCs w:val="21"/>
              </w:rPr>
              <w:t>检验方法</w:t>
            </w:r>
          </w:p>
        </w:tc>
      </w:tr>
      <w:tr w:rsidR="004D5453" w14:paraId="57B8E82B" w14:textId="77777777">
        <w:trPr>
          <w:trHeight w:val="340"/>
          <w:jc w:val="center"/>
        </w:trPr>
        <w:tc>
          <w:tcPr>
            <w:tcW w:w="1107" w:type="pct"/>
            <w:vAlign w:val="center"/>
          </w:tcPr>
          <w:p w14:paraId="633571A2" w14:textId="77777777" w:rsidR="004D5453" w:rsidRDefault="007009FC">
            <w:pPr>
              <w:snapToGrid w:val="0"/>
              <w:jc w:val="center"/>
              <w:rPr>
                <w:color w:val="000000"/>
                <w:szCs w:val="21"/>
              </w:rPr>
            </w:pPr>
            <w:r>
              <w:rPr>
                <w:color w:val="000000"/>
                <w:szCs w:val="21"/>
              </w:rPr>
              <w:t>1</w:t>
            </w:r>
          </w:p>
        </w:tc>
        <w:tc>
          <w:tcPr>
            <w:tcW w:w="1586" w:type="pct"/>
            <w:vAlign w:val="center"/>
          </w:tcPr>
          <w:p w14:paraId="281933AD" w14:textId="77777777" w:rsidR="004D5453" w:rsidRDefault="007009FC">
            <w:pPr>
              <w:snapToGrid w:val="0"/>
              <w:jc w:val="center"/>
              <w:rPr>
                <w:color w:val="000000"/>
                <w:szCs w:val="21"/>
              </w:rPr>
            </w:pPr>
            <w:r>
              <w:rPr>
                <w:rFonts w:hint="eastAsia"/>
                <w:color w:val="000000"/>
                <w:szCs w:val="21"/>
              </w:rPr>
              <w:t>(C3+C4)</w:t>
            </w:r>
            <w:r>
              <w:rPr>
                <w:rFonts w:hint="eastAsia"/>
                <w:color w:val="000000"/>
                <w:szCs w:val="21"/>
              </w:rPr>
              <w:t>烃类组分</w:t>
            </w:r>
          </w:p>
        </w:tc>
        <w:tc>
          <w:tcPr>
            <w:tcW w:w="2307" w:type="pct"/>
            <w:vAlign w:val="center"/>
          </w:tcPr>
          <w:p w14:paraId="69E02A05" w14:textId="77777777" w:rsidR="004D5453" w:rsidRDefault="007009FC">
            <w:pPr>
              <w:snapToGrid w:val="0"/>
              <w:jc w:val="center"/>
              <w:rPr>
                <w:color w:val="000000"/>
                <w:szCs w:val="21"/>
              </w:rPr>
            </w:pPr>
            <w:r>
              <w:rPr>
                <w:rFonts w:hint="eastAsia"/>
                <w:color w:val="000000"/>
                <w:szCs w:val="21"/>
              </w:rPr>
              <w:t>参照</w:t>
            </w:r>
            <w:r>
              <w:rPr>
                <w:rFonts w:hint="eastAsia"/>
                <w:color w:val="000000"/>
                <w:szCs w:val="21"/>
              </w:rPr>
              <w:t>GB/T 10410-2008</w:t>
            </w:r>
            <w:r>
              <w:rPr>
                <w:rFonts w:hint="eastAsia"/>
                <w:color w:val="000000"/>
                <w:szCs w:val="21"/>
              </w:rPr>
              <w:t>《人工煤气和液化石油气常量组分气相色谱分析法》</w:t>
            </w:r>
          </w:p>
        </w:tc>
      </w:tr>
      <w:tr w:rsidR="004D5453" w14:paraId="7CCE7C39" w14:textId="77777777">
        <w:trPr>
          <w:trHeight w:val="340"/>
          <w:jc w:val="center"/>
        </w:trPr>
        <w:tc>
          <w:tcPr>
            <w:tcW w:w="1107" w:type="pct"/>
            <w:vAlign w:val="center"/>
          </w:tcPr>
          <w:p w14:paraId="5B4F38C3" w14:textId="77777777" w:rsidR="004D5453" w:rsidRDefault="007009FC">
            <w:pPr>
              <w:snapToGrid w:val="0"/>
              <w:jc w:val="center"/>
              <w:rPr>
                <w:color w:val="000000"/>
                <w:szCs w:val="21"/>
              </w:rPr>
            </w:pPr>
            <w:r>
              <w:rPr>
                <w:color w:val="000000"/>
                <w:szCs w:val="21"/>
              </w:rPr>
              <w:t>2</w:t>
            </w:r>
          </w:p>
        </w:tc>
        <w:tc>
          <w:tcPr>
            <w:tcW w:w="1586" w:type="pct"/>
            <w:vAlign w:val="center"/>
          </w:tcPr>
          <w:p w14:paraId="31D0D6E7" w14:textId="77777777" w:rsidR="004D5453" w:rsidRDefault="007009FC">
            <w:pPr>
              <w:snapToGrid w:val="0"/>
              <w:jc w:val="center"/>
              <w:rPr>
                <w:color w:val="000000"/>
                <w:szCs w:val="21"/>
              </w:rPr>
            </w:pPr>
            <w:r>
              <w:rPr>
                <w:rFonts w:hint="eastAsia"/>
                <w:color w:val="000000"/>
                <w:szCs w:val="21"/>
              </w:rPr>
              <w:t>二甲醚含量</w:t>
            </w:r>
          </w:p>
        </w:tc>
        <w:tc>
          <w:tcPr>
            <w:tcW w:w="2307" w:type="pct"/>
            <w:vAlign w:val="center"/>
          </w:tcPr>
          <w:p w14:paraId="33D13AEE" w14:textId="77777777" w:rsidR="004D5453" w:rsidRDefault="007009FC">
            <w:pPr>
              <w:snapToGrid w:val="0"/>
              <w:jc w:val="center"/>
              <w:rPr>
                <w:color w:val="000000"/>
                <w:szCs w:val="21"/>
              </w:rPr>
            </w:pPr>
            <w:r>
              <w:rPr>
                <w:rFonts w:hint="eastAsia"/>
                <w:color w:val="000000"/>
                <w:szCs w:val="21"/>
              </w:rPr>
              <w:t>参照</w:t>
            </w:r>
            <w:r>
              <w:rPr>
                <w:rFonts w:hint="eastAsia"/>
                <w:color w:val="000000"/>
                <w:szCs w:val="21"/>
              </w:rPr>
              <w:t>GB/T 32492-2016</w:t>
            </w:r>
            <w:r>
              <w:rPr>
                <w:rFonts w:hint="eastAsia"/>
                <w:color w:val="000000"/>
                <w:szCs w:val="21"/>
              </w:rPr>
              <w:t>《液化石油气中二甲醚含量气相色谱分析法》</w:t>
            </w:r>
          </w:p>
        </w:tc>
      </w:tr>
    </w:tbl>
    <w:p w14:paraId="4B9E1399" w14:textId="77777777" w:rsidR="004D5453" w:rsidRDefault="004D5453">
      <w:pPr>
        <w:snapToGrid w:val="0"/>
        <w:spacing w:line="440" w:lineRule="exact"/>
        <w:ind w:firstLineChars="171" w:firstLine="359"/>
        <w:rPr>
          <w:color w:val="000000"/>
          <w:szCs w:val="21"/>
        </w:rPr>
      </w:pPr>
    </w:p>
    <w:p w14:paraId="0A62BDA3" w14:textId="77777777" w:rsidR="004D5453" w:rsidRDefault="007009FC">
      <w:pPr>
        <w:spacing w:line="360" w:lineRule="auto"/>
        <w:rPr>
          <w:rFonts w:eastAsia="黑体"/>
          <w:color w:val="000000"/>
          <w:szCs w:val="21"/>
        </w:rPr>
      </w:pPr>
      <w:r>
        <w:rPr>
          <w:rFonts w:eastAsia="黑体"/>
          <w:color w:val="000000"/>
          <w:szCs w:val="21"/>
        </w:rPr>
        <w:t xml:space="preserve">3 </w:t>
      </w:r>
      <w:r>
        <w:rPr>
          <w:rFonts w:eastAsia="黑体"/>
          <w:color w:val="000000"/>
          <w:szCs w:val="21"/>
        </w:rPr>
        <w:t>判定规则</w:t>
      </w:r>
    </w:p>
    <w:p w14:paraId="0911BCA8" w14:textId="77777777" w:rsidR="004D5453" w:rsidRDefault="007009FC">
      <w:pPr>
        <w:snapToGrid w:val="0"/>
        <w:spacing w:line="440" w:lineRule="exact"/>
        <w:rPr>
          <w:color w:val="000000"/>
          <w:szCs w:val="21"/>
        </w:rPr>
      </w:pPr>
      <w:r>
        <w:rPr>
          <w:color w:val="000000"/>
          <w:szCs w:val="21"/>
        </w:rPr>
        <w:t>3.1</w:t>
      </w:r>
      <w:r>
        <w:rPr>
          <w:color w:val="000000"/>
          <w:szCs w:val="21"/>
        </w:rPr>
        <w:t>依据标准</w:t>
      </w:r>
    </w:p>
    <w:p w14:paraId="62D39F75" w14:textId="77777777" w:rsidR="004D5453" w:rsidRDefault="007009FC">
      <w:pPr>
        <w:snapToGrid w:val="0"/>
        <w:spacing w:line="440" w:lineRule="exact"/>
        <w:ind w:firstLineChars="200" w:firstLine="420"/>
        <w:rPr>
          <w:color w:val="000000"/>
          <w:szCs w:val="21"/>
        </w:rPr>
      </w:pPr>
      <w:r>
        <w:rPr>
          <w:rFonts w:hint="eastAsia"/>
          <w:color w:val="000000"/>
          <w:szCs w:val="21"/>
        </w:rPr>
        <w:t>GB/T 32492-2016</w:t>
      </w:r>
      <w:r>
        <w:rPr>
          <w:rFonts w:hint="eastAsia"/>
          <w:color w:val="000000"/>
          <w:szCs w:val="21"/>
        </w:rPr>
        <w:t>《液化石油气中二甲醚含量气相色谱分析法》</w:t>
      </w:r>
    </w:p>
    <w:p w14:paraId="6B992EEE" w14:textId="77777777" w:rsidR="004D5453" w:rsidRDefault="007009FC">
      <w:pPr>
        <w:snapToGrid w:val="0"/>
        <w:spacing w:line="440" w:lineRule="exact"/>
        <w:ind w:firstLineChars="200" w:firstLine="420"/>
        <w:rPr>
          <w:color w:val="000000"/>
          <w:szCs w:val="21"/>
        </w:rPr>
      </w:pPr>
      <w:r>
        <w:rPr>
          <w:rFonts w:hint="eastAsia"/>
          <w:color w:val="000000"/>
          <w:szCs w:val="21"/>
        </w:rPr>
        <w:t xml:space="preserve">GB/T </w:t>
      </w:r>
      <w:r>
        <w:rPr>
          <w:rFonts w:hint="eastAsia"/>
          <w:color w:val="000000"/>
          <w:szCs w:val="21"/>
        </w:rPr>
        <w:t>10410-2008</w:t>
      </w:r>
      <w:r>
        <w:rPr>
          <w:rFonts w:hint="eastAsia"/>
          <w:color w:val="000000"/>
          <w:szCs w:val="21"/>
        </w:rPr>
        <w:t>《人工煤气和液化石油气常量组分气相色谱分析法》</w:t>
      </w:r>
    </w:p>
    <w:p w14:paraId="41869374" w14:textId="77777777" w:rsidR="004D5453" w:rsidRDefault="007009FC">
      <w:pPr>
        <w:snapToGrid w:val="0"/>
        <w:spacing w:line="440" w:lineRule="exact"/>
        <w:ind w:firstLineChars="200" w:firstLine="420"/>
        <w:rPr>
          <w:color w:val="000000"/>
          <w:szCs w:val="21"/>
        </w:rPr>
      </w:pPr>
      <w:r>
        <w:rPr>
          <w:rFonts w:hint="eastAsia"/>
          <w:color w:val="000000"/>
          <w:szCs w:val="21"/>
        </w:rPr>
        <w:t>TJJD 314-2015</w:t>
      </w:r>
      <w:r>
        <w:rPr>
          <w:rFonts w:hint="eastAsia"/>
          <w:color w:val="000000"/>
          <w:szCs w:val="21"/>
        </w:rPr>
        <w:t>《液化石油气产品质量监督抽查实施规范》</w:t>
      </w:r>
    </w:p>
    <w:p w14:paraId="554DCCFF" w14:textId="77777777" w:rsidR="004D5453" w:rsidRDefault="007009FC">
      <w:pPr>
        <w:snapToGrid w:val="0"/>
        <w:spacing w:line="440" w:lineRule="exact"/>
        <w:rPr>
          <w:color w:val="000000"/>
          <w:szCs w:val="21"/>
        </w:rPr>
      </w:pPr>
      <w:r>
        <w:rPr>
          <w:color w:val="000000"/>
          <w:szCs w:val="21"/>
        </w:rPr>
        <w:t>3.2</w:t>
      </w:r>
      <w:r>
        <w:rPr>
          <w:color w:val="000000"/>
          <w:szCs w:val="21"/>
        </w:rPr>
        <w:t>判定原则</w:t>
      </w:r>
    </w:p>
    <w:p w14:paraId="24BE3026" w14:textId="77777777" w:rsidR="004D5453" w:rsidRDefault="007009FC">
      <w:pPr>
        <w:snapToGrid w:val="0"/>
        <w:spacing w:line="440" w:lineRule="exact"/>
        <w:ind w:firstLineChars="200" w:firstLine="420"/>
        <w:rPr>
          <w:color w:val="000000"/>
          <w:szCs w:val="21"/>
        </w:rPr>
      </w:pPr>
      <w:r>
        <w:rPr>
          <w:color w:val="000000"/>
          <w:szCs w:val="21"/>
        </w:rPr>
        <w:t>经检验，检验项目全部合格，判定为被抽查产品合格；检验项目中任一项或一项以上不合格，判定为被抽查产品不合格。</w:t>
      </w:r>
    </w:p>
    <w:p w14:paraId="2F49EFA8" w14:textId="77777777" w:rsidR="004D5453" w:rsidRDefault="007009FC" w:rsidP="00C31970">
      <w:pPr>
        <w:snapToGrid w:val="0"/>
        <w:spacing w:line="440" w:lineRule="exact"/>
        <w:ind w:firstLineChars="199" w:firstLine="418"/>
        <w:rPr>
          <w:color w:val="000000"/>
          <w:szCs w:val="21"/>
        </w:rPr>
      </w:pPr>
      <w:r>
        <w:rPr>
          <w:color w:val="000000"/>
          <w:szCs w:val="21"/>
        </w:rPr>
        <w:lastRenderedPageBreak/>
        <w:t>若被检产品明示的质量要求高于本细则中检验项目依据的标准要求时，应按被检产品明示的质量要求判定。</w:t>
      </w:r>
    </w:p>
    <w:p w14:paraId="427BCF4E" w14:textId="77777777" w:rsidR="004D5453" w:rsidRDefault="007009FC" w:rsidP="00C31970">
      <w:pPr>
        <w:snapToGrid w:val="0"/>
        <w:spacing w:line="440" w:lineRule="exact"/>
        <w:ind w:firstLineChars="199" w:firstLine="418"/>
        <w:rPr>
          <w:color w:val="000000"/>
          <w:szCs w:val="21"/>
        </w:rPr>
      </w:pPr>
      <w:r>
        <w:rPr>
          <w:color w:val="000000"/>
          <w:szCs w:val="21"/>
        </w:rPr>
        <w:t>若被检产品明示的质量要求低于本细则中检验项目依据的强制性标准要求时，应按照强制性标准要求判定。</w:t>
      </w:r>
    </w:p>
    <w:p w14:paraId="22CCC3EC" w14:textId="77777777" w:rsidR="004D5453" w:rsidRDefault="007009FC" w:rsidP="00C31970">
      <w:pPr>
        <w:snapToGrid w:val="0"/>
        <w:spacing w:line="440" w:lineRule="exact"/>
        <w:ind w:firstLineChars="199" w:firstLine="418"/>
        <w:rPr>
          <w:color w:val="000000"/>
          <w:szCs w:val="21"/>
        </w:rPr>
      </w:pPr>
      <w:r>
        <w:rPr>
          <w:color w:val="000000"/>
          <w:szCs w:val="21"/>
        </w:rPr>
        <w:t>若被检产品明示的质量要求低于或包含本细则中检验项目依据的推荐性标准要求时，应以被检产品明示的质量要求判定。</w:t>
      </w:r>
    </w:p>
    <w:p w14:paraId="2484ED62" w14:textId="77777777" w:rsidR="004D5453" w:rsidRDefault="007009FC" w:rsidP="00C31970">
      <w:pPr>
        <w:snapToGrid w:val="0"/>
        <w:spacing w:line="440" w:lineRule="exact"/>
        <w:ind w:firstLineChars="199" w:firstLine="418"/>
        <w:rPr>
          <w:color w:val="000000"/>
          <w:szCs w:val="21"/>
        </w:rPr>
      </w:pPr>
      <w:r>
        <w:rPr>
          <w:color w:val="000000"/>
          <w:szCs w:val="21"/>
        </w:rPr>
        <w:t>若被检产品明示的质量要求缺少本细则中检验项目依据的强制性标准要求时，应按照强制性标准要求判定。</w:t>
      </w:r>
    </w:p>
    <w:p w14:paraId="1A93885E" w14:textId="77777777" w:rsidR="004D5453" w:rsidRDefault="007009FC" w:rsidP="00C31970">
      <w:pPr>
        <w:snapToGrid w:val="0"/>
        <w:spacing w:line="440" w:lineRule="exact"/>
        <w:ind w:firstLineChars="199" w:firstLine="418"/>
        <w:rPr>
          <w:color w:val="000000"/>
          <w:szCs w:val="21"/>
        </w:rPr>
      </w:pPr>
      <w:r>
        <w:rPr>
          <w:color w:val="000000"/>
          <w:szCs w:val="21"/>
        </w:rPr>
        <w:t>若被检产品明示的质量要求缺少本细则中检验项目依据的推荐性标准要求时，该项目不参与判定。</w:t>
      </w:r>
    </w:p>
    <w:p w14:paraId="28E347BB" w14:textId="77777777" w:rsidR="004D5453" w:rsidRDefault="004D5453">
      <w:pPr>
        <w:spacing w:line="440" w:lineRule="exact"/>
        <w:rPr>
          <w:rFonts w:eastAsia="黑体"/>
          <w:color w:val="000000"/>
          <w:szCs w:val="21"/>
        </w:rPr>
      </w:pPr>
    </w:p>
    <w:p w14:paraId="324392A6" w14:textId="77777777" w:rsidR="004D5453" w:rsidRDefault="007009FC">
      <w:pPr>
        <w:spacing w:line="440" w:lineRule="exact"/>
        <w:rPr>
          <w:rFonts w:eastAsia="黑体"/>
          <w:color w:val="000000"/>
          <w:szCs w:val="21"/>
        </w:rPr>
      </w:pPr>
      <w:r>
        <w:rPr>
          <w:rFonts w:eastAsia="黑体" w:hint="eastAsia"/>
          <w:color w:val="000000"/>
          <w:szCs w:val="21"/>
        </w:rPr>
        <w:t xml:space="preserve">4 </w:t>
      </w:r>
      <w:r>
        <w:rPr>
          <w:rFonts w:eastAsia="黑体" w:hint="eastAsia"/>
          <w:color w:val="000000"/>
          <w:szCs w:val="21"/>
        </w:rPr>
        <w:t>附则</w:t>
      </w:r>
    </w:p>
    <w:p w14:paraId="5CD69920" w14:textId="1501E2ED" w:rsidR="00C31970" w:rsidRPr="004A2F01" w:rsidRDefault="00C31970" w:rsidP="00C31970">
      <w:pPr>
        <w:spacing w:line="440" w:lineRule="exact"/>
        <w:ind w:firstLineChars="200" w:firstLine="420"/>
      </w:pPr>
      <w:r>
        <w:rPr>
          <w:rFonts w:hint="eastAsia"/>
        </w:rPr>
        <w:t>本细则代替</w:t>
      </w:r>
      <w:r w:rsidRPr="00152B8E">
        <w:rPr>
          <w:rFonts w:hint="eastAsia"/>
        </w:rPr>
        <w:t>《天津市市场监督管理委员会</w:t>
      </w:r>
      <w:r w:rsidRPr="00C31970">
        <w:rPr>
          <w:rFonts w:hint="eastAsia"/>
        </w:rPr>
        <w:t>关于发布液化石油气等</w:t>
      </w:r>
      <w:r w:rsidRPr="00C31970">
        <w:rPr>
          <w:rFonts w:hint="eastAsia"/>
        </w:rPr>
        <w:t>3</w:t>
      </w:r>
      <w:r w:rsidRPr="00C31970">
        <w:rPr>
          <w:rFonts w:hint="eastAsia"/>
        </w:rPr>
        <w:t>种产品质量监督抽查实施细则的通告</w:t>
      </w:r>
      <w:r w:rsidRPr="00152B8E">
        <w:rPr>
          <w:rFonts w:hint="eastAsia"/>
        </w:rPr>
        <w:t>》中的</w:t>
      </w:r>
      <w:r>
        <w:rPr>
          <w:rFonts w:hint="eastAsia"/>
        </w:rPr>
        <w:t>《</w:t>
      </w:r>
      <w:r w:rsidRPr="00C31970">
        <w:rPr>
          <w:rFonts w:hint="eastAsia"/>
        </w:rPr>
        <w:t>天津市液化石油气产品质量监督抽查实施细则</w:t>
      </w:r>
      <w:bookmarkStart w:id="0" w:name="_GoBack"/>
      <w:bookmarkEnd w:id="0"/>
      <w:r>
        <w:rPr>
          <w:rFonts w:hint="eastAsia"/>
        </w:rPr>
        <w:t>》。</w:t>
      </w:r>
    </w:p>
    <w:p w14:paraId="655DA93E" w14:textId="5692E7E1" w:rsidR="004D5453" w:rsidRPr="00C31970" w:rsidRDefault="004D5453">
      <w:pPr>
        <w:spacing w:line="440" w:lineRule="exact"/>
        <w:ind w:firstLineChars="200" w:firstLine="420"/>
        <w:rPr>
          <w:color w:val="000000"/>
          <w:szCs w:val="21"/>
        </w:rPr>
      </w:pPr>
    </w:p>
    <w:p w14:paraId="55329F8A" w14:textId="77777777" w:rsidR="004D5453" w:rsidRPr="00C31970" w:rsidRDefault="004D5453" w:rsidP="00C31970">
      <w:pPr>
        <w:snapToGrid w:val="0"/>
        <w:spacing w:line="440" w:lineRule="exact"/>
        <w:ind w:firstLineChars="199" w:firstLine="418"/>
        <w:rPr>
          <w:color w:val="000000"/>
          <w:szCs w:val="21"/>
        </w:rPr>
      </w:pPr>
    </w:p>
    <w:p w14:paraId="121F602E" w14:textId="77777777" w:rsidR="004D5453" w:rsidRDefault="004D5453">
      <w:pPr>
        <w:snapToGrid w:val="0"/>
        <w:spacing w:line="440" w:lineRule="exact"/>
        <w:rPr>
          <w:color w:val="FF0000"/>
          <w:szCs w:val="21"/>
        </w:rPr>
      </w:pPr>
    </w:p>
    <w:sectPr w:rsidR="004D5453">
      <w:headerReference w:type="default" r:id="rId7"/>
      <w:footerReference w:type="even" r:id="rId8"/>
      <w:footerReference w:type="default" r:id="rId9"/>
      <w:pgSz w:w="11906" w:h="16838"/>
      <w:pgMar w:top="1985" w:right="1474" w:bottom="1644" w:left="1474" w:header="851" w:footer="1191" w:gutter="0"/>
      <w:cols w:space="72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682DD98" w14:textId="77777777" w:rsidR="007009FC" w:rsidRDefault="007009FC">
      <w:r>
        <w:separator/>
      </w:r>
    </w:p>
  </w:endnote>
  <w:endnote w:type="continuationSeparator" w:id="0">
    <w:p w14:paraId="41B4863F" w14:textId="77777777" w:rsidR="007009FC" w:rsidRDefault="007009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embedRegular r:id="rId1" w:fontKey="{F09FE983-C2DB-4735-A2E3-38307CA4D8FA}"/>
  </w:font>
  <w:font w:name="方正小标宋简体">
    <w:altName w:val="Arial Unicode MS"/>
    <w:charset w:val="86"/>
    <w:family w:val="auto"/>
    <w:pitch w:val="default"/>
    <w:sig w:usb0="00000000" w:usb1="08000000" w:usb2="00000000" w:usb3="00000000" w:csb0="00040000" w:csb1="00000000"/>
  </w:font>
  <w:font w:name="黑体">
    <w:altName w:val="SimHei"/>
    <w:panose1 w:val="02010609060101010101"/>
    <w:charset w:val="86"/>
    <w:family w:val="modern"/>
    <w:pitch w:val="fixed"/>
    <w:sig w:usb0="800002BF" w:usb1="38CF7CFA" w:usb2="00000016" w:usb3="00000000" w:csb0="00040001" w:csb1="00000000"/>
    <w:embedRegular r:id="rId2" w:subsetted="1" w:fontKey="{FA9F8506-9540-4AB1-9142-8E2A3ACE403F}"/>
  </w:font>
  <w:font w:name="Cambria">
    <w:panose1 w:val="02040503050406030204"/>
    <w:charset w:val="00"/>
    <w:family w:val="roman"/>
    <w:pitch w:val="variable"/>
    <w:sig w:usb0="E00002FF" w:usb1="400004FF" w:usb2="00000000" w:usb3="00000000" w:csb0="0000019F" w:csb1="00000000"/>
    <w:embedRegular r:id="rId3" w:fontKey="{506B5EFF-A38E-4B56-B947-261B4546AF7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6869A9" w14:textId="77777777" w:rsidR="004D5453" w:rsidRDefault="007009FC">
    <w:pPr>
      <w:pStyle w:val="a4"/>
      <w:framePr w:wrap="around" w:vAnchor="text" w:hAnchor="margin" w:xAlign="center" w:y="1"/>
      <w:rPr>
        <w:rStyle w:val="a7"/>
      </w:rPr>
    </w:pPr>
    <w:r>
      <w:fldChar w:fldCharType="begin"/>
    </w:r>
    <w:r>
      <w:rPr>
        <w:rStyle w:val="a7"/>
      </w:rPr>
      <w:instrText xml:space="preserve">PAGE  </w:instrText>
    </w:r>
    <w:r>
      <w:fldChar w:fldCharType="separate"/>
    </w:r>
    <w:r>
      <w:rPr>
        <w:rStyle w:val="a7"/>
      </w:rPr>
      <w:t>2</w:t>
    </w:r>
    <w:r>
      <w:fldChar w:fldCharType="end"/>
    </w:r>
  </w:p>
  <w:p w14:paraId="12AA680A" w14:textId="77777777" w:rsidR="004D5453" w:rsidRDefault="004D5453">
    <w:pPr>
      <w:pStyle w:val="a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1987E9" w14:textId="77777777" w:rsidR="004D5453" w:rsidRDefault="007009FC">
    <w:pPr>
      <w:pStyle w:val="a4"/>
      <w:jc w:val="center"/>
    </w:pPr>
    <w:r>
      <w:fldChar w:fldCharType="begin"/>
    </w:r>
    <w:r>
      <w:instrText xml:space="preserve"> PAGE   \* MERGEFORMAT </w:instrText>
    </w:r>
    <w:r>
      <w:fldChar w:fldCharType="separate"/>
    </w:r>
    <w:r w:rsidR="00C31970" w:rsidRPr="00C31970">
      <w:rPr>
        <w:noProof/>
        <w:lang w:val="en-US"/>
      </w:rPr>
      <w:t>1</w:t>
    </w:r>
    <w:r>
      <w:fldChar w:fldCharType="end"/>
    </w:r>
  </w:p>
  <w:p w14:paraId="777FB58E" w14:textId="77777777" w:rsidR="004D5453" w:rsidRDefault="004D5453">
    <w:pPr>
      <w:pStyle w:val="a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EE204F" w14:textId="77777777" w:rsidR="007009FC" w:rsidRDefault="007009FC">
      <w:r>
        <w:separator/>
      </w:r>
    </w:p>
  </w:footnote>
  <w:footnote w:type="continuationSeparator" w:id="0">
    <w:p w14:paraId="7F8B3BE3" w14:textId="77777777" w:rsidR="007009FC" w:rsidRDefault="007009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F3391F" w14:textId="77777777" w:rsidR="004D5453" w:rsidRDefault="004D5453">
    <w:pPr>
      <w:pStyle w:val="a5"/>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M4YjNmYjIzNGY1NTViN2NhODgzYjFkNzUwZDQyZDgifQ=="/>
  </w:docVars>
  <w:rsids>
    <w:rsidRoot w:val="00172A27"/>
    <w:rsid w:val="0003710B"/>
    <w:rsid w:val="00051A44"/>
    <w:rsid w:val="00081159"/>
    <w:rsid w:val="00081CBD"/>
    <w:rsid w:val="000976DE"/>
    <w:rsid w:val="000B1719"/>
    <w:rsid w:val="001565A6"/>
    <w:rsid w:val="00172A27"/>
    <w:rsid w:val="001809DD"/>
    <w:rsid w:val="001842F8"/>
    <w:rsid w:val="002034B0"/>
    <w:rsid w:val="002118E8"/>
    <w:rsid w:val="00211A8A"/>
    <w:rsid w:val="00232530"/>
    <w:rsid w:val="00232E76"/>
    <w:rsid w:val="00253624"/>
    <w:rsid w:val="00265C90"/>
    <w:rsid w:val="002C35E2"/>
    <w:rsid w:val="002D7F8A"/>
    <w:rsid w:val="002E0D1D"/>
    <w:rsid w:val="003203A3"/>
    <w:rsid w:val="00365CBE"/>
    <w:rsid w:val="003713B9"/>
    <w:rsid w:val="003743D8"/>
    <w:rsid w:val="003A7D30"/>
    <w:rsid w:val="003C388C"/>
    <w:rsid w:val="003D09A1"/>
    <w:rsid w:val="003E61BF"/>
    <w:rsid w:val="003F3065"/>
    <w:rsid w:val="004104AC"/>
    <w:rsid w:val="0041311A"/>
    <w:rsid w:val="00440E4C"/>
    <w:rsid w:val="00442564"/>
    <w:rsid w:val="00445E86"/>
    <w:rsid w:val="004606D6"/>
    <w:rsid w:val="00464CFF"/>
    <w:rsid w:val="00474E04"/>
    <w:rsid w:val="004D0C5A"/>
    <w:rsid w:val="004D184C"/>
    <w:rsid w:val="004D1A13"/>
    <w:rsid w:val="004D5453"/>
    <w:rsid w:val="004E1396"/>
    <w:rsid w:val="0050573F"/>
    <w:rsid w:val="00563EBC"/>
    <w:rsid w:val="00573F0E"/>
    <w:rsid w:val="00577755"/>
    <w:rsid w:val="0058549D"/>
    <w:rsid w:val="00587829"/>
    <w:rsid w:val="005A2364"/>
    <w:rsid w:val="005A3466"/>
    <w:rsid w:val="005B036E"/>
    <w:rsid w:val="006666D3"/>
    <w:rsid w:val="00696F49"/>
    <w:rsid w:val="006B28AC"/>
    <w:rsid w:val="006E1171"/>
    <w:rsid w:val="006F0971"/>
    <w:rsid w:val="007009FC"/>
    <w:rsid w:val="007133E0"/>
    <w:rsid w:val="0072334C"/>
    <w:rsid w:val="00727562"/>
    <w:rsid w:val="00757BEC"/>
    <w:rsid w:val="00776600"/>
    <w:rsid w:val="007D7FC3"/>
    <w:rsid w:val="0081243C"/>
    <w:rsid w:val="00820574"/>
    <w:rsid w:val="00825006"/>
    <w:rsid w:val="00874222"/>
    <w:rsid w:val="00895BEA"/>
    <w:rsid w:val="008A3497"/>
    <w:rsid w:val="008E6F5B"/>
    <w:rsid w:val="00917A54"/>
    <w:rsid w:val="0095175F"/>
    <w:rsid w:val="00953E64"/>
    <w:rsid w:val="009C1BB6"/>
    <w:rsid w:val="009F24EF"/>
    <w:rsid w:val="00A43553"/>
    <w:rsid w:val="00A8267E"/>
    <w:rsid w:val="00A97E94"/>
    <w:rsid w:val="00AC5391"/>
    <w:rsid w:val="00AE7FD1"/>
    <w:rsid w:val="00B20191"/>
    <w:rsid w:val="00B323A0"/>
    <w:rsid w:val="00B50057"/>
    <w:rsid w:val="00B65B50"/>
    <w:rsid w:val="00BB53C1"/>
    <w:rsid w:val="00BE598A"/>
    <w:rsid w:val="00BE6119"/>
    <w:rsid w:val="00BF2B8C"/>
    <w:rsid w:val="00C26074"/>
    <w:rsid w:val="00C31970"/>
    <w:rsid w:val="00C811FA"/>
    <w:rsid w:val="00C83B0A"/>
    <w:rsid w:val="00CA501E"/>
    <w:rsid w:val="00CB1E77"/>
    <w:rsid w:val="00CC7118"/>
    <w:rsid w:val="00CE1E0C"/>
    <w:rsid w:val="00CE277E"/>
    <w:rsid w:val="00CF670E"/>
    <w:rsid w:val="00D01D21"/>
    <w:rsid w:val="00D0541D"/>
    <w:rsid w:val="00D4713B"/>
    <w:rsid w:val="00D56867"/>
    <w:rsid w:val="00D60CB2"/>
    <w:rsid w:val="00D61862"/>
    <w:rsid w:val="00D71CA2"/>
    <w:rsid w:val="00D8084F"/>
    <w:rsid w:val="00D85AEC"/>
    <w:rsid w:val="00D87DB3"/>
    <w:rsid w:val="00D90B91"/>
    <w:rsid w:val="00DC71DD"/>
    <w:rsid w:val="00E02A7F"/>
    <w:rsid w:val="00E07880"/>
    <w:rsid w:val="00E2290C"/>
    <w:rsid w:val="00E4135B"/>
    <w:rsid w:val="00E7086B"/>
    <w:rsid w:val="00E82621"/>
    <w:rsid w:val="00EF5A0A"/>
    <w:rsid w:val="00F30146"/>
    <w:rsid w:val="00F76003"/>
    <w:rsid w:val="00F77C9A"/>
    <w:rsid w:val="00FB576C"/>
    <w:rsid w:val="00FD2AA6"/>
    <w:rsid w:val="00FE7E8A"/>
    <w:rsid w:val="03463A74"/>
    <w:rsid w:val="07795101"/>
    <w:rsid w:val="08F40ECA"/>
    <w:rsid w:val="09C740C4"/>
    <w:rsid w:val="0B2409F0"/>
    <w:rsid w:val="0D462888"/>
    <w:rsid w:val="0D886840"/>
    <w:rsid w:val="0DD63C01"/>
    <w:rsid w:val="0E4F198B"/>
    <w:rsid w:val="0F503CB0"/>
    <w:rsid w:val="109A7ACF"/>
    <w:rsid w:val="15B036FB"/>
    <w:rsid w:val="16070E41"/>
    <w:rsid w:val="1E1D56A5"/>
    <w:rsid w:val="20541126"/>
    <w:rsid w:val="22DD2497"/>
    <w:rsid w:val="23B67C22"/>
    <w:rsid w:val="23BD1422"/>
    <w:rsid w:val="267743D4"/>
    <w:rsid w:val="2A8B3997"/>
    <w:rsid w:val="32B3010A"/>
    <w:rsid w:val="33292210"/>
    <w:rsid w:val="346F257B"/>
    <w:rsid w:val="370255E7"/>
    <w:rsid w:val="37FE7B1E"/>
    <w:rsid w:val="3970099F"/>
    <w:rsid w:val="39CF0D96"/>
    <w:rsid w:val="3B6C511E"/>
    <w:rsid w:val="3EBE7E59"/>
    <w:rsid w:val="4A7261EF"/>
    <w:rsid w:val="623065F6"/>
    <w:rsid w:val="6AE00893"/>
    <w:rsid w:val="78E07C73"/>
    <w:rsid w:val="7B777E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page number" w:semiHidden="0" w:uiPriority="0" w:unhideWhenUsed="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semiHidden="0"/>
    <w:lsdException w:name="Table Grid"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rPr>
      <w:sz w:val="18"/>
      <w:szCs w:val="18"/>
      <w:lang w:val="zh-CN"/>
    </w:rPr>
  </w:style>
  <w:style w:type="paragraph" w:styleId="a4">
    <w:name w:val="footer"/>
    <w:basedOn w:val="a"/>
    <w:link w:val="Char0"/>
    <w:uiPriority w:val="99"/>
    <w:unhideWhenUsed/>
    <w:qFormat/>
    <w:pPr>
      <w:tabs>
        <w:tab w:val="center" w:pos="4153"/>
        <w:tab w:val="right" w:pos="8306"/>
      </w:tabs>
      <w:snapToGrid w:val="0"/>
      <w:jc w:val="left"/>
    </w:pPr>
    <w:rPr>
      <w:sz w:val="18"/>
      <w:szCs w:val="18"/>
      <w:lang w:val="zh-CN"/>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lang w:val="zh-CN"/>
    </w:rPr>
  </w:style>
  <w:style w:type="character" w:styleId="a6">
    <w:name w:val="Strong"/>
    <w:uiPriority w:val="22"/>
    <w:qFormat/>
    <w:rPr>
      <w:b/>
    </w:rPr>
  </w:style>
  <w:style w:type="character" w:styleId="a7">
    <w:name w:val="page number"/>
  </w:style>
  <w:style w:type="character" w:customStyle="1" w:styleId="Char">
    <w:name w:val="批注框文本 Char"/>
    <w:link w:val="a3"/>
    <w:uiPriority w:val="99"/>
    <w:semiHidden/>
    <w:qFormat/>
    <w:rPr>
      <w:kern w:val="2"/>
      <w:sz w:val="18"/>
      <w:szCs w:val="18"/>
    </w:rPr>
  </w:style>
  <w:style w:type="character" w:customStyle="1" w:styleId="Char0">
    <w:name w:val="页脚 Char"/>
    <w:link w:val="a4"/>
    <w:uiPriority w:val="99"/>
    <w:rPr>
      <w:kern w:val="2"/>
      <w:sz w:val="18"/>
      <w:szCs w:val="18"/>
    </w:rPr>
  </w:style>
  <w:style w:type="character" w:customStyle="1" w:styleId="Char1">
    <w:name w:val="页眉 Char"/>
    <w:link w:val="a5"/>
    <w:uiPriority w:val="99"/>
    <w:semiHidden/>
    <w:qFormat/>
    <w:rPr>
      <w:kern w:val="2"/>
      <w:sz w:val="18"/>
      <w:szCs w:val="18"/>
    </w:rPr>
  </w:style>
  <w:style w:type="paragraph" w:customStyle="1" w:styleId="1">
    <w:name w:val="列出段落1"/>
    <w:basedOn w:val="a"/>
    <w:autoRedefine/>
    <w:uiPriority w:val="34"/>
    <w:qFormat/>
    <w:pPr>
      <w:ind w:firstLineChars="200" w:firstLine="420"/>
    </w:pPr>
    <w:rPr>
      <w:rFonts w:ascii="Calibri" w:hAnsi="Calibri"/>
      <w:szCs w:val="22"/>
    </w:rPr>
  </w:style>
  <w:style w:type="paragraph" w:customStyle="1" w:styleId="22">
    <w:name w:val="样式 (中文) 方正小标宋简体 三号 黑色 居中 行距: 固定值 22 磅"/>
    <w:basedOn w:val="a"/>
    <w:qFormat/>
    <w:pPr>
      <w:spacing w:line="440" w:lineRule="exact"/>
      <w:jc w:val="center"/>
    </w:pPr>
    <w:rPr>
      <w:rFonts w:eastAsia="方正小标宋简体" w:cs="宋体"/>
      <w:color w:val="000000"/>
      <w:sz w:val="32"/>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page number" w:semiHidden="0" w:uiPriority="0" w:unhideWhenUsed="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Balloon Text" w:semiHidden="0"/>
    <w:lsdException w:name="Table Grid"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rPr>
      <w:sz w:val="18"/>
      <w:szCs w:val="18"/>
      <w:lang w:val="zh-CN"/>
    </w:rPr>
  </w:style>
  <w:style w:type="paragraph" w:styleId="a4">
    <w:name w:val="footer"/>
    <w:basedOn w:val="a"/>
    <w:link w:val="Char0"/>
    <w:uiPriority w:val="99"/>
    <w:unhideWhenUsed/>
    <w:qFormat/>
    <w:pPr>
      <w:tabs>
        <w:tab w:val="center" w:pos="4153"/>
        <w:tab w:val="right" w:pos="8306"/>
      </w:tabs>
      <w:snapToGrid w:val="0"/>
      <w:jc w:val="left"/>
    </w:pPr>
    <w:rPr>
      <w:sz w:val="18"/>
      <w:szCs w:val="18"/>
      <w:lang w:val="zh-CN"/>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lang w:val="zh-CN"/>
    </w:rPr>
  </w:style>
  <w:style w:type="character" w:styleId="a6">
    <w:name w:val="Strong"/>
    <w:uiPriority w:val="22"/>
    <w:qFormat/>
    <w:rPr>
      <w:b/>
    </w:rPr>
  </w:style>
  <w:style w:type="character" w:styleId="a7">
    <w:name w:val="page number"/>
  </w:style>
  <w:style w:type="character" w:customStyle="1" w:styleId="Char">
    <w:name w:val="批注框文本 Char"/>
    <w:link w:val="a3"/>
    <w:uiPriority w:val="99"/>
    <w:semiHidden/>
    <w:qFormat/>
    <w:rPr>
      <w:kern w:val="2"/>
      <w:sz w:val="18"/>
      <w:szCs w:val="18"/>
    </w:rPr>
  </w:style>
  <w:style w:type="character" w:customStyle="1" w:styleId="Char0">
    <w:name w:val="页脚 Char"/>
    <w:link w:val="a4"/>
    <w:uiPriority w:val="99"/>
    <w:rPr>
      <w:kern w:val="2"/>
      <w:sz w:val="18"/>
      <w:szCs w:val="18"/>
    </w:rPr>
  </w:style>
  <w:style w:type="character" w:customStyle="1" w:styleId="Char1">
    <w:name w:val="页眉 Char"/>
    <w:link w:val="a5"/>
    <w:uiPriority w:val="99"/>
    <w:semiHidden/>
    <w:qFormat/>
    <w:rPr>
      <w:kern w:val="2"/>
      <w:sz w:val="18"/>
      <w:szCs w:val="18"/>
    </w:rPr>
  </w:style>
  <w:style w:type="paragraph" w:customStyle="1" w:styleId="1">
    <w:name w:val="列出段落1"/>
    <w:basedOn w:val="a"/>
    <w:autoRedefine/>
    <w:uiPriority w:val="34"/>
    <w:qFormat/>
    <w:pPr>
      <w:ind w:firstLineChars="200" w:firstLine="420"/>
    </w:pPr>
    <w:rPr>
      <w:rFonts w:ascii="Calibri" w:hAnsi="Calibri"/>
      <w:szCs w:val="22"/>
    </w:rPr>
  </w:style>
  <w:style w:type="paragraph" w:customStyle="1" w:styleId="22">
    <w:name w:val="样式 (中文) 方正小标宋简体 三号 黑色 居中 行距: 固定值 22 磅"/>
    <w:basedOn w:val="a"/>
    <w:qFormat/>
    <w:pPr>
      <w:spacing w:line="440" w:lineRule="exact"/>
      <w:jc w:val="center"/>
    </w:pPr>
    <w:rPr>
      <w:rFonts w:eastAsia="方正小标宋简体" w:cs="宋体"/>
      <w:color w:val="000000"/>
      <w:sz w:val="3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TotalTime>
  <Pages>1</Pages>
  <Words>140</Words>
  <Characters>801</Characters>
  <Application>Microsoft Office Word</Application>
  <DocSecurity>0</DocSecurity>
  <Lines>6</Lines>
  <Paragraphs>1</Paragraphs>
  <ScaleCrop>false</ScaleCrop>
  <Company>Legend (Beijing) Limited</Company>
  <LinksUpToDate>false</LinksUpToDate>
  <CharactersWithSpaces>940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××产品质量监督抽查实施细则</dc:title>
  <dc:creator>Legend User</dc:creator>
  <cp:lastModifiedBy>null</cp:lastModifiedBy>
  <cp:revision>5</cp:revision>
  <cp:lastPrinted>2019-12-05T07:53:00Z</cp:lastPrinted>
  <dcterms:created xsi:type="dcterms:W3CDTF">2025-10-30T08:06:00Z</dcterms:created>
  <dcterms:modified xsi:type="dcterms:W3CDTF">2025-10-30T09:11:00Z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KSOSaveFontToCloudKey">
    <vt:lpwstr>550453206_embed</vt:lpwstr>
  </property>
  <property fmtid="{D5CDD505-2E9C-101B-9397-08002B2CF9AE}" pid="4" name="ICV">
    <vt:lpwstr>D692004439444B02B4B2AF72308F1666_13</vt:lpwstr>
  </property>
  <property fmtid="{D5CDD505-2E9C-101B-9397-08002B2CF9AE}" pid="5" name="KSOTemplateDocerSaveRecord">
    <vt:lpwstr>eyJoZGlkIjoiNTI4YzQ0ZGFkMDE2MDJiODA2Y2M2MGM2YWJmOWY1Y2UiLCJ1c2VySWQiOiIyOTMxMTI4NzAifQ==</vt:lpwstr>
  </property>
</Properties>
</file>