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7" w:rsidRDefault="00325E23">
      <w:pPr>
        <w:rPr>
          <w:rFonts w:ascii="仿宋" w:eastAsia="仿宋" w:hAnsi="仿宋"/>
          <w:sz w:val="32"/>
          <w:szCs w:val="32"/>
        </w:rPr>
      </w:pPr>
      <w:r>
        <w:rPr>
          <w:rFonts w:ascii="仿宋" w:eastAsia="仿宋" w:hAnsi="仿宋" w:hint="eastAsia"/>
          <w:sz w:val="32"/>
          <w:szCs w:val="32"/>
        </w:rPr>
        <w:t>附件1：</w:t>
      </w:r>
    </w:p>
    <w:p w:rsidR="00AD1B67" w:rsidRDefault="00325E23" w:rsidP="00287F2A">
      <w:pPr>
        <w:spacing w:beforeLines="50" w:before="156" w:afterLines="50" w:after="156"/>
        <w:jc w:val="center"/>
        <w:outlineLvl w:val="0"/>
        <w:rPr>
          <w:sz w:val="36"/>
          <w:szCs w:val="36"/>
        </w:rPr>
      </w:pPr>
      <w:bookmarkStart w:id="0" w:name="_Toc22707"/>
      <w:bookmarkStart w:id="1" w:name="_Toc30757"/>
      <w:r>
        <w:rPr>
          <w:rFonts w:ascii="黑体" w:eastAsia="黑体" w:hAnsi="黑体" w:hint="eastAsia"/>
          <w:sz w:val="36"/>
          <w:szCs w:val="36"/>
        </w:rPr>
        <w:t>关于实施企业标准“领跑者”制度的工作方案（试行）</w:t>
      </w:r>
      <w:bookmarkEnd w:id="0"/>
      <w:bookmarkEnd w:id="1"/>
    </w:p>
    <w:p w:rsidR="00AD1B67" w:rsidRDefault="00325E2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为落实《天津市深化商事制度改革进一步为企业松绑减负激发企业活力若干措施》（津政办</w:t>
      </w:r>
      <w:proofErr w:type="gramStart"/>
      <w:r>
        <w:rPr>
          <w:rFonts w:ascii="仿宋" w:eastAsia="仿宋" w:hAnsi="仿宋" w:hint="eastAsia"/>
          <w:sz w:val="32"/>
          <w:szCs w:val="32"/>
        </w:rPr>
        <w:t>规</w:t>
      </w:r>
      <w:proofErr w:type="gramEnd"/>
      <w:r>
        <w:rPr>
          <w:rFonts w:ascii="仿宋" w:eastAsia="仿宋" w:hAnsi="仿宋" w:hint="eastAsia"/>
          <w:sz w:val="32"/>
          <w:szCs w:val="32"/>
        </w:rPr>
        <w:t>〔2020〕23号）和《天津市标准化委员会办公室关于印发&lt;实施企业标准“领跑者”制度行动计划&gt;的通知》（</w:t>
      </w:r>
      <w:proofErr w:type="gramStart"/>
      <w:r>
        <w:rPr>
          <w:rFonts w:ascii="仿宋" w:eastAsia="仿宋" w:hAnsi="仿宋" w:hint="eastAsia"/>
          <w:sz w:val="32"/>
          <w:szCs w:val="32"/>
        </w:rPr>
        <w:t>津标委办</w:t>
      </w:r>
      <w:proofErr w:type="gramEnd"/>
      <w:r>
        <w:rPr>
          <w:rFonts w:ascii="仿宋" w:eastAsia="仿宋" w:hAnsi="仿宋" w:hint="eastAsia"/>
          <w:sz w:val="32"/>
          <w:szCs w:val="32"/>
        </w:rPr>
        <w:t>发〔2021〕1号）要求，强化企业标准引领，树立行业标杆，促进天津市全面质量提升，推动建立天津市企业标准“领跑者”制度，制定本工作方案。</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2" w:name="_Toc31871"/>
      <w:bookmarkStart w:id="3" w:name="_Toc19462"/>
      <w:r>
        <w:rPr>
          <w:rFonts w:ascii="黑体" w:eastAsia="黑体" w:hAnsi="黑体" w:hint="eastAsia"/>
          <w:sz w:val="32"/>
          <w:szCs w:val="32"/>
        </w:rPr>
        <w:t>一、基本思路</w:t>
      </w:r>
      <w:bookmarkEnd w:id="2"/>
      <w:bookmarkEnd w:id="3"/>
    </w:p>
    <w:p w:rsidR="00AD1B67" w:rsidRDefault="00325E2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遵循需求导向、公开公平、创新驱动、企业主体和规范引导的原则，以企业产品和服务标准自我声明公开为基础，发挥市场主导作用，鼓励检验检测及标准化技术机构、行业协会、产业联盟、平台型企业等第三方评估机构开展企业标准水平评估，发布企业标准排行榜，确定企业标准领跑者。建立激励机制，</w:t>
      </w:r>
      <w:r>
        <w:rPr>
          <w:rFonts w:ascii="仿宋_GB2312" w:eastAsia="仿宋_GB2312" w:hAnsi="仿宋_GB2312" w:cs="仿宋_GB2312" w:hint="eastAsia"/>
          <w:sz w:val="32"/>
          <w:szCs w:val="32"/>
        </w:rPr>
        <w:t>鼓励企业提高产品和服务标准水平，以标准优势巩固技术优势，以标准领跑带动企业和产业领跑，增强产品和服务竞争力，</w:t>
      </w:r>
      <w:r>
        <w:rPr>
          <w:rFonts w:ascii="仿宋" w:eastAsia="仿宋" w:hAnsi="仿宋" w:hint="eastAsia"/>
          <w:sz w:val="32"/>
          <w:szCs w:val="32"/>
        </w:rPr>
        <w:t>让广大消费者享受更好的产品和服务</w:t>
      </w:r>
      <w:r>
        <w:rPr>
          <w:rFonts w:ascii="仿宋_GB2312" w:eastAsia="仿宋_GB2312" w:hAnsi="仿宋_GB2312" w:cs="仿宋_GB2312" w:hint="eastAsia"/>
          <w:sz w:val="32"/>
          <w:szCs w:val="32"/>
        </w:rPr>
        <w:t>。</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4" w:name="_Toc17331"/>
      <w:bookmarkStart w:id="5" w:name="_Toc16614"/>
      <w:r>
        <w:rPr>
          <w:rFonts w:ascii="黑体" w:eastAsia="黑体" w:hAnsi="黑体" w:hint="eastAsia"/>
          <w:sz w:val="32"/>
          <w:szCs w:val="32"/>
        </w:rPr>
        <w:t>二、职责分工</w:t>
      </w:r>
      <w:bookmarkEnd w:id="4"/>
      <w:bookmarkEnd w:id="5"/>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1.工作机构</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市标准化研究院作为企业标准“领跑者”的工作机构，紧密围绕市市场监管委发布的年度重点实施领域，公开征集</w:t>
      </w:r>
      <w:r>
        <w:rPr>
          <w:rFonts w:ascii="仿宋" w:eastAsia="仿宋" w:hAnsi="仿宋" w:hint="eastAsia"/>
          <w:color w:val="000000" w:themeColor="text1"/>
          <w:sz w:val="32"/>
          <w:szCs w:val="32"/>
        </w:rPr>
        <w:lastRenderedPageBreak/>
        <w:t>企业标准“领跑者”评估机构和评估方案；组织相关领域专家对评估方案进行评审，确定评估机构，并</w:t>
      </w:r>
      <w:r>
        <w:rPr>
          <w:rFonts w:ascii="仿宋_GB2312" w:eastAsia="仿宋_GB2312" w:hAnsi="仿宋_GB2312" w:cs="仿宋_GB2312" w:hint="eastAsia"/>
          <w:color w:val="000000"/>
          <w:kern w:val="0"/>
          <w:sz w:val="31"/>
          <w:szCs w:val="31"/>
          <w:lang w:bidi="ar"/>
        </w:rPr>
        <w:t>向社会公示</w:t>
      </w:r>
      <w:r>
        <w:rPr>
          <w:rFonts w:ascii="仿宋" w:eastAsia="仿宋" w:hAnsi="仿宋" w:hint="eastAsia"/>
          <w:color w:val="000000" w:themeColor="text1"/>
          <w:sz w:val="32"/>
          <w:szCs w:val="32"/>
        </w:rPr>
        <w:t>；对评估机构进行动态管理；为制定政策、编制评估方案等提供技术支撑。</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市市场监管委网站（http://scjg.tj.gov.cn/）为天津市企业标准“领跑者”工作信息发布平台。</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2.评估机构</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评估机构应是在天津市</w:t>
      </w:r>
      <w:r w:rsidRPr="004E7EA6">
        <w:rPr>
          <w:rFonts w:ascii="仿宋" w:eastAsia="仿宋" w:hAnsi="仿宋" w:hint="eastAsia"/>
          <w:color w:val="000000" w:themeColor="text1"/>
          <w:sz w:val="32"/>
          <w:szCs w:val="32"/>
        </w:rPr>
        <w:t>行政区域内注册并具有独立法人资格的标</w:t>
      </w:r>
      <w:r>
        <w:rPr>
          <w:rFonts w:ascii="仿宋" w:eastAsia="仿宋" w:hAnsi="仿宋" w:hint="eastAsia"/>
          <w:color w:val="000000" w:themeColor="text1"/>
          <w:sz w:val="32"/>
          <w:szCs w:val="32"/>
        </w:rPr>
        <w:t>准化技术机构、科研机构、行业协会、检测机构、认证机构、咨询服务机构等，充分了解行业情况和相关标准化工作</w:t>
      </w:r>
      <w:r w:rsidRPr="009D30A5">
        <w:rPr>
          <w:rFonts w:ascii="仿宋" w:eastAsia="仿宋" w:hAnsi="仿宋" w:hint="eastAsia"/>
          <w:color w:val="000000" w:themeColor="text1"/>
          <w:sz w:val="32"/>
          <w:szCs w:val="32"/>
        </w:rPr>
        <w:t>。</w:t>
      </w:r>
      <w:r w:rsidR="004E7EA6" w:rsidRPr="009D30A5">
        <w:rPr>
          <w:rFonts w:ascii="仿宋" w:eastAsia="仿宋" w:hAnsi="仿宋" w:hint="eastAsia"/>
          <w:color w:val="000000" w:themeColor="text1"/>
          <w:sz w:val="32"/>
          <w:szCs w:val="32"/>
        </w:rPr>
        <w:t>鼓励全国性行业协会商会</w:t>
      </w:r>
      <w:r w:rsidR="000F2A98" w:rsidRPr="009D30A5">
        <w:rPr>
          <w:rFonts w:ascii="仿宋" w:eastAsia="仿宋" w:hAnsi="仿宋" w:hint="eastAsia"/>
          <w:color w:val="000000" w:themeColor="text1"/>
          <w:sz w:val="32"/>
          <w:szCs w:val="32"/>
        </w:rPr>
        <w:t>驻津</w:t>
      </w:r>
      <w:r w:rsidR="004E7EA6" w:rsidRPr="009D30A5">
        <w:rPr>
          <w:rFonts w:ascii="仿宋" w:eastAsia="仿宋" w:hAnsi="仿宋" w:hint="eastAsia"/>
          <w:color w:val="000000" w:themeColor="text1"/>
          <w:sz w:val="32"/>
          <w:szCs w:val="32"/>
        </w:rPr>
        <w:t>分会</w:t>
      </w:r>
      <w:r w:rsidR="00E933EC" w:rsidRPr="009D30A5">
        <w:rPr>
          <w:rFonts w:ascii="仿宋" w:eastAsia="仿宋" w:hAnsi="仿宋" w:hint="eastAsia"/>
          <w:color w:val="000000" w:themeColor="text1"/>
          <w:sz w:val="32"/>
          <w:szCs w:val="32"/>
        </w:rPr>
        <w:t>积极承担评估机构的工作。</w:t>
      </w:r>
      <w:r>
        <w:rPr>
          <w:rFonts w:ascii="仿宋" w:eastAsia="仿宋" w:hAnsi="仿宋" w:hint="eastAsia"/>
          <w:color w:val="000000" w:themeColor="text1"/>
          <w:sz w:val="32"/>
          <w:szCs w:val="32"/>
        </w:rPr>
        <w:t>评估机构是开展企业标准“领跑者”评估工作的主体，工作内容包括：编制天津市企业标准“领跑者”评估方案；依据评估方案开展企业标准“领跑者”评估工作，并发布企业标准“领跑者”名单；对企业标准“领跑者”及其产品或服务标准信息实施动态管理。评估机构应当与被评估企业无利益或竞争关系，具备承担发布结果法律责任的能力，不得向企业收取任何费用。</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6" w:name="_Toc18619"/>
      <w:bookmarkStart w:id="7" w:name="_Toc11695"/>
      <w:r>
        <w:rPr>
          <w:rFonts w:ascii="黑体" w:eastAsia="黑体" w:hAnsi="黑体" w:hint="eastAsia"/>
          <w:sz w:val="32"/>
          <w:szCs w:val="32"/>
        </w:rPr>
        <w:t>三、实施程序</w:t>
      </w:r>
      <w:bookmarkEnd w:id="6"/>
      <w:bookmarkEnd w:id="7"/>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bookmarkStart w:id="8" w:name="_Toc7174"/>
      <w:r>
        <w:rPr>
          <w:rFonts w:ascii="仿宋" w:eastAsia="仿宋" w:hAnsi="仿宋" w:hint="eastAsia"/>
          <w:b/>
          <w:bCs/>
          <w:color w:val="000000" w:themeColor="text1"/>
          <w:sz w:val="32"/>
          <w:szCs w:val="32"/>
        </w:rPr>
        <w:t>（一）征集评估机构和评估方案</w:t>
      </w:r>
      <w:bookmarkEnd w:id="8"/>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1.广泛征集 </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工作机构围绕年度企业标准“领跑者”重点实施领域，面向有关专业技术机构，公开征集评估机构及评估方案。</w:t>
      </w:r>
    </w:p>
    <w:p w:rsidR="00AD1B67" w:rsidRDefault="00325E23">
      <w:pPr>
        <w:widowControl/>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评估机构应结合自身优势，基于不同产品和服务的特点，以企业标准自我声明的相关信息为基础，合理确定领跑</w:t>
      </w:r>
      <w:proofErr w:type="gramStart"/>
      <w:r>
        <w:rPr>
          <w:rFonts w:ascii="仿宋" w:eastAsia="仿宋" w:hAnsi="仿宋" w:hint="eastAsia"/>
          <w:color w:val="000000" w:themeColor="text1"/>
          <w:sz w:val="32"/>
          <w:szCs w:val="32"/>
        </w:rPr>
        <w:t>者核心</w:t>
      </w:r>
      <w:proofErr w:type="gramEnd"/>
      <w:r>
        <w:rPr>
          <w:rFonts w:ascii="仿宋" w:eastAsia="仿宋" w:hAnsi="仿宋" w:hint="eastAsia"/>
          <w:color w:val="000000" w:themeColor="text1"/>
          <w:sz w:val="32"/>
          <w:szCs w:val="32"/>
        </w:rPr>
        <w:t>指标，科学建立“领跑者”评估方法，编制评估方案。（评估方案模板见附件2，具体内容可参照企业标准领跑者管理信息平台中评估方案编制指南编写。https://www.qybzlp.com/）</w:t>
      </w:r>
    </w:p>
    <w:p w:rsidR="00AD1B67" w:rsidRDefault="00325E23">
      <w:pPr>
        <w:adjustRightInd w:val="0"/>
        <w:snapToGrid w:val="0"/>
        <w:spacing w:line="360" w:lineRule="auto"/>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2.方案评审 </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工作机构组织开展企业标准“领跑者”评估方案的评审工作，评审包括形式审查和专家评审。工作机构负责评估方案的形式审查，并形成初审意见。未通过形式审查的不再进行专家评审。</w:t>
      </w:r>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工作机构组织相关领域专家组成评审专家组，每个领域的方案评审专家应不少于五人，并且评审专家不得为方案编制单位人员。评审专家组根据产品所属领域，按照企业标准“领跑者”评估方案</w:t>
      </w:r>
      <w:r>
        <w:rPr>
          <w:rFonts w:ascii="仿宋" w:eastAsia="仿宋" w:hAnsi="仿宋" w:hint="eastAsia"/>
          <w:sz w:val="32"/>
          <w:szCs w:val="32"/>
        </w:rPr>
        <w:t>评审要求</w:t>
      </w:r>
      <w:r>
        <w:rPr>
          <w:rFonts w:ascii="仿宋" w:eastAsia="仿宋" w:hAnsi="仿宋" w:hint="eastAsia"/>
          <w:color w:val="000000" w:themeColor="text1"/>
          <w:sz w:val="32"/>
          <w:szCs w:val="32"/>
        </w:rPr>
        <w:t>，从产品和服务类别可行性、指标选取科学性、评估方法和程序公正性、评估机构及人员权威性等方面开展具体评审，并形成评审意见。</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3.公示和公布评估机构及评估方案</w:t>
      </w:r>
    </w:p>
    <w:p w:rsidR="00AD1B67" w:rsidRDefault="00325E23">
      <w:pPr>
        <w:adjustRightInd w:val="0"/>
        <w:snapToGrid w:val="0"/>
        <w:spacing w:line="360" w:lineRule="auto"/>
        <w:ind w:firstLineChars="200" w:firstLine="640"/>
        <w:rPr>
          <w:rFonts w:ascii="仿宋_GB2312" w:eastAsia="仿宋_GB2312" w:hAnsi="仿宋_GB2312" w:cs="仿宋_GB2312"/>
          <w:color w:val="000000"/>
          <w:kern w:val="0"/>
          <w:sz w:val="31"/>
          <w:szCs w:val="31"/>
          <w:lang w:bidi="ar"/>
        </w:rPr>
      </w:pPr>
      <w:r>
        <w:rPr>
          <w:rFonts w:ascii="仿宋" w:eastAsia="仿宋" w:hAnsi="仿宋" w:hint="eastAsia"/>
          <w:color w:val="000000" w:themeColor="text1"/>
          <w:sz w:val="32"/>
          <w:szCs w:val="32"/>
        </w:rPr>
        <w:t>工作机构对通过评审的评估机构和评估方案进行公示，公示期不少于 5个工作日。公示期间无异议的，由工作机构公布评估方案及评估机构名单；公示期有异议由工作机构提请专家组商定并给出处理意见。</w:t>
      </w:r>
    </w:p>
    <w:p w:rsidR="00AD1B67" w:rsidRDefault="00325E23">
      <w:pPr>
        <w:widowControl/>
        <w:adjustRightInd w:val="0"/>
        <w:snapToGrid w:val="0"/>
        <w:spacing w:line="360" w:lineRule="auto"/>
        <w:ind w:firstLineChars="200" w:firstLine="643"/>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 xml:space="preserve">（二）开展企业标准“领跑者”评估 </w:t>
      </w:r>
    </w:p>
    <w:p w:rsidR="00AD1B67" w:rsidRDefault="00325E23">
      <w:pPr>
        <w:adjustRightInd w:val="0"/>
        <w:snapToGrid w:val="0"/>
        <w:spacing w:line="360" w:lineRule="auto"/>
        <w:ind w:firstLineChars="200" w:firstLine="643"/>
        <w:outlineLvl w:val="2"/>
        <w:rPr>
          <w:rFonts w:ascii="仿宋_GB2312" w:eastAsia="仿宋_GB2312" w:hAnsi="仿宋_GB2312" w:cs="仿宋_GB2312"/>
          <w:b/>
          <w:bCs/>
          <w:color w:val="000000"/>
          <w:kern w:val="0"/>
          <w:sz w:val="31"/>
          <w:szCs w:val="31"/>
          <w:lang w:bidi="ar"/>
        </w:rPr>
      </w:pPr>
      <w:r>
        <w:rPr>
          <w:rFonts w:ascii="仿宋" w:eastAsia="仿宋" w:hAnsi="仿宋" w:hint="eastAsia"/>
          <w:b/>
          <w:bCs/>
          <w:color w:val="000000" w:themeColor="text1"/>
          <w:sz w:val="32"/>
          <w:szCs w:val="32"/>
        </w:rPr>
        <w:t>1.确定</w:t>
      </w:r>
      <w:r>
        <w:rPr>
          <w:rFonts w:ascii="仿宋_GB2312" w:eastAsia="仿宋_GB2312" w:hAnsi="仿宋_GB2312" w:cs="仿宋_GB2312" w:hint="eastAsia"/>
          <w:b/>
          <w:bCs/>
          <w:color w:val="000000"/>
          <w:kern w:val="0"/>
          <w:sz w:val="31"/>
          <w:szCs w:val="31"/>
          <w:lang w:bidi="ar"/>
        </w:rPr>
        <w:t>评估对象</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 xml:space="preserve">企业标准“领跑者”评估对象为企业标准信息公共服务平台（ </w:t>
      </w:r>
      <w:hyperlink r:id="rId8" w:history="1">
        <w:r>
          <w:rPr>
            <w:rFonts w:ascii="仿宋_GB2312" w:eastAsia="仿宋_GB2312" w:hAnsi="仿宋_GB2312" w:cs="仿宋_GB2312" w:hint="eastAsia"/>
            <w:color w:val="000000"/>
            <w:kern w:val="0"/>
            <w:sz w:val="31"/>
            <w:szCs w:val="31"/>
            <w:lang w:bidi="ar"/>
          </w:rPr>
          <w:t>http://www.cpbz.gov.cn/）中，天津市行政区域内注册的企业所声明公开的企业标准，现行有效且</w:t>
        </w:r>
        <w:r>
          <w:rPr>
            <w:rFonts w:ascii="Times New Roman" w:eastAsia="仿宋_GB2312" w:hAnsi="Times New Roman" w:hint="eastAsia"/>
            <w:sz w:val="32"/>
            <w:szCs w:val="32"/>
          </w:rPr>
          <w:t>实施至少</w:t>
        </w:r>
        <w:r>
          <w:rPr>
            <w:rFonts w:ascii="Times New Roman" w:eastAsia="仿宋_GB2312" w:hAnsi="Times New Roman" w:hint="eastAsia"/>
            <w:sz w:val="32"/>
            <w:szCs w:val="32"/>
          </w:rPr>
          <w:t>3</w:t>
        </w:r>
        <w:r>
          <w:rPr>
            <w:rFonts w:ascii="Times New Roman" w:eastAsia="仿宋_GB2312" w:hAnsi="Times New Roman" w:hint="eastAsia"/>
            <w:sz w:val="32"/>
            <w:szCs w:val="32"/>
          </w:rPr>
          <w:t>个月以上</w:t>
        </w:r>
        <w:r>
          <w:rPr>
            <w:rFonts w:ascii="仿宋_GB2312" w:eastAsia="仿宋_GB2312" w:hAnsi="仿宋_GB2312" w:cs="仿宋_GB2312" w:hint="eastAsia"/>
            <w:color w:val="000000"/>
            <w:kern w:val="0"/>
            <w:sz w:val="31"/>
            <w:szCs w:val="31"/>
            <w:lang w:bidi="ar"/>
          </w:rPr>
          <w:t>。</w:t>
        </w:r>
      </w:hyperlink>
    </w:p>
    <w:p w:rsidR="00AD1B67" w:rsidRDefault="00325E23">
      <w:pPr>
        <w:adjustRightInd w:val="0"/>
        <w:snapToGrid w:val="0"/>
        <w:spacing w:line="360" w:lineRule="auto"/>
        <w:ind w:firstLineChars="200" w:firstLine="620"/>
        <w:rPr>
          <w:rFonts w:ascii="仿宋" w:eastAsia="仿宋" w:hAnsi="仿宋"/>
          <w:color w:val="FF0000"/>
          <w:sz w:val="32"/>
          <w:szCs w:val="32"/>
        </w:rPr>
      </w:pPr>
      <w:r>
        <w:rPr>
          <w:rFonts w:ascii="仿宋_GB2312" w:eastAsia="仿宋_GB2312" w:hAnsi="仿宋_GB2312" w:cs="仿宋_GB2312" w:hint="eastAsia"/>
          <w:color w:val="000000"/>
          <w:kern w:val="0"/>
          <w:sz w:val="31"/>
          <w:szCs w:val="31"/>
          <w:lang w:bidi="ar"/>
        </w:rPr>
        <w:t>企业标准“领跑者”应当具备下列条件：</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（1）在天津市注册的企业；</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（2）企业标准严于国家标准、行业标准，并达到国际先进水平或国内领先水平；</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（3）按照自我声明公开标准生产的产品或提供的服务实现规模化、产业化，市场占有率较高，实施效益好；</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（4）近三年内未发生重大产品（服务）质量、安全健康、环境保护等事故。</w:t>
      </w:r>
    </w:p>
    <w:p w:rsidR="00AD1B67" w:rsidRDefault="00325E23">
      <w:pPr>
        <w:adjustRightInd w:val="0"/>
        <w:snapToGrid w:val="0"/>
        <w:spacing w:line="360" w:lineRule="auto"/>
        <w:ind w:firstLineChars="200" w:firstLine="622"/>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b/>
          <w:bCs/>
          <w:color w:val="000000"/>
          <w:kern w:val="0"/>
          <w:sz w:val="31"/>
          <w:szCs w:val="31"/>
          <w:lang w:bidi="ar"/>
        </w:rPr>
        <w:t>2.合</w:t>
      </w:r>
      <w:proofErr w:type="gramStart"/>
      <w:r>
        <w:rPr>
          <w:rFonts w:ascii="仿宋_GB2312" w:eastAsia="仿宋_GB2312" w:hAnsi="仿宋_GB2312" w:cs="仿宋_GB2312" w:hint="eastAsia"/>
          <w:b/>
          <w:bCs/>
          <w:color w:val="000000"/>
          <w:kern w:val="0"/>
          <w:sz w:val="31"/>
          <w:szCs w:val="31"/>
          <w:lang w:bidi="ar"/>
        </w:rPr>
        <w:t>规</w:t>
      </w:r>
      <w:proofErr w:type="gramEnd"/>
      <w:r>
        <w:rPr>
          <w:rFonts w:ascii="仿宋_GB2312" w:eastAsia="仿宋_GB2312" w:hAnsi="仿宋_GB2312" w:cs="仿宋_GB2312" w:hint="eastAsia"/>
          <w:b/>
          <w:bCs/>
          <w:color w:val="000000"/>
          <w:kern w:val="0"/>
          <w:sz w:val="31"/>
          <w:szCs w:val="31"/>
          <w:lang w:bidi="ar"/>
        </w:rPr>
        <w:t>性判定</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判定企业标准是否属于所评估领域的产品标准，企标编号是否符合标准化法及相关法律、法规及文件的规定，企标文本是否全文公开，是否规范，是否基本符合GB/T 1.1的规定。存在以上不合</w:t>
      </w:r>
      <w:proofErr w:type="gramStart"/>
      <w:r>
        <w:rPr>
          <w:rFonts w:ascii="仿宋_GB2312" w:eastAsia="仿宋_GB2312" w:hAnsi="仿宋_GB2312" w:cs="仿宋_GB2312" w:hint="eastAsia"/>
          <w:color w:val="000000"/>
          <w:kern w:val="0"/>
          <w:sz w:val="31"/>
          <w:szCs w:val="31"/>
          <w:lang w:bidi="ar"/>
        </w:rPr>
        <w:t>规</w:t>
      </w:r>
      <w:proofErr w:type="gramEnd"/>
      <w:r>
        <w:rPr>
          <w:rFonts w:ascii="仿宋_GB2312" w:eastAsia="仿宋_GB2312" w:hAnsi="仿宋_GB2312" w:cs="仿宋_GB2312" w:hint="eastAsia"/>
          <w:color w:val="000000"/>
          <w:kern w:val="0"/>
          <w:sz w:val="31"/>
          <w:szCs w:val="31"/>
          <w:lang w:bidi="ar"/>
        </w:rPr>
        <w:t>的企业标准将不进入下一阶段。</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3.公示参评企业标准信息</w:t>
      </w:r>
    </w:p>
    <w:p w:rsidR="00AD1B67" w:rsidRDefault="00325E23">
      <w:pPr>
        <w:adjustRightInd w:val="0"/>
        <w:snapToGrid w:val="0"/>
        <w:spacing w:line="360" w:lineRule="auto"/>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公示</w:t>
      </w:r>
      <w:r w:rsidR="00287F2A" w:rsidRPr="00287F2A">
        <w:rPr>
          <w:rFonts w:ascii="仿宋_GB2312" w:eastAsia="仿宋_GB2312" w:hAnsi="仿宋_GB2312" w:cs="仿宋_GB2312" w:hint="eastAsia"/>
          <w:color w:val="000000"/>
          <w:kern w:val="0"/>
          <w:sz w:val="31"/>
          <w:szCs w:val="31"/>
          <w:lang w:bidi="ar"/>
        </w:rPr>
        <w:t>参评</w:t>
      </w:r>
      <w:r>
        <w:rPr>
          <w:rFonts w:ascii="仿宋_GB2312" w:eastAsia="仿宋_GB2312" w:hAnsi="仿宋_GB2312" w:cs="仿宋_GB2312" w:hint="eastAsia"/>
          <w:color w:val="000000"/>
          <w:kern w:val="0"/>
          <w:sz w:val="31"/>
          <w:szCs w:val="31"/>
          <w:lang w:bidi="ar"/>
        </w:rPr>
        <w:t>企业标准相关信息，包括：企业名称、企业标准名称、企业标准编号、企业注册地所在区。公示期间不愿或不适宜参加企业标准“领跑者”评估的企业，经沟通确认后将不参加评估。</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4.开展评估工作</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评估工作分为初评和复评两个阶段。</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初评阶段：由评估机构按照评估方案，对公示后的企业标准进行评估，形成企业标准“领跑者”复评阶段入围名单。</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复评阶段：入围企业标准“领跑者”复评阶段的企业，向评估机构提交其产品或服务的相关证明材料，包括但不限于：</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（1）企业标准符合性证明；</w:t>
      </w:r>
    </w:p>
    <w:p w:rsidR="00AD1B67" w:rsidRDefault="00325E23" w:rsidP="008F5229">
      <w:pPr>
        <w:adjustRightInd w:val="0"/>
        <w:snapToGrid w:val="0"/>
        <w:spacing w:line="360" w:lineRule="auto"/>
        <w:ind w:leftChars="296" w:left="622"/>
        <w:rPr>
          <w:rFonts w:ascii="仿宋_GB2312" w:eastAsia="仿宋_GB2312"/>
          <w:sz w:val="32"/>
          <w:szCs w:val="32"/>
        </w:rPr>
      </w:pPr>
      <w:r>
        <w:rPr>
          <w:rFonts w:ascii="仿宋_GB2312" w:eastAsia="仿宋_GB2312" w:hAnsi="仿宋_GB2312" w:cs="仿宋_GB2312" w:hint="eastAsia"/>
          <w:color w:val="000000"/>
          <w:kern w:val="0"/>
          <w:sz w:val="31"/>
          <w:szCs w:val="31"/>
          <w:lang w:bidi="ar"/>
        </w:rPr>
        <w:t>（2）规模化、产业化程度及市场占有率、实施效益等</w:t>
      </w:r>
      <w:r>
        <w:rPr>
          <w:rFonts w:ascii="仿宋_GB2312" w:eastAsia="仿宋_GB2312" w:hint="eastAsia"/>
          <w:sz w:val="32"/>
          <w:szCs w:val="32"/>
        </w:rPr>
        <w:t>。（3）关于所提供资料及数据真实性的承诺书。</w:t>
      </w:r>
    </w:p>
    <w:p w:rsidR="00AD1B67" w:rsidRDefault="00325E23">
      <w:pPr>
        <w:adjustRightInd w:val="0"/>
        <w:snapToGrid w:val="0"/>
        <w:spacing w:line="360" w:lineRule="auto"/>
        <w:ind w:firstLineChars="200" w:firstLine="640"/>
        <w:rPr>
          <w:rFonts w:ascii="仿宋_GB2312" w:eastAsia="仿宋_GB2312" w:hAnsi="仿宋_GB2312" w:cs="仿宋_GB2312"/>
          <w:color w:val="000000"/>
          <w:kern w:val="0"/>
          <w:sz w:val="31"/>
          <w:szCs w:val="31"/>
          <w:lang w:bidi="ar"/>
        </w:rPr>
      </w:pPr>
      <w:r>
        <w:rPr>
          <w:rFonts w:ascii="仿宋_GB2312" w:eastAsia="仿宋_GB2312" w:hint="eastAsia"/>
          <w:sz w:val="32"/>
          <w:szCs w:val="32"/>
        </w:rPr>
        <w:t>评估机构根据企业提交的资料，</w:t>
      </w:r>
      <w:r>
        <w:rPr>
          <w:rFonts w:ascii="仿宋_GB2312" w:eastAsia="仿宋_GB2312" w:hAnsi="仿宋_GB2312" w:cs="仿宋_GB2312" w:hint="eastAsia"/>
          <w:color w:val="000000"/>
          <w:kern w:val="0"/>
          <w:sz w:val="31"/>
          <w:szCs w:val="31"/>
          <w:lang w:bidi="ar"/>
        </w:rPr>
        <w:t>进行评估。结合初评阶段的结果，形成最终企业标准“领跑者”入围名单。</w:t>
      </w:r>
    </w:p>
    <w:p w:rsidR="00AD1B67" w:rsidRDefault="00325E23">
      <w:pPr>
        <w:adjustRightInd w:val="0"/>
        <w:snapToGrid w:val="0"/>
        <w:spacing w:line="360" w:lineRule="auto"/>
        <w:ind w:firstLineChars="200" w:firstLine="622"/>
        <w:rPr>
          <w:rFonts w:ascii="仿宋_GB2312" w:eastAsia="仿宋_GB2312" w:hAnsi="仿宋_GB2312" w:cs="仿宋_GB2312"/>
          <w:b/>
          <w:bCs/>
          <w:color w:val="000000"/>
          <w:kern w:val="0"/>
          <w:sz w:val="31"/>
          <w:szCs w:val="31"/>
          <w:lang w:bidi="ar"/>
        </w:rPr>
      </w:pPr>
      <w:r>
        <w:rPr>
          <w:rFonts w:ascii="仿宋_GB2312" w:eastAsia="仿宋_GB2312" w:hAnsi="仿宋_GB2312" w:cs="仿宋_GB2312" w:hint="eastAsia"/>
          <w:b/>
          <w:bCs/>
          <w:color w:val="000000"/>
          <w:kern w:val="0"/>
          <w:sz w:val="31"/>
          <w:szCs w:val="31"/>
          <w:lang w:bidi="ar"/>
        </w:rPr>
        <w:t>（三）公示和发布</w:t>
      </w:r>
      <w:r>
        <w:rPr>
          <w:rFonts w:ascii="仿宋_GB2312" w:eastAsia="仿宋_GB2312" w:hint="eastAsia"/>
          <w:b/>
          <w:bCs/>
          <w:sz w:val="32"/>
          <w:szCs w:val="32"/>
        </w:rPr>
        <w:t>企业标准“领跑者”名单</w:t>
      </w:r>
    </w:p>
    <w:p w:rsidR="00AD1B67" w:rsidRDefault="00325E2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评估机构同入榜企业充分沟通并征得其同意后，按照时限要求将企业标准“领跑者”评估结果提交给工作机构汇总。工作机构对评估结果进行审查及公示，公示时间一般不少于10个工作日。公示无异议，发布企业标准“领跑者”名单。 </w:t>
      </w:r>
    </w:p>
    <w:p w:rsidR="00AD1B67" w:rsidRDefault="00325E23">
      <w:pPr>
        <w:adjustRightInd w:val="0"/>
        <w:snapToGrid w:val="0"/>
        <w:spacing w:line="360" w:lineRule="auto"/>
        <w:ind w:firstLineChars="200" w:firstLine="640"/>
        <w:outlineLvl w:val="0"/>
        <w:rPr>
          <w:rFonts w:ascii="黑体" w:eastAsia="黑体" w:hAnsi="黑体"/>
          <w:sz w:val="32"/>
          <w:szCs w:val="32"/>
        </w:rPr>
      </w:pPr>
      <w:bookmarkStart w:id="9" w:name="_Toc24657"/>
      <w:bookmarkStart w:id="10" w:name="_Toc28178"/>
      <w:r>
        <w:rPr>
          <w:rFonts w:ascii="黑体" w:eastAsia="黑体" w:hAnsi="黑体" w:hint="eastAsia"/>
          <w:sz w:val="32"/>
          <w:szCs w:val="32"/>
        </w:rPr>
        <w:t>四、动态管理</w:t>
      </w:r>
      <w:bookmarkEnd w:id="9"/>
      <w:bookmarkEnd w:id="10"/>
    </w:p>
    <w:p w:rsidR="00AD1B67" w:rsidRDefault="00325E23">
      <w:pPr>
        <w:widowControl/>
        <w:adjustRightInd w:val="0"/>
        <w:snapToGrid w:val="0"/>
        <w:spacing w:line="360" w:lineRule="auto"/>
        <w:ind w:firstLineChars="200" w:firstLine="643"/>
        <w:jc w:val="left"/>
        <w:outlineLvl w:val="1"/>
        <w:rPr>
          <w:rFonts w:ascii="仿宋" w:eastAsia="仿宋" w:hAnsi="仿宋"/>
          <w:b/>
          <w:bCs/>
          <w:color w:val="000000" w:themeColor="text1"/>
          <w:sz w:val="32"/>
          <w:szCs w:val="32"/>
        </w:rPr>
      </w:pPr>
      <w:bookmarkStart w:id="11" w:name="_Toc14908"/>
      <w:bookmarkStart w:id="12" w:name="_Toc10694"/>
      <w:r>
        <w:rPr>
          <w:rFonts w:ascii="仿宋" w:eastAsia="仿宋" w:hAnsi="仿宋" w:hint="eastAsia"/>
          <w:b/>
          <w:bCs/>
          <w:color w:val="000000" w:themeColor="text1"/>
          <w:sz w:val="32"/>
          <w:szCs w:val="32"/>
        </w:rPr>
        <w:t>(一）评估机构退出机制</w:t>
      </w:r>
      <w:bookmarkEnd w:id="11"/>
      <w:bookmarkEnd w:id="12"/>
    </w:p>
    <w:p w:rsidR="00AD1B67" w:rsidRDefault="00325E23">
      <w:pPr>
        <w:widowControl/>
        <w:adjustRightInd w:val="0"/>
        <w:snapToGrid w:val="0"/>
        <w:spacing w:line="360" w:lineRule="auto"/>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在企业标准“领跑者”评估工作中，相关机构或个人出现违规收费、徇私舞弊、滥用职权等诚信与公正问题，或由于其他原因不再承担企业标准领跑者评估工作的，工作机构应取消该评估机构。</w:t>
      </w:r>
    </w:p>
    <w:p w:rsidR="00AD1B67" w:rsidRDefault="00325E23">
      <w:pPr>
        <w:adjustRightInd w:val="0"/>
        <w:snapToGrid w:val="0"/>
        <w:spacing w:line="360" w:lineRule="auto"/>
        <w:ind w:firstLineChars="200" w:firstLine="643"/>
        <w:outlineLvl w:val="1"/>
        <w:rPr>
          <w:rFonts w:ascii="仿宋" w:eastAsia="仿宋" w:hAnsi="仿宋"/>
          <w:b/>
          <w:bCs/>
          <w:color w:val="000000" w:themeColor="text1"/>
          <w:sz w:val="32"/>
          <w:szCs w:val="32"/>
        </w:rPr>
      </w:pPr>
      <w:bookmarkStart w:id="13" w:name="_Toc28473"/>
      <w:bookmarkStart w:id="14" w:name="_Toc19669"/>
      <w:r>
        <w:rPr>
          <w:rFonts w:ascii="仿宋" w:eastAsia="仿宋" w:hAnsi="仿宋" w:hint="eastAsia"/>
          <w:b/>
          <w:bCs/>
          <w:color w:val="000000" w:themeColor="text1"/>
          <w:sz w:val="32"/>
          <w:szCs w:val="32"/>
        </w:rPr>
        <w:t>（二）“领跑者”退出机制</w:t>
      </w:r>
      <w:bookmarkEnd w:id="13"/>
      <w:bookmarkEnd w:id="14"/>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获得“领跑者”称号的企业出现下列情况之一，评估机构应取消其“领跑者”称号：</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（1）企业生产装备、工艺等发生重大变化且严重影响产品性能的；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（2）企业标准发生更新</w:t>
      </w:r>
      <w:proofErr w:type="gramStart"/>
      <w:r>
        <w:rPr>
          <w:rFonts w:ascii="仿宋" w:eastAsia="仿宋" w:hAnsi="仿宋" w:hint="eastAsia"/>
          <w:color w:val="000000" w:themeColor="text1"/>
          <w:sz w:val="32"/>
          <w:szCs w:val="32"/>
        </w:rPr>
        <w:t>且核心</w:t>
      </w:r>
      <w:proofErr w:type="gramEnd"/>
      <w:r>
        <w:rPr>
          <w:rFonts w:ascii="仿宋" w:eastAsia="仿宋" w:hAnsi="仿宋" w:hint="eastAsia"/>
          <w:color w:val="000000" w:themeColor="text1"/>
          <w:sz w:val="32"/>
          <w:szCs w:val="32"/>
        </w:rPr>
        <w:t>指标水平出现降低的；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（3）出现重大环保安全事故和产品质量问题的；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（4）产品抽检发现达不到公开标准水平的；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（5）发生侵犯知识产权行为的；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（6）通过弄虚作假入选企业标准“领跑者”或存在其他诚信问题的；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（7）由于其他原因须退出“领跑者”榜单的。</w:t>
      </w:r>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被取消“领跑者”称号的企业予以公示，同时报有关监管部门，并纳入企业信用体系，且三年内不再纳入“领跑者”评估，不得继续享受企业标准“领跑者”制度相关的优惠政策。</w:t>
      </w:r>
    </w:p>
    <w:p w:rsidR="00AD1B67" w:rsidRDefault="00325E23">
      <w:pPr>
        <w:adjustRightInd w:val="0"/>
        <w:snapToGrid w:val="0"/>
        <w:spacing w:line="360" w:lineRule="auto"/>
        <w:ind w:firstLineChars="200" w:firstLine="640"/>
        <w:outlineLvl w:val="0"/>
        <w:rPr>
          <w:rFonts w:ascii="黑体" w:eastAsia="黑体" w:hAnsi="黑体"/>
          <w:color w:val="000000" w:themeColor="text1"/>
          <w:sz w:val="32"/>
          <w:szCs w:val="32"/>
        </w:rPr>
      </w:pPr>
      <w:bookmarkStart w:id="15" w:name="_Toc31796"/>
      <w:bookmarkStart w:id="16" w:name="_Toc4827"/>
      <w:r>
        <w:rPr>
          <w:rFonts w:ascii="黑体" w:eastAsia="黑体" w:hAnsi="黑体" w:hint="eastAsia"/>
          <w:color w:val="000000" w:themeColor="text1"/>
          <w:sz w:val="32"/>
          <w:szCs w:val="32"/>
        </w:rPr>
        <w:t>五、宣传推广</w:t>
      </w:r>
      <w:bookmarkEnd w:id="15"/>
      <w:bookmarkEnd w:id="16"/>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17" w:name="_Toc30376"/>
      <w:bookmarkStart w:id="18" w:name="_Toc25929"/>
      <w:r>
        <w:rPr>
          <w:rFonts w:ascii="仿宋" w:eastAsia="仿宋" w:hAnsi="仿宋" w:hint="eastAsia"/>
          <w:b/>
          <w:color w:val="000000" w:themeColor="text1"/>
          <w:sz w:val="32"/>
          <w:szCs w:val="32"/>
        </w:rPr>
        <w:t>（一）加大宣传力度</w:t>
      </w:r>
      <w:bookmarkEnd w:id="17"/>
      <w:bookmarkEnd w:id="18"/>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有关单位应当利用电视、纸媒、网络及新媒体等资源，形成优势互补、多方协作的企业标准“领跑者”的宣传机制，宣传普及企业产品和服务标准自我声明公开、企业标准“领跑者”制度等知识，营造良好的企业标准化工作氛围。在年度质量月、世界标准日期间，举办企业标准“领跑者”发布会、宣讲会等宣传活动，增强消费者对企业标准“领跑者”的认可度和满意度。</w:t>
      </w:r>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19" w:name="_Toc27025"/>
      <w:bookmarkStart w:id="20" w:name="_Toc32076"/>
      <w:r>
        <w:rPr>
          <w:rFonts w:ascii="仿宋" w:eastAsia="仿宋" w:hAnsi="仿宋" w:hint="eastAsia"/>
          <w:b/>
          <w:color w:val="000000" w:themeColor="text1"/>
          <w:sz w:val="32"/>
          <w:szCs w:val="32"/>
        </w:rPr>
        <w:t>（二）促进“领跑者”产品和服务推广</w:t>
      </w:r>
      <w:bookmarkEnd w:id="19"/>
      <w:bookmarkEnd w:id="20"/>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有关单位应当支持市场、商场、超市、旅游商品专卖店等流通企业在显著位置开设企业标准“领跑者”产品销售专区，并积极开展促销活动。组织电商和平台型企业与标准领跑企业开展对接，开设专区，促进企业标准“领跑者”产品和服务的销售。不断丰富产品和服务种类，拓展企业标准“领跑者”消费市场影响力。</w:t>
      </w:r>
    </w:p>
    <w:p w:rsidR="00AD1B67" w:rsidRDefault="00325E23">
      <w:pPr>
        <w:adjustRightInd w:val="0"/>
        <w:snapToGrid w:val="0"/>
        <w:spacing w:line="360" w:lineRule="auto"/>
        <w:ind w:firstLineChars="200" w:firstLine="643"/>
        <w:outlineLvl w:val="1"/>
        <w:rPr>
          <w:rFonts w:ascii="仿宋" w:eastAsia="仿宋" w:hAnsi="仿宋"/>
          <w:b/>
          <w:color w:val="000000" w:themeColor="text1"/>
          <w:sz w:val="32"/>
          <w:szCs w:val="32"/>
        </w:rPr>
      </w:pPr>
      <w:bookmarkStart w:id="21" w:name="_Toc21240"/>
      <w:bookmarkStart w:id="22" w:name="_Toc4815"/>
      <w:r>
        <w:rPr>
          <w:rFonts w:ascii="仿宋" w:eastAsia="仿宋" w:hAnsi="仿宋" w:hint="eastAsia"/>
          <w:b/>
          <w:color w:val="000000" w:themeColor="text1"/>
          <w:sz w:val="32"/>
          <w:szCs w:val="32"/>
        </w:rPr>
        <w:t>（三）发挥消费者作用</w:t>
      </w:r>
      <w:bookmarkEnd w:id="21"/>
      <w:bookmarkEnd w:id="22"/>
    </w:p>
    <w:p w:rsidR="00AD1B67" w:rsidRDefault="00325E23">
      <w:pPr>
        <w:adjustRightInd w:val="0"/>
        <w:snapToGrid w:val="0"/>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发挥消费者协会桥梁纽带作用，让消费者充分参与企业标准“领跑者”重点领域建议、评估核心指标确定、全过程监督等工作。评估机构在编制评估方案过程中，应积极吸纳消费者的意见和建议，合理确定消费者关注度高的核心指标。</w:t>
      </w:r>
      <w:bookmarkStart w:id="23" w:name="_GoBack"/>
      <w:bookmarkEnd w:id="23"/>
    </w:p>
    <w:sectPr w:rsidR="00AD1B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A6" w:rsidRDefault="004E7EA6">
      <w:r>
        <w:separator/>
      </w:r>
    </w:p>
  </w:endnote>
  <w:endnote w:type="continuationSeparator" w:id="0">
    <w:p w:rsidR="004E7EA6" w:rsidRDefault="004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1435"/>
    </w:sdtPr>
    <w:sdtEndPr/>
    <w:sdtContent>
      <w:p w:rsidR="004E7EA6" w:rsidRDefault="004E7EA6">
        <w:pPr>
          <w:pStyle w:val="a4"/>
          <w:jc w:val="center"/>
        </w:pPr>
        <w:r>
          <w:fldChar w:fldCharType="begin"/>
        </w:r>
        <w:r>
          <w:instrText>PAGE   \* MERGEFORMAT</w:instrText>
        </w:r>
        <w:r>
          <w:fldChar w:fldCharType="separate"/>
        </w:r>
        <w:r w:rsidR="00BB5E00" w:rsidRPr="00BB5E00">
          <w:rPr>
            <w:noProof/>
            <w:lang w:val="zh-CN"/>
          </w:rPr>
          <w:t>7</w:t>
        </w:r>
        <w:r>
          <w:fldChar w:fldCharType="end"/>
        </w:r>
      </w:p>
    </w:sdtContent>
  </w:sdt>
  <w:p w:rsidR="004E7EA6" w:rsidRDefault="004E7E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A6" w:rsidRDefault="004E7EA6">
      <w:r>
        <w:separator/>
      </w:r>
    </w:p>
  </w:footnote>
  <w:footnote w:type="continuationSeparator" w:id="0">
    <w:p w:rsidR="004E7EA6" w:rsidRDefault="004E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32"/>
    <w:rsid w:val="B68FBA69"/>
    <w:rsid w:val="B8FBE98B"/>
    <w:rsid w:val="CCFB074A"/>
    <w:rsid w:val="E9A797C0"/>
    <w:rsid w:val="EDC7474C"/>
    <w:rsid w:val="F9F993D6"/>
    <w:rsid w:val="FB7F0907"/>
    <w:rsid w:val="FBEFECC3"/>
    <w:rsid w:val="FF77E8FD"/>
    <w:rsid w:val="000306F2"/>
    <w:rsid w:val="00087084"/>
    <w:rsid w:val="000B2C49"/>
    <w:rsid w:val="000E128A"/>
    <w:rsid w:val="000F2A98"/>
    <w:rsid w:val="000F6954"/>
    <w:rsid w:val="001042A2"/>
    <w:rsid w:val="0011068E"/>
    <w:rsid w:val="00115B46"/>
    <w:rsid w:val="00124387"/>
    <w:rsid w:val="001307C3"/>
    <w:rsid w:val="00143847"/>
    <w:rsid w:val="00161F58"/>
    <w:rsid w:val="00177B15"/>
    <w:rsid w:val="00187F21"/>
    <w:rsid w:val="001A5014"/>
    <w:rsid w:val="001B4870"/>
    <w:rsid w:val="001C032A"/>
    <w:rsid w:val="001D4C29"/>
    <w:rsid w:val="001F157F"/>
    <w:rsid w:val="00237A57"/>
    <w:rsid w:val="00244C37"/>
    <w:rsid w:val="00250805"/>
    <w:rsid w:val="00261C14"/>
    <w:rsid w:val="0027117F"/>
    <w:rsid w:val="0027743A"/>
    <w:rsid w:val="00287F2A"/>
    <w:rsid w:val="002A14A0"/>
    <w:rsid w:val="002A4995"/>
    <w:rsid w:val="002D7AA7"/>
    <w:rsid w:val="002F2009"/>
    <w:rsid w:val="003161A3"/>
    <w:rsid w:val="00325E23"/>
    <w:rsid w:val="00372730"/>
    <w:rsid w:val="00377DD4"/>
    <w:rsid w:val="003B4415"/>
    <w:rsid w:val="003B7176"/>
    <w:rsid w:val="003C3B91"/>
    <w:rsid w:val="004414E9"/>
    <w:rsid w:val="0044568C"/>
    <w:rsid w:val="0049060F"/>
    <w:rsid w:val="00494026"/>
    <w:rsid w:val="004959F4"/>
    <w:rsid w:val="004A2A87"/>
    <w:rsid w:val="004A4D32"/>
    <w:rsid w:val="004B0754"/>
    <w:rsid w:val="004E6789"/>
    <w:rsid w:val="004E7EA6"/>
    <w:rsid w:val="004F52AF"/>
    <w:rsid w:val="00542032"/>
    <w:rsid w:val="005425E5"/>
    <w:rsid w:val="00554239"/>
    <w:rsid w:val="00567491"/>
    <w:rsid w:val="00574E08"/>
    <w:rsid w:val="00581199"/>
    <w:rsid w:val="0059039D"/>
    <w:rsid w:val="00591990"/>
    <w:rsid w:val="00593120"/>
    <w:rsid w:val="00597E98"/>
    <w:rsid w:val="005B1EA2"/>
    <w:rsid w:val="005B74D2"/>
    <w:rsid w:val="005C4FFD"/>
    <w:rsid w:val="005D7094"/>
    <w:rsid w:val="00605672"/>
    <w:rsid w:val="00616DE2"/>
    <w:rsid w:val="00627AB0"/>
    <w:rsid w:val="006309E0"/>
    <w:rsid w:val="0064212D"/>
    <w:rsid w:val="006945B2"/>
    <w:rsid w:val="00696D2E"/>
    <w:rsid w:val="006A2F2B"/>
    <w:rsid w:val="006B7B7A"/>
    <w:rsid w:val="006C643F"/>
    <w:rsid w:val="006D2D52"/>
    <w:rsid w:val="006E0996"/>
    <w:rsid w:val="006E4B50"/>
    <w:rsid w:val="00742399"/>
    <w:rsid w:val="00780021"/>
    <w:rsid w:val="007827BC"/>
    <w:rsid w:val="007836C9"/>
    <w:rsid w:val="0079590C"/>
    <w:rsid w:val="007A5FAE"/>
    <w:rsid w:val="007B3A5B"/>
    <w:rsid w:val="007B7918"/>
    <w:rsid w:val="0081382E"/>
    <w:rsid w:val="00824E88"/>
    <w:rsid w:val="008544EB"/>
    <w:rsid w:val="008736A0"/>
    <w:rsid w:val="00881707"/>
    <w:rsid w:val="008C0F9A"/>
    <w:rsid w:val="008F5229"/>
    <w:rsid w:val="00910E26"/>
    <w:rsid w:val="009327E3"/>
    <w:rsid w:val="009C4946"/>
    <w:rsid w:val="009D30A5"/>
    <w:rsid w:val="009D6AA5"/>
    <w:rsid w:val="009E6E46"/>
    <w:rsid w:val="00A61855"/>
    <w:rsid w:val="00AD1B67"/>
    <w:rsid w:val="00AD3A69"/>
    <w:rsid w:val="00AD3FEA"/>
    <w:rsid w:val="00B14915"/>
    <w:rsid w:val="00B17E99"/>
    <w:rsid w:val="00B240E8"/>
    <w:rsid w:val="00B31726"/>
    <w:rsid w:val="00B52576"/>
    <w:rsid w:val="00B83015"/>
    <w:rsid w:val="00B95ABB"/>
    <w:rsid w:val="00BB5E00"/>
    <w:rsid w:val="00C024F0"/>
    <w:rsid w:val="00C65B40"/>
    <w:rsid w:val="00C719B8"/>
    <w:rsid w:val="00C7555D"/>
    <w:rsid w:val="00CD025E"/>
    <w:rsid w:val="00CE1BEA"/>
    <w:rsid w:val="00D23714"/>
    <w:rsid w:val="00D27457"/>
    <w:rsid w:val="00D43E93"/>
    <w:rsid w:val="00D507CE"/>
    <w:rsid w:val="00D62511"/>
    <w:rsid w:val="00D67771"/>
    <w:rsid w:val="00DA05F8"/>
    <w:rsid w:val="00DA0969"/>
    <w:rsid w:val="00DB4385"/>
    <w:rsid w:val="00DE120D"/>
    <w:rsid w:val="00E22B47"/>
    <w:rsid w:val="00E6417A"/>
    <w:rsid w:val="00E76BB2"/>
    <w:rsid w:val="00E8109A"/>
    <w:rsid w:val="00E91FE3"/>
    <w:rsid w:val="00E933EC"/>
    <w:rsid w:val="00EB7EF3"/>
    <w:rsid w:val="00EC6597"/>
    <w:rsid w:val="00EE4001"/>
    <w:rsid w:val="00F052AA"/>
    <w:rsid w:val="00F15916"/>
    <w:rsid w:val="00F248F2"/>
    <w:rsid w:val="00F66140"/>
    <w:rsid w:val="00F9190E"/>
    <w:rsid w:val="00F962EF"/>
    <w:rsid w:val="00FB3317"/>
    <w:rsid w:val="00FF35D6"/>
    <w:rsid w:val="01710A3A"/>
    <w:rsid w:val="06C72195"/>
    <w:rsid w:val="0A043060"/>
    <w:rsid w:val="0A8F7F7F"/>
    <w:rsid w:val="0C1F1255"/>
    <w:rsid w:val="0DFC14DC"/>
    <w:rsid w:val="107B2EF8"/>
    <w:rsid w:val="122C3C03"/>
    <w:rsid w:val="135C1E0B"/>
    <w:rsid w:val="13A97A63"/>
    <w:rsid w:val="162E3826"/>
    <w:rsid w:val="176F449D"/>
    <w:rsid w:val="17DE6F99"/>
    <w:rsid w:val="17F97916"/>
    <w:rsid w:val="19866D31"/>
    <w:rsid w:val="1A842A84"/>
    <w:rsid w:val="1AB645EB"/>
    <w:rsid w:val="1C460FB8"/>
    <w:rsid w:val="1EE50157"/>
    <w:rsid w:val="1F71287A"/>
    <w:rsid w:val="1FD94D3A"/>
    <w:rsid w:val="20747B3E"/>
    <w:rsid w:val="20EF19FD"/>
    <w:rsid w:val="21CB2EB7"/>
    <w:rsid w:val="21DA2012"/>
    <w:rsid w:val="21FF3C26"/>
    <w:rsid w:val="240512C5"/>
    <w:rsid w:val="2480583D"/>
    <w:rsid w:val="248E31C0"/>
    <w:rsid w:val="27ED63C6"/>
    <w:rsid w:val="28987432"/>
    <w:rsid w:val="2A105E15"/>
    <w:rsid w:val="2CAB1FF6"/>
    <w:rsid w:val="31C1002A"/>
    <w:rsid w:val="327A4783"/>
    <w:rsid w:val="3828415D"/>
    <w:rsid w:val="38827F68"/>
    <w:rsid w:val="39772FB4"/>
    <w:rsid w:val="3A5C5361"/>
    <w:rsid w:val="3EBC32CF"/>
    <w:rsid w:val="3F2E753C"/>
    <w:rsid w:val="3FFE04FE"/>
    <w:rsid w:val="4472344E"/>
    <w:rsid w:val="45C90998"/>
    <w:rsid w:val="49BC046B"/>
    <w:rsid w:val="4CA468B7"/>
    <w:rsid w:val="50E379FA"/>
    <w:rsid w:val="51373801"/>
    <w:rsid w:val="53A65558"/>
    <w:rsid w:val="558B0559"/>
    <w:rsid w:val="55CD6272"/>
    <w:rsid w:val="58285073"/>
    <w:rsid w:val="59D1512D"/>
    <w:rsid w:val="5C224C54"/>
    <w:rsid w:val="5E367200"/>
    <w:rsid w:val="5EFBE88B"/>
    <w:rsid w:val="5FAB2C96"/>
    <w:rsid w:val="612D284F"/>
    <w:rsid w:val="634A5554"/>
    <w:rsid w:val="67702AE4"/>
    <w:rsid w:val="69D97E73"/>
    <w:rsid w:val="6A043A67"/>
    <w:rsid w:val="6AC6532E"/>
    <w:rsid w:val="6CFA287D"/>
    <w:rsid w:val="7180015B"/>
    <w:rsid w:val="73E718BB"/>
    <w:rsid w:val="74006D98"/>
    <w:rsid w:val="7446357C"/>
    <w:rsid w:val="760A35C2"/>
    <w:rsid w:val="775769E8"/>
    <w:rsid w:val="7AD73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style>
  <w:style w:type="paragraph" w:styleId="2">
    <w:name w:val="toc 2"/>
    <w:basedOn w:val="a"/>
    <w:next w:val="a"/>
    <w:uiPriority w:val="39"/>
    <w:semiHidden/>
    <w:unhideWhenUsed/>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fontstyle01">
    <w:name w:val="fontstyle01"/>
    <w:basedOn w:val="a0"/>
    <w:rPr>
      <w:rFonts w:ascii="仿宋" w:hAnsi="仿宋" w:hint="defau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style>
  <w:style w:type="paragraph" w:styleId="2">
    <w:name w:val="toc 2"/>
    <w:basedOn w:val="a"/>
    <w:next w:val="a"/>
    <w:uiPriority w:val="39"/>
    <w:semiHidden/>
    <w:unhideWhenUsed/>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fontstyle01">
    <w:name w:val="fontstyle01"/>
    <w:basedOn w:val="a0"/>
    <w:rPr>
      <w:rFonts w:ascii="仿宋" w:hAnsi="仿宋"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qybz.org.cn&#20013;&#22768;&#26126;&#20844;&#24320;&#30340;&#20135;&#21697;&#25110;&#26381;&#21153;&#20225;&#19994;&#26631;&#20934;&#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3024</Words>
  <Characters>211</Characters>
  <Application>Microsoft Office Word</Application>
  <DocSecurity>0</DocSecurity>
  <Lines>1</Lines>
  <Paragraphs>6</Paragraphs>
  <ScaleCrop>false</ScaleCrop>
  <Company>Lenovo</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赵美焕</dc:creator>
  <cp:lastModifiedBy>曹艳</cp:lastModifiedBy>
  <cp:revision>9</cp:revision>
  <dcterms:created xsi:type="dcterms:W3CDTF">2021-10-25T02:52:00Z</dcterms:created>
  <dcterms:modified xsi:type="dcterms:W3CDTF">2021-11-04T07:38:00Z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