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仿宋_GB2312"/>
          <w:sz w:val="32"/>
          <w:szCs w:val="32"/>
        </w:rPr>
      </w:pPr>
    </w:p>
    <w:p>
      <w:pPr>
        <w:spacing w:line="360" w:lineRule="auto"/>
        <w:jc w:val="center"/>
        <w:rPr>
          <w:rFonts w:ascii="Times New Roman" w:hAnsi="Times New Roman" w:eastAsia="仿宋_GB2312"/>
          <w:sz w:val="32"/>
          <w:szCs w:val="32"/>
        </w:rPr>
      </w:pPr>
    </w:p>
    <w:p>
      <w:pPr>
        <w:spacing w:line="360" w:lineRule="auto"/>
        <w:jc w:val="cente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hint="eastAsia" w:ascii="Times New Roman" w:hAnsi="Times New Roman" w:eastAsia="方正小标宋简体" w:cs="Times New Roman"/>
          <w:b/>
          <w:color w:val="FF0000"/>
          <w:spacing w:val="0"/>
          <w:w w:val="63"/>
          <w:sz w:val="56"/>
          <w:szCs w:val="56"/>
          <w:lang w:val="en" w:eastAsia="zh-CN"/>
        </w:rPr>
      </w:pPr>
      <w:r>
        <w:rPr>
          <w:rFonts w:hint="default" w:ascii="Times New Roman" w:hAnsi="Times New Roman" w:eastAsia="方正小标宋简体" w:cs="Times New Roman"/>
          <w:b/>
          <w:color w:val="FF0000"/>
          <w:spacing w:val="0"/>
          <w:w w:val="63"/>
          <w:sz w:val="62"/>
          <w:szCs w:val="62"/>
        </w:rPr>
        <w:t>天津市质量强市建设协调推进领导小组</w:t>
      </w:r>
      <w:r>
        <w:rPr>
          <w:rFonts w:hint="default" w:ascii="Times New Roman" w:hAnsi="Times New Roman" w:eastAsia="方正小标宋简体" w:cs="Times New Roman"/>
          <w:b/>
          <w:color w:val="FF0000"/>
          <w:spacing w:val="0"/>
          <w:w w:val="63"/>
          <w:sz w:val="62"/>
          <w:szCs w:val="62"/>
          <w:lang w:eastAsia="zh-CN"/>
        </w:rPr>
        <w:t>办</w:t>
      </w:r>
      <w:r>
        <w:rPr>
          <w:rFonts w:hint="default" w:ascii="Times New Roman" w:hAnsi="Times New Roman" w:eastAsia="方正小标宋简体" w:cs="Times New Roman"/>
          <w:b/>
          <w:color w:val="FF0000"/>
          <w:spacing w:val="0"/>
          <w:w w:val="63"/>
          <w:sz w:val="62"/>
          <w:szCs w:val="62"/>
        </w:rPr>
        <w:t>公室</w:t>
      </w:r>
      <w:r>
        <w:rPr>
          <w:rFonts w:hint="eastAsia" w:ascii="Times New Roman" w:hAnsi="Times New Roman" w:eastAsia="方正小标宋简体" w:cs="Times New Roman"/>
          <w:b/>
          <w:color w:val="FF0000"/>
          <w:spacing w:val="0"/>
          <w:w w:val="63"/>
          <w:sz w:val="62"/>
          <w:szCs w:val="62"/>
          <w:lang w:eastAsia="zh-CN"/>
        </w:rPr>
        <w:t>文件</w:t>
      </w:r>
    </w:p>
    <w:p>
      <w:pPr>
        <w:adjustRightInd w:val="0"/>
        <w:snapToGrid w:val="0"/>
        <w:spacing w:line="600" w:lineRule="exact"/>
        <w:jc w:val="center"/>
        <w:rPr>
          <w:rFonts w:ascii="Calibri" w:hAnsi="Calibri" w:eastAsia="仿宋_GB2312" w:cs="Times New Roman"/>
          <w:sz w:val="32"/>
          <w:szCs w:val="32"/>
        </w:rPr>
      </w:pPr>
    </w:p>
    <w:p>
      <w:pPr>
        <w:adjustRightInd w:val="0"/>
        <w:snapToGrid w:val="0"/>
        <w:spacing w:line="600" w:lineRule="exact"/>
        <w:jc w:val="center"/>
        <w:outlineLvl w:val="0"/>
        <w:rPr>
          <w:rFonts w:ascii="Calibri" w:hAnsi="Calibri" w:eastAsia="楷体_GB2312" w:cs="Times New Roman"/>
          <w:sz w:val="32"/>
          <w:szCs w:val="32"/>
        </w:rPr>
      </w:pPr>
      <w:r>
        <w:rPr>
          <w:rFonts w:ascii="Calibri" w:hAnsi="Calibri" w:eastAsia="仿宋_GB2312" w:cs="Times New Roman"/>
          <w:sz w:val="32"/>
          <w:szCs w:val="32"/>
        </w:rPr>
        <w:t>津质量办</w:t>
      </w:r>
      <w:r>
        <w:rPr>
          <w:rFonts w:hint="eastAsia" w:ascii="Calibri" w:hAnsi="Calibri" w:eastAsia="仿宋_GB2312" w:cs="Times New Roman"/>
          <w:sz w:val="32"/>
          <w:szCs w:val="32"/>
          <w:lang w:eastAsia="zh-CN"/>
        </w:rPr>
        <w:t>发</w:t>
      </w:r>
      <w:r>
        <w:rPr>
          <w:rFonts w:ascii="Calibri" w:hAnsi="Calibri" w:eastAsia="仿宋_GB2312" w:cs="Times New Roman"/>
          <w:sz w:val="32"/>
          <w:szCs w:val="32"/>
        </w:rPr>
        <w:t>〔</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4</w:t>
      </w:r>
      <w:r>
        <w:rPr>
          <w:rFonts w:ascii="Calibri" w:hAnsi="Calibri" w:eastAsia="仿宋_GB2312" w:cs="Times New Roman"/>
          <w:sz w:val="32"/>
          <w:szCs w:val="32"/>
        </w:rPr>
        <w:t>〕</w:t>
      </w:r>
      <w:r>
        <w:rPr>
          <w:rFonts w:hint="default" w:ascii="Times New Roman" w:hAnsi="Times New Roman" w:eastAsia="仿宋_GB2312" w:cs="Times New Roman"/>
          <w:kern w:val="0"/>
          <w:sz w:val="32"/>
          <w:szCs w:val="32"/>
          <w:lang w:val="en" w:eastAsia="zh-CN"/>
        </w:rPr>
        <w:t>4</w:t>
      </w:r>
      <w:r>
        <w:rPr>
          <w:rFonts w:ascii="Calibri" w:hAnsi="Calibri" w:eastAsia="仿宋_GB2312" w:cs="Times New Roman"/>
          <w:sz w:val="32"/>
          <w:szCs w:val="32"/>
        </w:rPr>
        <w:t>号</w:t>
      </w:r>
    </w:p>
    <w:p>
      <w:pPr>
        <w:tabs>
          <w:tab w:val="left" w:pos="840"/>
          <w:tab w:val="left" w:pos="945"/>
          <w:tab w:val="left" w:pos="1050"/>
          <w:tab w:val="left" w:pos="1155"/>
        </w:tabs>
        <w:adjustRightInd w:val="0"/>
        <w:snapToGrid w:val="0"/>
        <w:spacing w:line="600" w:lineRule="exact"/>
        <w:jc w:val="center"/>
        <w:rPr>
          <w:rFonts w:ascii="Calibri" w:hAnsi="Calibri" w:eastAsia="方正小标宋简体" w:cs="Times New Roman"/>
          <w:bCs/>
          <w:sz w:val="44"/>
          <w:szCs w:val="44"/>
        </w:rPr>
      </w:pPr>
      <w:r>
        <w:rPr>
          <w:rFonts w:ascii="Calibri" w:hAnsi="Calibri" w:eastAsia="宋体" w:cs="Times New Roman"/>
          <w:szCs w:val="24"/>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45085</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6160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7.95pt;margin-top:3.55pt;height:0pt;width:442.2pt;z-index:251658240;mso-width-relative:page;mso-height-relative:page;" filled="f" stroked="t" coordsize="21600,21600" o:gfxdata="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Cd64S1gAA&#10;AAcBAAAPAAAAAAAAAAEAIAAAADgAAABkcnMvZG93bnJldi54bWxQSwECFAAUAAAACACHTuJAiuLk&#10;pdEBAABuAwAADgAAAAAAAAABACAAAAA7AQAAZHJzL2Uyb0RvYy54bWxQSwUGAAAAAAYABgBZAQAA&#10;fgUAAAAA&#10;">
                <v:path arrowok="t"/>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40" w:lineRule="exact"/>
        <w:ind w:firstLine="880" w:firstLineChars="200"/>
        <w:jc w:val="center"/>
        <w:textAlignment w:val="auto"/>
        <w:rPr>
          <w:rFonts w:ascii="Times New Roman" w:hAnsi="Times New Roman" w:eastAsia="方正小标宋简体"/>
          <w:sz w:val="44"/>
          <w:szCs w:val="44"/>
        </w:rPr>
      </w:pP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方正小标宋简体" w:hAnsi="方正小标宋简体" w:eastAsia="方正小标宋简体" w:cs="方正小标宋简体"/>
          <w:bCs/>
          <w:color w:val="auto"/>
          <w:sz w:val="44"/>
          <w:szCs w:val="44"/>
          <w:shd w:val="clear" w:color="auto" w:fill="FFFFFF"/>
          <w:lang w:val="en" w:eastAsia="zh-CN"/>
        </w:rPr>
      </w:pPr>
      <w:r>
        <w:rPr>
          <w:rFonts w:hint="eastAsia" w:ascii="方正小标宋简体" w:hAnsi="方正小标宋简体" w:eastAsia="方正小标宋简体" w:cs="方正小标宋简体"/>
          <w:bCs/>
          <w:color w:val="auto"/>
          <w:sz w:val="44"/>
          <w:szCs w:val="44"/>
          <w:shd w:val="clear" w:color="auto" w:fill="FFFFFF"/>
          <w:lang w:val="en" w:eastAsia="zh-CN"/>
        </w:rPr>
        <w:t>关于印发《天津市质量基础设施助力产业链</w:t>
      </w: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方正小标宋简体" w:hAnsi="方正小标宋简体" w:eastAsia="方正小标宋简体" w:cs="方正小标宋简体"/>
          <w:bCs/>
          <w:color w:val="auto"/>
          <w:sz w:val="44"/>
          <w:szCs w:val="44"/>
          <w:shd w:val="clear" w:color="auto" w:fill="FFFFFF"/>
          <w:lang w:val="en" w:eastAsia="zh-CN"/>
        </w:rPr>
      </w:pPr>
      <w:r>
        <w:rPr>
          <w:rFonts w:hint="eastAsia" w:ascii="方正小标宋简体" w:hAnsi="方正小标宋简体" w:eastAsia="方正小标宋简体" w:cs="方正小标宋简体"/>
          <w:bCs/>
          <w:color w:val="auto"/>
          <w:sz w:val="44"/>
          <w:szCs w:val="44"/>
          <w:shd w:val="clear" w:color="auto" w:fill="FFFFFF"/>
          <w:lang w:val="en" w:eastAsia="zh-CN"/>
        </w:rPr>
        <w:t>供应链质量联动提升工作方案》的通知</w:t>
      </w: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方正小标宋简体" w:hAnsi="方正小标宋简体" w:eastAsia="方正小标宋简体" w:cs="方正小标宋简体"/>
          <w:bCs/>
          <w:color w:val="auto"/>
          <w:sz w:val="44"/>
          <w:szCs w:val="44"/>
          <w:shd w:val="clear" w:color="auto" w:fill="FFFFFF"/>
          <w:lang w:val="en" w:eastAsia="zh-CN"/>
        </w:rPr>
      </w:pPr>
    </w:p>
    <w:p>
      <w:pPr>
        <w:keepNext w:val="0"/>
        <w:keepLines w:val="0"/>
        <w:pageBreakBefore w:val="0"/>
        <w:widowControl w:val="0"/>
        <w:kinsoku/>
        <w:overflowPunct/>
        <w:topLinePunct w:val="0"/>
        <w:autoSpaceDE/>
        <w:autoSpaceDN/>
        <w:bidi w:val="0"/>
        <w:adjustRightInd/>
        <w:snapToGrid/>
        <w:spacing w:line="580" w:lineRule="exact"/>
        <w:textAlignment w:val="auto"/>
        <w:outlineLvl w:val="0"/>
        <w:rPr>
          <w:rFonts w:hint="default" w:ascii="仿宋_GB2312" w:hAnsi="仿宋_GB2312" w:eastAsia="仿宋_GB2312" w:cs="仿宋_GB2312"/>
          <w:bCs/>
          <w:color w:val="auto"/>
          <w:spacing w:val="8"/>
          <w:kern w:val="0"/>
          <w:sz w:val="32"/>
          <w:szCs w:val="32"/>
          <w:lang w:val="en-US" w:eastAsia="zh-CN" w:bidi="ar-SA"/>
        </w:rPr>
      </w:pPr>
      <w:r>
        <w:rPr>
          <w:rFonts w:hint="eastAsia" w:ascii="仿宋_GB2312" w:hAnsi="仿宋_GB2312" w:eastAsia="仿宋_GB2312" w:cs="仿宋_GB2312"/>
          <w:bCs/>
          <w:color w:val="auto"/>
          <w:spacing w:val="8"/>
          <w:kern w:val="0"/>
          <w:sz w:val="32"/>
          <w:szCs w:val="32"/>
          <w:lang w:val="en" w:eastAsia="zh-CN" w:bidi="ar-SA"/>
        </w:rPr>
        <w:t>市质量强市建设协调推进领导小组相关成员单位，各有关单位：</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现将</w:t>
      </w:r>
      <w:r>
        <w:rPr>
          <w:rFonts w:hint="eastAsia" w:ascii="仿宋_GB2312" w:hAnsi="仿宋_GB2312" w:eastAsia="仿宋_GB2312" w:cs="仿宋_GB2312"/>
          <w:color w:val="auto"/>
          <w:sz w:val="32"/>
          <w:szCs w:val="32"/>
          <w:highlight w:val="none"/>
          <w:lang w:val="en-US" w:eastAsia="zh-CN"/>
        </w:rPr>
        <w:t>《天津市质量基础设施助力产业链</w:t>
      </w:r>
      <w:bookmarkStart w:id="0" w:name="_GoBack"/>
      <w:bookmarkEnd w:id="0"/>
      <w:r>
        <w:rPr>
          <w:rFonts w:hint="eastAsia" w:ascii="仿宋_GB2312" w:hAnsi="仿宋_GB2312" w:eastAsia="仿宋_GB2312" w:cs="仿宋_GB2312"/>
          <w:color w:val="auto"/>
          <w:sz w:val="32"/>
          <w:szCs w:val="32"/>
          <w:highlight w:val="none"/>
          <w:lang w:val="en-US" w:eastAsia="zh-CN"/>
        </w:rPr>
        <w:t>供应链质量联动提升工作方案》印发给你们，请结合实际认真贯彻落实。</w:t>
      </w:r>
    </w:p>
    <w:p>
      <w:pPr>
        <w:pStyle w:val="4"/>
        <w:rPr>
          <w:rFonts w:hint="eastAsia" w:ascii="仿宋_GB2312" w:hAnsi="仿宋_GB2312" w:eastAsia="仿宋_GB2312" w:cs="仿宋_GB2312"/>
          <w:color w:val="auto"/>
          <w:sz w:val="32"/>
          <w:szCs w:val="32"/>
          <w:highlight w:val="none"/>
          <w:lang w:val="en-US" w:eastAsia="zh-CN"/>
        </w:rPr>
      </w:pPr>
    </w:p>
    <w:p>
      <w:pPr>
        <w:rPr>
          <w:rFonts w:hint="eastAsia"/>
          <w:lang w:val="en-US" w:eastAsia="zh-CN"/>
        </w:rPr>
      </w:pPr>
    </w:p>
    <w:p>
      <w:pPr>
        <w:rPr>
          <w:rFonts w:hint="eastAsia"/>
          <w:lang w:val="en-US" w:eastAsia="zh-CN"/>
        </w:rPr>
      </w:pPr>
    </w:p>
    <w:p>
      <w:pPr>
        <w:pStyle w:val="4"/>
        <w:rPr>
          <w:rFonts w:hint="default"/>
          <w:lang w:val="en-US" w:eastAsia="zh-CN"/>
        </w:rPr>
      </w:pPr>
    </w:p>
    <w:p>
      <w:pPr>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2024年4月2</w:t>
      </w:r>
      <w:r>
        <w:rPr>
          <w:rFonts w:hint="default" w:ascii="仿宋_GB2312" w:hAnsi="仿宋_GB2312" w:eastAsia="仿宋_GB2312" w:cs="仿宋_GB2312"/>
          <w:color w:val="auto"/>
          <w:kern w:val="2"/>
          <w:sz w:val="32"/>
          <w:szCs w:val="32"/>
          <w:highlight w:val="none"/>
          <w:lang w:val="en" w:eastAsia="zh-CN" w:bidi="ar-SA"/>
        </w:rPr>
        <w:t>5</w:t>
      </w:r>
      <w:r>
        <w:rPr>
          <w:rFonts w:hint="eastAsia" w:ascii="仿宋_GB2312" w:hAnsi="仿宋_GB2312" w:eastAsia="仿宋_GB2312" w:cs="仿宋_GB2312"/>
          <w:color w:val="auto"/>
          <w:kern w:val="2"/>
          <w:sz w:val="32"/>
          <w:szCs w:val="32"/>
          <w:highlight w:val="none"/>
          <w:lang w:val="en-US" w:eastAsia="zh-CN" w:bidi="ar-SA"/>
        </w:rPr>
        <w:t xml:space="preserve">日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（联系人：郜林洁</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eastAsia="zh-CN"/>
        </w:rPr>
        <w:t>联系</w:t>
      </w:r>
      <w:r>
        <w:rPr>
          <w:rFonts w:hint="default" w:ascii="Times New Roman" w:hAnsi="Times New Roman" w:eastAsia="仿宋_GB2312" w:cs="Times New Roman"/>
          <w:sz w:val="32"/>
          <w:szCs w:val="32"/>
        </w:rPr>
        <w:t>电话：23520857</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18322128973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shd w:val="clear" w:color="auto" w:fill="FFFFFF"/>
          <w:lang w:val="en"/>
        </w:rPr>
      </w:pPr>
      <w:r>
        <w:rPr>
          <w:rFonts w:hint="eastAsia" w:ascii="仿宋_GB2312" w:hAnsi="仿宋_GB2312" w:eastAsia="仿宋_GB2312" w:cs="仿宋_GB2312"/>
          <w:color w:val="auto"/>
          <w:kern w:val="2"/>
          <w:sz w:val="32"/>
          <w:szCs w:val="32"/>
          <w:highlight w:val="none"/>
          <w:lang w:val="en-US" w:eastAsia="zh-CN" w:bidi="ar-SA"/>
        </w:rPr>
        <w:t xml:space="preserve"> （此件主动公开）     </w:t>
      </w:r>
    </w:p>
    <w:p/>
    <w:p>
      <w:pPr>
        <w:spacing w:line="560" w:lineRule="exact"/>
        <w:jc w:val="center"/>
        <w:outlineLvl w:val="0"/>
        <w:rPr>
          <w:rFonts w:ascii="Times New Roman" w:hAnsi="Times New Roman" w:eastAsia="方正小标宋简体" w:cs="Times New Roman"/>
          <w:color w:val="auto"/>
          <w:sz w:val="44"/>
          <w:szCs w:val="44"/>
          <w:highlight w:val="none"/>
          <w:u w:val="none"/>
        </w:rPr>
      </w:pPr>
    </w:p>
    <w:p>
      <w:pPr>
        <w:spacing w:line="560" w:lineRule="exact"/>
        <w:jc w:val="center"/>
        <w:rPr>
          <w:rFonts w:hint="eastAsia" w:ascii="Times New Roman" w:hAnsi="Times New Roman" w:eastAsia="方正小标宋简体" w:cs="Times New Roman"/>
          <w:color w:val="auto"/>
          <w:sz w:val="44"/>
          <w:szCs w:val="44"/>
          <w:highlight w:val="none"/>
          <w:u w:val="none"/>
        </w:rPr>
      </w:pPr>
      <w:r>
        <w:rPr>
          <w:rFonts w:hint="eastAsia" w:ascii="Times New Roman" w:hAnsi="Times New Roman" w:eastAsia="方正小标宋简体" w:cs="Times New Roman"/>
          <w:color w:val="auto"/>
          <w:sz w:val="44"/>
          <w:szCs w:val="44"/>
          <w:highlight w:val="none"/>
          <w:u w:val="none"/>
        </w:rPr>
        <w:t>天津市质量基础设施助力产业链供应链</w:t>
      </w:r>
    </w:p>
    <w:p>
      <w:pPr>
        <w:spacing w:line="560" w:lineRule="exact"/>
        <w:jc w:val="center"/>
        <w:rPr>
          <w:rFonts w:hint="eastAsia" w:ascii="Times New Roman" w:hAnsi="Times New Roman" w:eastAsia="方正小标宋简体" w:cs="Times New Roman"/>
          <w:color w:val="auto"/>
          <w:sz w:val="44"/>
          <w:szCs w:val="44"/>
          <w:highlight w:val="none"/>
          <w:u w:val="none"/>
        </w:rPr>
      </w:pPr>
      <w:r>
        <w:rPr>
          <w:rFonts w:hint="eastAsia" w:ascii="Times New Roman" w:hAnsi="Times New Roman" w:eastAsia="方正小标宋简体" w:cs="Times New Roman"/>
          <w:color w:val="auto"/>
          <w:sz w:val="44"/>
          <w:szCs w:val="44"/>
          <w:highlight w:val="none"/>
          <w:u w:val="none"/>
        </w:rPr>
        <w:t>质量联动提升工作方案</w:t>
      </w:r>
    </w:p>
    <w:p>
      <w:pPr>
        <w:pStyle w:val="2"/>
      </w:pPr>
    </w:p>
    <w:p>
      <w:pPr>
        <w:spacing w:line="560" w:lineRule="exact"/>
        <w:outlineLvl w:val="0"/>
        <w:rPr>
          <w:rFonts w:ascii="Times New Roman" w:hAnsi="Times New Roman" w:eastAsia="仿宋_GB2312" w:cs="Times New Roman"/>
          <w:color w:val="auto"/>
          <w:sz w:val="32"/>
          <w:szCs w:val="32"/>
          <w:highlight w:val="none"/>
          <w:u w:val="none"/>
          <w:lang w:val="en"/>
        </w:rPr>
      </w:pPr>
      <w:r>
        <w:rPr>
          <w:rFonts w:ascii="Times New Roman" w:hAnsi="Times New Roman" w:eastAsia="仿宋_GB2312" w:cs="Times New Roman"/>
          <w:color w:val="auto"/>
          <w:sz w:val="32"/>
          <w:szCs w:val="32"/>
          <w:highlight w:val="none"/>
          <w:u w:val="none"/>
        </w:rPr>
        <w:t xml:space="preserve">    </w:t>
      </w:r>
      <w:r>
        <w:rPr>
          <w:rFonts w:ascii="Times New Roman" w:hAnsi="Times New Roman" w:eastAsia="仿宋_GB2312" w:cs="Times New Roman"/>
          <w:color w:val="auto"/>
          <w:sz w:val="32"/>
          <w:szCs w:val="32"/>
          <w:highlight w:val="none"/>
          <w:u w:val="none"/>
          <w:lang w:val="en"/>
        </w:rPr>
        <w:t>为深入贯彻党的二十大和习近平总书记视察天津重要讲话精神，</w:t>
      </w:r>
      <w:r>
        <w:rPr>
          <w:rFonts w:hint="eastAsia" w:ascii="Times New Roman" w:hAnsi="Times New Roman" w:eastAsia="仿宋_GB2312" w:cs="Times New Roman"/>
          <w:color w:val="auto"/>
          <w:sz w:val="32"/>
          <w:szCs w:val="32"/>
          <w:highlight w:val="none"/>
          <w:u w:val="none"/>
          <w:lang w:val="en"/>
        </w:rPr>
        <w:t>大力推进质量强市建设</w:t>
      </w:r>
      <w:r>
        <w:rPr>
          <w:rFonts w:ascii="Times New Roman" w:hAnsi="Times New Roman" w:eastAsia="仿宋_GB2312" w:cs="Times New Roman"/>
          <w:color w:val="auto"/>
          <w:sz w:val="32"/>
          <w:szCs w:val="32"/>
          <w:highlight w:val="none"/>
          <w:u w:val="none"/>
          <w:lang w:val="en"/>
        </w:rPr>
        <w:t>，</w:t>
      </w:r>
      <w:r>
        <w:rPr>
          <w:rFonts w:hint="eastAsia" w:ascii="Times New Roman" w:hAnsi="Times New Roman" w:eastAsia="仿宋_GB2312" w:cs="Times New Roman"/>
          <w:color w:val="auto"/>
          <w:sz w:val="32"/>
          <w:szCs w:val="32"/>
          <w:highlight w:val="none"/>
          <w:u w:val="none"/>
          <w:lang w:val="en"/>
        </w:rPr>
        <w:t>全面落实</w:t>
      </w:r>
      <w:r>
        <w:rPr>
          <w:rFonts w:ascii="Times New Roman" w:hAnsi="Times New Roman" w:eastAsia="仿宋_GB2312" w:cs="Times New Roman"/>
          <w:color w:val="auto"/>
          <w:sz w:val="32"/>
          <w:szCs w:val="32"/>
          <w:highlight w:val="none"/>
          <w:u w:val="none"/>
          <w:lang w:val="en"/>
        </w:rPr>
        <w:t>市场监管总局等5部门《关于质量基础设施助力产业链供应链质量联动提升的指导意见》</w:t>
      </w:r>
      <w:r>
        <w:rPr>
          <w:rFonts w:hint="eastAsia" w:ascii="仿宋_GB2312" w:hAnsi="仿宋_GB2312" w:eastAsia="仿宋_GB2312" w:cs="仿宋_GB2312"/>
          <w:color w:val="auto"/>
          <w:sz w:val="32"/>
          <w:szCs w:val="32"/>
          <w:highlight w:val="none"/>
          <w:u w:val="none"/>
        </w:rPr>
        <w:t>及《关于加快推进质量基础设施助力产业链供应链质量联动提升试点工作的通知》部署要求</w:t>
      </w:r>
      <w:r>
        <w:rPr>
          <w:rFonts w:ascii="Times New Roman" w:hAnsi="Times New Roman" w:eastAsia="仿宋_GB2312" w:cs="Times New Roman"/>
          <w:color w:val="auto"/>
          <w:sz w:val="32"/>
          <w:szCs w:val="32"/>
          <w:highlight w:val="none"/>
          <w:u w:val="none"/>
          <w:lang w:val="en"/>
        </w:rPr>
        <w:t>，</w:t>
      </w:r>
      <w:r>
        <w:rPr>
          <w:rFonts w:hint="eastAsia" w:ascii="Times New Roman" w:hAnsi="Times New Roman" w:eastAsia="仿宋_GB2312" w:cs="Times New Roman"/>
          <w:color w:val="auto"/>
          <w:sz w:val="32"/>
          <w:szCs w:val="32"/>
          <w:highlight w:val="none"/>
          <w:u w:val="none"/>
          <w:lang w:val="en"/>
        </w:rPr>
        <w:t>充分</w:t>
      </w:r>
      <w:r>
        <w:rPr>
          <w:rFonts w:ascii="Times New Roman" w:hAnsi="Times New Roman" w:eastAsia="仿宋_GB2312" w:cs="Times New Roman"/>
          <w:color w:val="auto"/>
          <w:sz w:val="32"/>
          <w:szCs w:val="32"/>
          <w:highlight w:val="none"/>
          <w:u w:val="none"/>
          <w:lang w:val="en"/>
        </w:rPr>
        <w:t>发挥质量基础设施效能</w:t>
      </w:r>
      <w:r>
        <w:rPr>
          <w:rFonts w:hint="eastAsia" w:ascii="Times New Roman" w:hAnsi="Times New Roman" w:eastAsia="仿宋_GB2312" w:cs="Times New Roman"/>
          <w:color w:val="auto"/>
          <w:sz w:val="32"/>
          <w:szCs w:val="32"/>
          <w:highlight w:val="none"/>
          <w:u w:val="none"/>
          <w:lang w:val="en"/>
        </w:rPr>
        <w:t>，持续</w:t>
      </w:r>
      <w:r>
        <w:rPr>
          <w:rFonts w:ascii="Times New Roman" w:hAnsi="Times New Roman" w:eastAsia="仿宋_GB2312" w:cs="Times New Roman"/>
          <w:color w:val="auto"/>
          <w:sz w:val="32"/>
          <w:szCs w:val="32"/>
          <w:highlight w:val="none"/>
          <w:u w:val="none"/>
          <w:lang w:val="en"/>
        </w:rPr>
        <w:t>助力产业链供应链质量联动提升，</w:t>
      </w:r>
      <w:r>
        <w:rPr>
          <w:rFonts w:hint="eastAsia" w:ascii="Times New Roman" w:hAnsi="Times New Roman" w:eastAsia="仿宋_GB2312" w:cs="Times New Roman"/>
          <w:color w:val="auto"/>
          <w:sz w:val="32"/>
          <w:szCs w:val="32"/>
          <w:highlight w:val="none"/>
          <w:u w:val="none"/>
          <w:lang w:val="en"/>
        </w:rPr>
        <w:t>特</w:t>
      </w:r>
      <w:r>
        <w:rPr>
          <w:rFonts w:ascii="Times New Roman" w:hAnsi="Times New Roman" w:eastAsia="仿宋_GB2312" w:cs="Times New Roman"/>
          <w:color w:val="auto"/>
          <w:sz w:val="32"/>
          <w:szCs w:val="32"/>
          <w:highlight w:val="none"/>
          <w:u w:val="none"/>
          <w:lang w:val="en"/>
        </w:rPr>
        <w:t>制定</w:t>
      </w:r>
      <w:r>
        <w:rPr>
          <w:rFonts w:hint="eastAsia" w:ascii="Times New Roman" w:hAnsi="Times New Roman" w:eastAsia="仿宋_GB2312" w:cs="Times New Roman"/>
          <w:color w:val="auto"/>
          <w:sz w:val="32"/>
          <w:szCs w:val="32"/>
          <w:highlight w:val="none"/>
          <w:u w:val="none"/>
          <w:lang w:val="en"/>
        </w:rPr>
        <w:t>本</w:t>
      </w:r>
      <w:r>
        <w:rPr>
          <w:rFonts w:ascii="Times New Roman" w:hAnsi="Times New Roman" w:eastAsia="仿宋_GB2312" w:cs="Times New Roman"/>
          <w:color w:val="auto"/>
          <w:sz w:val="32"/>
          <w:szCs w:val="32"/>
          <w:highlight w:val="none"/>
          <w:u w:val="none"/>
          <w:lang w:val="en"/>
        </w:rPr>
        <w:t>方案。</w:t>
      </w:r>
    </w:p>
    <w:p>
      <w:pPr>
        <w:spacing w:line="560" w:lineRule="exact"/>
        <w:ind w:firstLine="640"/>
        <w:outlineLvl w:val="0"/>
        <w:rPr>
          <w:rFonts w:ascii="Times New Roman" w:hAnsi="Times New Roman" w:eastAsia="黑体" w:cs="Times New Roman"/>
          <w:color w:val="auto"/>
          <w:sz w:val="32"/>
          <w:szCs w:val="32"/>
          <w:highlight w:val="none"/>
          <w:u w:val="none"/>
          <w:lang w:val="en"/>
        </w:rPr>
      </w:pPr>
      <w:r>
        <w:rPr>
          <w:rFonts w:ascii="Times New Roman" w:hAnsi="Times New Roman" w:eastAsia="黑体" w:cs="Times New Roman"/>
          <w:color w:val="auto"/>
          <w:sz w:val="32"/>
          <w:szCs w:val="32"/>
          <w:highlight w:val="none"/>
          <w:u w:val="none"/>
          <w:lang w:val="en"/>
        </w:rPr>
        <w:t>一、总体要求</w:t>
      </w:r>
    </w:p>
    <w:p>
      <w:pPr>
        <w:spacing w:line="560" w:lineRule="exact"/>
        <w:outlineLvl w:val="0"/>
        <w:rPr>
          <w:rFonts w:ascii="Times New Roman" w:hAnsi="Times New Roman" w:eastAsia="楷体" w:cs="Times New Roman"/>
          <w:color w:val="auto"/>
          <w:sz w:val="32"/>
          <w:szCs w:val="32"/>
          <w:highlight w:val="none"/>
          <w:u w:val="none"/>
          <w:lang w:val="en"/>
        </w:rPr>
      </w:pPr>
      <w:r>
        <w:rPr>
          <w:rFonts w:ascii="Times New Roman" w:hAnsi="Times New Roman" w:eastAsia="楷体" w:cs="Times New Roman"/>
          <w:color w:val="auto"/>
          <w:sz w:val="32"/>
          <w:szCs w:val="32"/>
          <w:highlight w:val="none"/>
          <w:u w:val="none"/>
        </w:rPr>
        <w:t xml:space="preserve">    </w:t>
      </w:r>
      <w:r>
        <w:rPr>
          <w:rFonts w:ascii="Times New Roman" w:hAnsi="Times New Roman" w:eastAsia="楷体" w:cs="Times New Roman"/>
          <w:color w:val="auto"/>
          <w:sz w:val="32"/>
          <w:szCs w:val="32"/>
          <w:highlight w:val="none"/>
          <w:u w:val="none"/>
          <w:lang w:val="en"/>
        </w:rPr>
        <w:t>（一）指导思想</w:t>
      </w:r>
    </w:p>
    <w:p>
      <w:pPr>
        <w:spacing w:line="560" w:lineRule="exact"/>
        <w:ind w:firstLine="640" w:firstLineChars="200"/>
        <w:outlineLvl w:val="0"/>
        <w:rPr>
          <w:rFonts w:ascii="Times New Roman" w:hAnsi="Times New Roman" w:eastAsia="仿宋_GB2312" w:cs="Times New Roman"/>
          <w:color w:val="auto"/>
          <w:sz w:val="32"/>
          <w:szCs w:val="32"/>
          <w:highlight w:val="none"/>
          <w:u w:val="none"/>
          <w:lang w:val="en"/>
        </w:rPr>
      </w:pPr>
      <w:r>
        <w:rPr>
          <w:rFonts w:ascii="Times New Roman" w:hAnsi="Times New Roman" w:eastAsia="仿宋_GB2312" w:cs="Times New Roman"/>
          <w:color w:val="auto"/>
          <w:sz w:val="32"/>
          <w:szCs w:val="32"/>
          <w:highlight w:val="none"/>
          <w:u w:val="none"/>
          <w:lang w:val="en"/>
        </w:rPr>
        <w:t>以习近平新时代中国特色社会主义思想为指导，全面贯彻党的二十大和二十届二中全会、中央经济工作会议和习近平总书记视察天津重要讲话精神，</w:t>
      </w:r>
      <w:r>
        <w:rPr>
          <w:rFonts w:hint="eastAsia" w:ascii="Times New Roman" w:hAnsi="Times New Roman" w:eastAsia="仿宋_GB2312" w:cs="Times New Roman"/>
          <w:color w:val="auto"/>
          <w:sz w:val="32"/>
          <w:szCs w:val="32"/>
          <w:highlight w:val="none"/>
          <w:u w:val="none"/>
          <w:lang w:val="en" w:eastAsia="zh-CN"/>
        </w:rPr>
        <w:t>践行“四个善作善成”重要要求，加快形成</w:t>
      </w:r>
      <w:r>
        <w:rPr>
          <w:rFonts w:ascii="Times New Roman" w:hAnsi="Times New Roman" w:eastAsia="仿宋_GB2312" w:cs="Times New Roman"/>
          <w:color w:val="auto"/>
          <w:sz w:val="32"/>
          <w:szCs w:val="32"/>
          <w:highlight w:val="none"/>
          <w:u w:val="none"/>
          <w:lang w:val="en"/>
        </w:rPr>
        <w:t>新质生产力。围绕高质量发展“十项行动”，聚焦“三新三量”，立足新发展阶段，完整、准确、全面贯彻新发展理念，构建新发展格局</w:t>
      </w:r>
      <w:r>
        <w:rPr>
          <w:rFonts w:hint="eastAsia" w:ascii="Times New Roman" w:hAnsi="Times New Roman" w:eastAsia="仿宋_GB2312" w:cs="Times New Roman"/>
          <w:color w:val="auto"/>
          <w:sz w:val="32"/>
          <w:szCs w:val="32"/>
          <w:highlight w:val="none"/>
          <w:u w:val="none"/>
          <w:lang w:val="en" w:eastAsia="zh-CN"/>
        </w:rPr>
        <w:t>。</w:t>
      </w:r>
      <w:r>
        <w:rPr>
          <w:rFonts w:ascii="Times New Roman" w:hAnsi="Times New Roman" w:eastAsia="仿宋_GB2312" w:cs="Times New Roman"/>
          <w:color w:val="auto"/>
          <w:sz w:val="32"/>
          <w:szCs w:val="32"/>
          <w:highlight w:val="none"/>
          <w:u w:val="none"/>
          <w:lang w:val="en"/>
        </w:rPr>
        <w:t>大力增强质量意识，视质量为生命，以高质量为追求，突出讲政治、求实效、扩影响，聚焦产业链供应链重大质量瓶颈问题，加强质量支撑和标准引领，系统推进质量强链，更好发挥质量在产业建圈强链中的作用，加快建设质量强市，</w:t>
      </w:r>
      <w:r>
        <w:rPr>
          <w:rFonts w:ascii="Times New Roman" w:hAnsi="Times New Roman" w:eastAsia="仿宋_GB2312" w:cs="Times New Roman"/>
          <w:color w:val="auto"/>
          <w:sz w:val="32"/>
          <w:szCs w:val="32"/>
          <w:highlight w:val="none"/>
          <w:u w:val="none"/>
        </w:rPr>
        <w:t>为全面建设社会主义现代化大都市提供</w:t>
      </w:r>
      <w:r>
        <w:rPr>
          <w:rFonts w:hint="eastAsia" w:ascii="Times New Roman" w:hAnsi="Times New Roman" w:eastAsia="仿宋_GB2312" w:cs="Times New Roman"/>
          <w:color w:val="auto"/>
          <w:sz w:val="32"/>
          <w:szCs w:val="32"/>
          <w:highlight w:val="none"/>
          <w:u w:val="none"/>
        </w:rPr>
        <w:t>坚强</w:t>
      </w:r>
      <w:r>
        <w:rPr>
          <w:rFonts w:ascii="Times New Roman" w:hAnsi="Times New Roman" w:eastAsia="仿宋_GB2312" w:cs="Times New Roman"/>
          <w:color w:val="auto"/>
          <w:sz w:val="32"/>
          <w:szCs w:val="32"/>
          <w:highlight w:val="none"/>
          <w:u w:val="none"/>
        </w:rPr>
        <w:t>质量支撑。</w:t>
      </w:r>
    </w:p>
    <w:p>
      <w:pPr>
        <w:spacing w:line="560" w:lineRule="exact"/>
        <w:outlineLvl w:val="0"/>
        <w:rPr>
          <w:rFonts w:ascii="Times New Roman" w:hAnsi="Times New Roman" w:eastAsia="楷体" w:cs="Times New Roman"/>
          <w:color w:val="auto"/>
          <w:sz w:val="32"/>
          <w:szCs w:val="32"/>
          <w:highlight w:val="none"/>
          <w:u w:val="none"/>
          <w:lang w:val="en"/>
        </w:rPr>
      </w:pPr>
      <w:r>
        <w:rPr>
          <w:rFonts w:ascii="Times New Roman" w:hAnsi="Times New Roman" w:eastAsia="楷体" w:cs="Times New Roman"/>
          <w:color w:val="auto"/>
          <w:sz w:val="32"/>
          <w:szCs w:val="32"/>
          <w:highlight w:val="none"/>
          <w:u w:val="none"/>
        </w:rPr>
        <w:t xml:space="preserve">   </w:t>
      </w:r>
      <w:r>
        <w:rPr>
          <w:rFonts w:ascii="Times New Roman" w:hAnsi="Times New Roman" w:eastAsia="楷体" w:cs="Times New Roman"/>
          <w:color w:val="auto"/>
          <w:sz w:val="32"/>
          <w:szCs w:val="32"/>
          <w:highlight w:val="none"/>
          <w:u w:val="none"/>
          <w:lang w:val="en"/>
        </w:rPr>
        <w:t>（二）基本原则</w:t>
      </w:r>
    </w:p>
    <w:p>
      <w:pPr>
        <w:spacing w:line="560" w:lineRule="exact"/>
        <w:ind w:firstLine="642" w:firstLineChars="200"/>
        <w:outlineLvl w:val="0"/>
        <w:rPr>
          <w:rFonts w:ascii="Times New Roman" w:hAnsi="Times New Roman" w:eastAsia="仿宋_GB2312" w:cs="Times New Roman"/>
          <w:color w:val="auto"/>
          <w:sz w:val="32"/>
          <w:szCs w:val="32"/>
          <w:highlight w:val="none"/>
          <w:u w:val="none"/>
          <w:lang w:val="en"/>
        </w:rPr>
      </w:pPr>
      <w:r>
        <w:rPr>
          <w:rFonts w:ascii="Times New Roman" w:hAnsi="Times New Roman" w:eastAsia="仿宋_GB2312" w:cs="Times New Roman"/>
          <w:b/>
          <w:bCs/>
          <w:color w:val="auto"/>
          <w:sz w:val="32"/>
          <w:szCs w:val="32"/>
          <w:highlight w:val="none"/>
          <w:u w:val="none"/>
          <w:lang w:val="en"/>
        </w:rPr>
        <w:t>坚持聚焦重点。</w:t>
      </w:r>
      <w:r>
        <w:rPr>
          <w:rFonts w:ascii="Times New Roman" w:hAnsi="Times New Roman" w:eastAsia="仿宋_GB2312" w:cs="Times New Roman"/>
          <w:color w:val="auto"/>
          <w:sz w:val="32"/>
          <w:szCs w:val="32"/>
          <w:highlight w:val="none"/>
          <w:u w:val="none"/>
          <w:lang w:val="en"/>
        </w:rPr>
        <w:t>围绕加快构建“1+3+4”现代工业产业体系，</w:t>
      </w:r>
      <w:r>
        <w:rPr>
          <w:rFonts w:hint="eastAsia" w:ascii="Times New Roman" w:hAnsi="Times New Roman" w:eastAsia="仿宋_GB2312" w:cs="Times New Roman"/>
          <w:color w:val="auto"/>
          <w:sz w:val="32"/>
          <w:szCs w:val="32"/>
          <w:highlight w:val="none"/>
          <w:u w:val="none"/>
          <w:lang w:val="en"/>
        </w:rPr>
        <w:t>聚焦</w:t>
      </w:r>
      <w:r>
        <w:rPr>
          <w:rFonts w:ascii="Times New Roman" w:hAnsi="Times New Roman" w:eastAsia="仿宋_GB2312" w:cs="Times New Roman"/>
          <w:color w:val="auto"/>
          <w:sz w:val="32"/>
          <w:szCs w:val="32"/>
          <w:highlight w:val="none"/>
          <w:u w:val="none"/>
          <w:lang w:val="en"/>
        </w:rPr>
        <w:t>我市12条重点产业链，充分释放质量基础设施效能，实现上中下游各环节质量联动发展，点线面各层级质量协同共进，助力产业链供应链质量联动提升。</w:t>
      </w:r>
    </w:p>
    <w:p>
      <w:pPr>
        <w:spacing w:line="560" w:lineRule="exact"/>
        <w:outlineLvl w:val="0"/>
        <w:rPr>
          <w:rFonts w:ascii="Times New Roman" w:hAnsi="Times New Roman" w:eastAsia="仿宋_GB2312" w:cs="Times New Roman"/>
          <w:color w:val="auto"/>
          <w:sz w:val="32"/>
          <w:szCs w:val="32"/>
          <w:highlight w:val="none"/>
          <w:u w:val="none"/>
          <w:lang w:val="en"/>
        </w:rPr>
      </w:pPr>
      <w:r>
        <w:rPr>
          <w:rFonts w:ascii="Times New Roman" w:hAnsi="Times New Roman" w:eastAsia="仿宋_GB2312" w:cs="Times New Roman"/>
          <w:b/>
          <w:bCs/>
          <w:color w:val="auto"/>
          <w:sz w:val="32"/>
          <w:szCs w:val="32"/>
          <w:highlight w:val="none"/>
          <w:u w:val="none"/>
        </w:rPr>
        <w:t xml:space="preserve">    </w:t>
      </w:r>
      <w:r>
        <w:rPr>
          <w:rFonts w:ascii="Times New Roman" w:hAnsi="Times New Roman" w:eastAsia="仿宋_GB2312" w:cs="Times New Roman"/>
          <w:b/>
          <w:bCs/>
          <w:color w:val="auto"/>
          <w:sz w:val="32"/>
          <w:szCs w:val="32"/>
          <w:highlight w:val="none"/>
          <w:u w:val="none"/>
          <w:lang w:val="en"/>
        </w:rPr>
        <w:t>坚持系统观念。</w:t>
      </w:r>
      <w:r>
        <w:rPr>
          <w:rFonts w:ascii="Times New Roman" w:hAnsi="Times New Roman" w:eastAsia="仿宋_GB2312" w:cs="Times New Roman"/>
          <w:color w:val="auto"/>
          <w:sz w:val="32"/>
          <w:szCs w:val="32"/>
          <w:highlight w:val="none"/>
          <w:u w:val="none"/>
          <w:lang w:val="en"/>
        </w:rPr>
        <w:t>强化链式思维，紧贴产业链供应链需求，把质量贯穿到产业高质量发展各方面、全过程，一起谋划、一起部署。强化计量、标准、检验检测、认证认可等质量要素协同，构建质量提升生态圈，赋能产业链供应链质量全方位升级。</w:t>
      </w:r>
    </w:p>
    <w:p>
      <w:pPr>
        <w:spacing w:line="560" w:lineRule="exact"/>
        <w:outlineLvl w:val="0"/>
        <w:rPr>
          <w:rFonts w:ascii="Times New Roman" w:hAnsi="Times New Roman" w:eastAsia="仿宋_GB2312" w:cs="Times New Roman"/>
          <w:color w:val="auto"/>
          <w:sz w:val="32"/>
          <w:szCs w:val="32"/>
          <w:highlight w:val="none"/>
          <w:u w:val="none"/>
          <w:lang w:val="en"/>
        </w:rPr>
      </w:pPr>
      <w:r>
        <w:rPr>
          <w:rFonts w:ascii="Times New Roman" w:hAnsi="Times New Roman" w:eastAsia="仿宋_GB2312" w:cs="Times New Roman"/>
          <w:color w:val="auto"/>
          <w:sz w:val="32"/>
          <w:szCs w:val="32"/>
          <w:highlight w:val="none"/>
          <w:u w:val="none"/>
        </w:rPr>
        <w:t xml:space="preserve">    </w:t>
      </w:r>
      <w:r>
        <w:rPr>
          <w:rFonts w:ascii="Times New Roman" w:hAnsi="Times New Roman" w:eastAsia="仿宋_GB2312" w:cs="Times New Roman"/>
          <w:b/>
          <w:bCs/>
          <w:color w:val="auto"/>
          <w:sz w:val="32"/>
          <w:szCs w:val="32"/>
          <w:highlight w:val="none"/>
          <w:u w:val="none"/>
          <w:lang w:val="en"/>
        </w:rPr>
        <w:t>坚持问题导向。</w:t>
      </w:r>
      <w:r>
        <w:rPr>
          <w:rFonts w:ascii="Times New Roman" w:hAnsi="Times New Roman" w:eastAsia="仿宋_GB2312" w:cs="Times New Roman"/>
          <w:color w:val="auto"/>
          <w:sz w:val="32"/>
          <w:szCs w:val="32"/>
          <w:highlight w:val="none"/>
          <w:u w:val="none"/>
          <w:lang w:val="en"/>
        </w:rPr>
        <w:t>聚焦产业高质量发展的堵点、难点、痛点问题，聚合产业链供应链优质资源，合力攻坚、联合攻关。针对企业特别是中小微企业“急难愁盼”问题，注重从小处着眼、实处着力，以小切口撬动质量大提升。</w:t>
      </w:r>
    </w:p>
    <w:p>
      <w:pPr>
        <w:spacing w:line="560" w:lineRule="exact"/>
        <w:outlineLvl w:val="0"/>
        <w:rPr>
          <w:rFonts w:ascii="Times New Roman" w:hAnsi="Times New Roman" w:eastAsia="仿宋_GB2312" w:cs="Times New Roman"/>
          <w:color w:val="auto"/>
          <w:sz w:val="32"/>
          <w:szCs w:val="32"/>
          <w:highlight w:val="none"/>
          <w:u w:val="none"/>
          <w:lang w:val="en"/>
        </w:rPr>
      </w:pPr>
      <w:r>
        <w:rPr>
          <w:rFonts w:ascii="Times New Roman" w:hAnsi="Times New Roman" w:eastAsia="仿宋_GB2312" w:cs="Times New Roman"/>
          <w:color w:val="auto"/>
          <w:sz w:val="32"/>
          <w:szCs w:val="32"/>
          <w:highlight w:val="none"/>
          <w:u w:val="none"/>
        </w:rPr>
        <w:t xml:space="preserve">    </w:t>
      </w:r>
      <w:r>
        <w:rPr>
          <w:rFonts w:ascii="Times New Roman" w:hAnsi="Times New Roman" w:eastAsia="仿宋_GB2312" w:cs="Times New Roman"/>
          <w:b/>
          <w:bCs/>
          <w:color w:val="auto"/>
          <w:sz w:val="32"/>
          <w:szCs w:val="32"/>
          <w:highlight w:val="none"/>
          <w:u w:val="none"/>
          <w:lang w:val="en"/>
        </w:rPr>
        <w:t>坚持分类施策。</w:t>
      </w:r>
      <w:r>
        <w:rPr>
          <w:rFonts w:ascii="Times New Roman" w:hAnsi="Times New Roman" w:eastAsia="仿宋_GB2312" w:cs="Times New Roman"/>
          <w:color w:val="auto"/>
          <w:sz w:val="32"/>
          <w:szCs w:val="32"/>
          <w:highlight w:val="none"/>
          <w:u w:val="none"/>
          <w:lang w:val="en"/>
        </w:rPr>
        <w:t>科学谋划与产业发展相适配的质量提升路径，因链施策、一链一策，坚持一个一个行业抓、一个一个产品抓，直到抓出成效。突出发挥链主企业牵引作用，根据产业链特点创新质量提升机制，辐射带动全链条质量整体提升。</w:t>
      </w:r>
    </w:p>
    <w:p>
      <w:pPr>
        <w:spacing w:line="560" w:lineRule="exact"/>
        <w:outlineLvl w:val="0"/>
        <w:rPr>
          <w:rFonts w:ascii="Times New Roman" w:hAnsi="Times New Roman" w:eastAsia="楷体" w:cs="Times New Roman"/>
          <w:color w:val="auto"/>
          <w:sz w:val="32"/>
          <w:szCs w:val="32"/>
          <w:highlight w:val="none"/>
          <w:u w:val="none"/>
          <w:lang w:val="en"/>
        </w:rPr>
      </w:pPr>
      <w:r>
        <w:rPr>
          <w:rFonts w:ascii="Times New Roman" w:hAnsi="Times New Roman" w:eastAsia="楷体" w:cs="Times New Roman"/>
          <w:color w:val="auto"/>
          <w:sz w:val="32"/>
          <w:szCs w:val="32"/>
          <w:highlight w:val="none"/>
          <w:u w:val="none"/>
        </w:rPr>
        <w:t xml:space="preserve">   </w:t>
      </w:r>
      <w:r>
        <w:rPr>
          <w:rFonts w:ascii="Times New Roman" w:hAnsi="Times New Roman" w:eastAsia="楷体" w:cs="Times New Roman"/>
          <w:color w:val="auto"/>
          <w:sz w:val="32"/>
          <w:szCs w:val="32"/>
          <w:highlight w:val="none"/>
          <w:u w:val="none"/>
          <w:lang w:val="en"/>
        </w:rPr>
        <w:t>（三）工作机制</w:t>
      </w:r>
    </w:p>
    <w:p>
      <w:pPr>
        <w:pStyle w:val="18"/>
        <w:spacing w:line="560" w:lineRule="exact"/>
        <w:ind w:firstLine="640" w:firstLineChars="0"/>
        <w:rPr>
          <w:rFonts w:ascii="Times New Roman" w:hAnsi="Times New Roman" w:eastAsia="仿宋_GB2312" w:cs="Times New Roman"/>
          <w:color w:val="auto"/>
          <w:highlight w:val="none"/>
          <w:u w:val="none"/>
          <w:lang w:val="en"/>
        </w:rPr>
      </w:pPr>
      <w:r>
        <w:rPr>
          <w:rFonts w:ascii="Times New Roman" w:hAnsi="Times New Roman" w:eastAsia="仿宋_GB2312" w:cs="Times New Roman"/>
          <w:color w:val="auto"/>
          <w:highlight w:val="none"/>
          <w:u w:val="none"/>
          <w:lang w:val="en"/>
        </w:rPr>
        <w:t>建立“六个一”工作推进机制，即：一条产业链、一个工作专班、一套工作方案、一个链主企业、一批技术支撑机构、一套专属政策组合包。</w:t>
      </w:r>
      <w:r>
        <w:rPr>
          <w:rFonts w:hint="eastAsia" w:ascii="Times New Roman" w:hAnsi="Times New Roman" w:eastAsia="仿宋_GB2312" w:cs="Times New Roman"/>
          <w:color w:val="auto"/>
          <w:highlight w:val="none"/>
          <w:u w:val="none"/>
          <w:lang w:val="en"/>
        </w:rPr>
        <w:t>确定</w:t>
      </w:r>
      <w:r>
        <w:rPr>
          <w:rFonts w:ascii="Times New Roman" w:hAnsi="Times New Roman" w:eastAsia="仿宋_GB2312" w:cs="Times New Roman"/>
          <w:color w:val="auto"/>
          <w:highlight w:val="none"/>
          <w:u w:val="none"/>
        </w:rPr>
        <w:t>链长组织、链主引领、链员协同、基础支撑、技术赋能、协会参与的质量提升模式。</w:t>
      </w:r>
    </w:p>
    <w:p>
      <w:pPr>
        <w:pStyle w:val="18"/>
        <w:spacing w:line="560" w:lineRule="exact"/>
        <w:ind w:firstLine="640" w:firstLineChars="0"/>
        <w:rPr>
          <w:rFonts w:ascii="Times New Roman" w:hAnsi="Times New Roman" w:eastAsia="仿宋_GB2312" w:cs="Times New Roman"/>
          <w:color w:val="auto"/>
          <w:highlight w:val="none"/>
          <w:u w:val="none"/>
          <w:lang w:val="en"/>
        </w:rPr>
      </w:pPr>
      <w:r>
        <w:rPr>
          <w:rFonts w:ascii="Times New Roman" w:hAnsi="Times New Roman" w:eastAsia="仿宋_GB2312" w:cs="Times New Roman"/>
          <w:color w:val="auto"/>
          <w:highlight w:val="none"/>
          <w:u w:val="none"/>
          <w:lang w:val="en"/>
        </w:rPr>
        <w:t>工作专班</w:t>
      </w:r>
      <w:r>
        <w:rPr>
          <w:rFonts w:hint="eastAsia" w:ascii="Times New Roman" w:hAnsi="Times New Roman" w:eastAsia="仿宋_GB2312" w:cs="Times New Roman"/>
          <w:color w:val="auto"/>
          <w:highlight w:val="none"/>
          <w:u w:val="none"/>
          <w:lang w:val="en"/>
        </w:rPr>
        <w:t>由链长单位牵头组织，办公室</w:t>
      </w:r>
      <w:r>
        <w:rPr>
          <w:rFonts w:ascii="Times New Roman" w:hAnsi="Times New Roman" w:eastAsia="仿宋_GB2312" w:cs="Times New Roman"/>
          <w:color w:val="auto"/>
          <w:highlight w:val="none"/>
          <w:u w:val="none"/>
          <w:lang w:val="en"/>
        </w:rPr>
        <w:t>设在</w:t>
      </w:r>
      <w:r>
        <w:rPr>
          <w:rFonts w:hint="eastAsia" w:ascii="Times New Roman" w:hAnsi="Times New Roman" w:eastAsia="仿宋_GB2312" w:cs="Times New Roman"/>
          <w:color w:val="auto"/>
          <w:highlight w:val="none"/>
          <w:u w:val="none"/>
          <w:lang w:val="en"/>
        </w:rPr>
        <w:t>相关产业链供应链牵头</w:t>
      </w:r>
      <w:r>
        <w:rPr>
          <w:rFonts w:ascii="Times New Roman" w:hAnsi="Times New Roman" w:eastAsia="仿宋_GB2312" w:cs="Times New Roman"/>
          <w:color w:val="auto"/>
          <w:highlight w:val="none"/>
          <w:u w:val="none"/>
          <w:lang w:val="en"/>
        </w:rPr>
        <w:t>技术机构</w:t>
      </w:r>
      <w:r>
        <w:rPr>
          <w:rFonts w:hint="eastAsia" w:ascii="Times New Roman" w:hAnsi="Times New Roman" w:eastAsia="仿宋_GB2312" w:cs="Times New Roman"/>
          <w:color w:val="auto"/>
          <w:highlight w:val="none"/>
          <w:u w:val="none"/>
          <w:lang w:val="en"/>
        </w:rPr>
        <w:t>，成员包括相关市级部门、重点区</w:t>
      </w:r>
      <w:r>
        <w:rPr>
          <w:rFonts w:hint="eastAsia" w:ascii="Times New Roman" w:hAnsi="Times New Roman" w:eastAsia="仿宋_GB2312" w:cs="Times New Roman"/>
          <w:color w:val="auto"/>
          <w:highlight w:val="none"/>
          <w:u w:val="none"/>
          <w:lang w:val="en" w:eastAsia="zh-CN"/>
        </w:rPr>
        <w:t>、</w:t>
      </w:r>
      <w:r>
        <w:rPr>
          <w:rFonts w:hint="eastAsia" w:ascii="Times New Roman" w:hAnsi="Times New Roman" w:eastAsia="仿宋_GB2312" w:cs="Times New Roman"/>
          <w:color w:val="auto"/>
          <w:highlight w:val="none"/>
          <w:u w:val="none"/>
          <w:lang w:val="en"/>
        </w:rPr>
        <w:t>配合技术机构及</w:t>
      </w:r>
      <w:r>
        <w:rPr>
          <w:rFonts w:hint="eastAsia" w:ascii="Times New Roman" w:hAnsi="Times New Roman" w:eastAsia="仿宋_GB2312" w:cs="Times New Roman"/>
          <w:color w:val="auto"/>
          <w:highlight w:val="none"/>
          <w:u w:val="none"/>
          <w:lang w:val="en" w:eastAsia="zh-CN"/>
        </w:rPr>
        <w:t>相关</w:t>
      </w:r>
      <w:r>
        <w:rPr>
          <w:rFonts w:hint="eastAsia" w:ascii="Times New Roman" w:hAnsi="Times New Roman" w:eastAsia="仿宋_GB2312" w:cs="Times New Roman"/>
          <w:color w:val="auto"/>
          <w:highlight w:val="none"/>
          <w:u w:val="none"/>
          <w:lang w:val="en"/>
        </w:rPr>
        <w:t>行业协会等</w:t>
      </w:r>
      <w:r>
        <w:rPr>
          <w:rFonts w:ascii="Times New Roman" w:hAnsi="Times New Roman" w:eastAsia="仿宋_GB2312" w:cs="Times New Roman"/>
          <w:color w:val="auto"/>
          <w:highlight w:val="none"/>
          <w:u w:val="none"/>
          <w:lang w:val="en"/>
        </w:rPr>
        <w:t>。</w:t>
      </w:r>
    </w:p>
    <w:p>
      <w:pPr>
        <w:spacing w:line="560" w:lineRule="exact"/>
        <w:ind w:firstLine="640"/>
        <w:outlineLvl w:val="0"/>
        <w:rPr>
          <w:rFonts w:ascii="Times New Roman" w:hAnsi="Times New Roman" w:eastAsia="楷体" w:cs="Times New Roman"/>
          <w:color w:val="auto"/>
          <w:sz w:val="32"/>
          <w:szCs w:val="32"/>
          <w:highlight w:val="none"/>
          <w:u w:val="none"/>
          <w:lang w:val="en"/>
        </w:rPr>
      </w:pPr>
      <w:r>
        <w:rPr>
          <w:rFonts w:ascii="Times New Roman" w:hAnsi="Times New Roman" w:eastAsia="楷体" w:cs="Times New Roman"/>
          <w:color w:val="auto"/>
          <w:sz w:val="32"/>
          <w:szCs w:val="32"/>
          <w:highlight w:val="none"/>
          <w:u w:val="none"/>
          <w:lang w:val="en"/>
        </w:rPr>
        <w:t>（四）行动目标</w:t>
      </w:r>
    </w:p>
    <w:p>
      <w:pPr>
        <w:spacing w:line="560" w:lineRule="exact"/>
        <w:ind w:firstLine="640"/>
        <w:outlineLvl w:val="0"/>
        <w:rPr>
          <w:rFonts w:ascii="Times New Roman" w:hAnsi="Times New Roman" w:eastAsia="仿宋_GB2312" w:cs="Times New Roman"/>
          <w:color w:val="auto"/>
          <w:sz w:val="32"/>
          <w:szCs w:val="32"/>
          <w:highlight w:val="none"/>
          <w:u w:val="none"/>
        </w:rPr>
      </w:pPr>
      <w:r>
        <w:rPr>
          <w:rFonts w:ascii="Times New Roman" w:hAnsi="Times New Roman" w:eastAsia="仿宋_GB2312" w:cs="Times New Roman"/>
          <w:color w:val="auto"/>
          <w:sz w:val="32"/>
          <w:szCs w:val="32"/>
          <w:highlight w:val="none"/>
          <w:u w:val="none"/>
          <w:lang w:val="en"/>
        </w:rPr>
        <w:t>到2025年底，建设质量基础设施“一站式服务”站点30个。建</w:t>
      </w:r>
      <w:r>
        <w:rPr>
          <w:rFonts w:hint="eastAsia" w:ascii="Times New Roman" w:hAnsi="Times New Roman" w:eastAsia="仿宋_GB2312" w:cs="Times New Roman"/>
          <w:color w:val="auto"/>
          <w:sz w:val="32"/>
          <w:szCs w:val="32"/>
          <w:highlight w:val="none"/>
          <w:u w:val="none"/>
          <w:lang w:val="en"/>
        </w:rPr>
        <w:t>设</w:t>
      </w:r>
      <w:r>
        <w:rPr>
          <w:rFonts w:ascii="Times New Roman" w:hAnsi="Times New Roman" w:eastAsia="仿宋_GB2312" w:cs="Times New Roman"/>
          <w:snapToGrid w:val="0"/>
          <w:color w:val="auto"/>
          <w:sz w:val="32"/>
          <w:szCs w:val="32"/>
          <w:highlight w:val="none"/>
          <w:u w:val="none"/>
        </w:rPr>
        <w:t>国家级产业计量中心2个</w:t>
      </w:r>
      <w:r>
        <w:rPr>
          <w:rFonts w:hint="eastAsia" w:ascii="Times New Roman" w:hAnsi="Times New Roman" w:eastAsia="仿宋_GB2312" w:cs="Times New Roman"/>
          <w:snapToGrid w:val="0"/>
          <w:color w:val="auto"/>
          <w:sz w:val="32"/>
          <w:szCs w:val="32"/>
          <w:highlight w:val="none"/>
          <w:u w:val="none"/>
        </w:rPr>
        <w:t>、</w:t>
      </w:r>
      <w:r>
        <w:rPr>
          <w:rFonts w:ascii="Times New Roman" w:hAnsi="Times New Roman" w:eastAsia="仿宋_GB2312" w:cs="Times New Roman"/>
          <w:snapToGrid w:val="0"/>
          <w:color w:val="auto"/>
          <w:sz w:val="32"/>
          <w:szCs w:val="32"/>
          <w:highlight w:val="none"/>
          <w:u w:val="none"/>
        </w:rPr>
        <w:t>市级产业计量测试服务中心5个，</w:t>
      </w:r>
      <w:r>
        <w:rPr>
          <w:rFonts w:ascii="Times New Roman" w:hAnsi="Times New Roman" w:eastAsia="仿宋_GB2312" w:cs="Times New Roman"/>
          <w:color w:val="auto"/>
          <w:sz w:val="32"/>
          <w:szCs w:val="32"/>
          <w:highlight w:val="none"/>
          <w:u w:val="none"/>
          <w:lang w:val="en"/>
        </w:rPr>
        <w:t>社会公用计量标准</w:t>
      </w:r>
      <w:r>
        <w:rPr>
          <w:rFonts w:hint="eastAsia" w:ascii="Times New Roman" w:hAnsi="Times New Roman" w:eastAsia="仿宋_GB2312" w:cs="Times New Roman"/>
          <w:color w:val="auto"/>
          <w:sz w:val="32"/>
          <w:szCs w:val="32"/>
          <w:highlight w:val="none"/>
          <w:u w:val="none"/>
          <w:lang w:val="en"/>
        </w:rPr>
        <w:t>达到700</w:t>
      </w:r>
      <w:r>
        <w:rPr>
          <w:rFonts w:ascii="Times New Roman" w:hAnsi="Times New Roman" w:eastAsia="仿宋_GB2312" w:cs="Times New Roman"/>
          <w:color w:val="auto"/>
          <w:sz w:val="32"/>
          <w:szCs w:val="32"/>
          <w:highlight w:val="none"/>
          <w:u w:val="none"/>
          <w:lang w:val="en"/>
        </w:rPr>
        <w:t>项，国家标准验证点</w:t>
      </w:r>
      <w:r>
        <w:rPr>
          <w:rFonts w:hint="eastAsia" w:ascii="Times New Roman" w:hAnsi="Times New Roman" w:eastAsia="仿宋_GB2312" w:cs="Times New Roman"/>
          <w:color w:val="auto"/>
          <w:sz w:val="32"/>
          <w:szCs w:val="32"/>
          <w:highlight w:val="none"/>
          <w:u w:val="none"/>
        </w:rPr>
        <w:t>1</w:t>
      </w:r>
      <w:r>
        <w:rPr>
          <w:rFonts w:ascii="Times New Roman" w:hAnsi="Times New Roman" w:eastAsia="仿宋_GB2312" w:cs="Times New Roman"/>
          <w:color w:val="auto"/>
          <w:sz w:val="32"/>
          <w:szCs w:val="32"/>
          <w:highlight w:val="none"/>
          <w:u w:val="none"/>
          <w:lang w:val="en"/>
        </w:rPr>
        <w:t>个。培育建设产品质量安全风险监测评估基地</w:t>
      </w:r>
      <w:r>
        <w:rPr>
          <w:rFonts w:hint="eastAsia" w:ascii="Times New Roman" w:hAnsi="Times New Roman" w:eastAsia="仿宋_GB2312" w:cs="Times New Roman"/>
          <w:color w:val="auto"/>
          <w:sz w:val="32"/>
          <w:szCs w:val="32"/>
          <w:highlight w:val="none"/>
          <w:u w:val="none"/>
        </w:rPr>
        <w:t>1</w:t>
      </w:r>
      <w:r>
        <w:rPr>
          <w:rFonts w:ascii="Times New Roman" w:hAnsi="Times New Roman" w:eastAsia="仿宋_GB2312" w:cs="Times New Roman"/>
          <w:color w:val="auto"/>
          <w:sz w:val="32"/>
          <w:szCs w:val="32"/>
          <w:highlight w:val="none"/>
          <w:u w:val="none"/>
          <w:lang w:val="en"/>
        </w:rPr>
        <w:t>个</w:t>
      </w:r>
      <w:r>
        <w:rPr>
          <w:rFonts w:hint="eastAsia" w:ascii="Times New Roman" w:hAnsi="Times New Roman" w:eastAsia="仿宋_GB2312" w:cs="Times New Roman"/>
          <w:color w:val="auto"/>
          <w:sz w:val="32"/>
          <w:szCs w:val="32"/>
          <w:highlight w:val="none"/>
          <w:u w:val="none"/>
          <w:lang w:val="en"/>
        </w:rPr>
        <w:t>，</w:t>
      </w:r>
      <w:r>
        <w:rPr>
          <w:rFonts w:ascii="Times New Roman" w:hAnsi="Times New Roman" w:eastAsia="仿宋_GB2312" w:cs="Times New Roman"/>
          <w:color w:val="auto"/>
          <w:sz w:val="32"/>
          <w:szCs w:val="32"/>
          <w:highlight w:val="none"/>
          <w:u w:val="none"/>
          <w:lang w:val="en"/>
        </w:rPr>
        <w:t>创建全国质量品牌提升示范区</w:t>
      </w:r>
      <w:r>
        <w:rPr>
          <w:rFonts w:hint="eastAsia" w:ascii="Times New Roman" w:hAnsi="Times New Roman" w:eastAsia="仿宋_GB2312" w:cs="Times New Roman"/>
          <w:color w:val="auto"/>
          <w:sz w:val="32"/>
          <w:szCs w:val="32"/>
          <w:highlight w:val="none"/>
          <w:u w:val="none"/>
        </w:rPr>
        <w:t>3</w:t>
      </w:r>
      <w:r>
        <w:rPr>
          <w:rFonts w:ascii="Times New Roman" w:hAnsi="Times New Roman" w:eastAsia="仿宋_GB2312" w:cs="Times New Roman"/>
          <w:color w:val="auto"/>
          <w:sz w:val="32"/>
          <w:szCs w:val="32"/>
          <w:highlight w:val="none"/>
          <w:u w:val="none"/>
          <w:lang w:val="en"/>
        </w:rPr>
        <w:t>个，开展产业链供应链质量联动提升试点</w:t>
      </w:r>
      <w:r>
        <w:rPr>
          <w:rFonts w:hint="eastAsia" w:ascii="Times New Roman" w:hAnsi="Times New Roman" w:eastAsia="仿宋_GB2312" w:cs="Times New Roman"/>
          <w:color w:val="auto"/>
          <w:sz w:val="32"/>
          <w:szCs w:val="32"/>
          <w:highlight w:val="none"/>
          <w:u w:val="none"/>
          <w:lang w:val="en"/>
        </w:rPr>
        <w:t>4</w:t>
      </w:r>
      <w:r>
        <w:rPr>
          <w:rFonts w:ascii="Times New Roman" w:hAnsi="Times New Roman" w:eastAsia="仿宋_GB2312" w:cs="Times New Roman"/>
          <w:color w:val="auto"/>
          <w:sz w:val="32"/>
          <w:szCs w:val="32"/>
          <w:highlight w:val="none"/>
          <w:u w:val="none"/>
          <w:lang w:val="en"/>
        </w:rPr>
        <w:t>个</w:t>
      </w:r>
      <w:r>
        <w:rPr>
          <w:rFonts w:hint="eastAsia" w:ascii="Times New Roman" w:hAnsi="Times New Roman" w:eastAsia="仿宋_GB2312" w:cs="Times New Roman"/>
          <w:color w:val="auto"/>
          <w:sz w:val="32"/>
          <w:szCs w:val="32"/>
          <w:highlight w:val="none"/>
          <w:u w:val="none"/>
          <w:lang w:val="en"/>
        </w:rPr>
        <w:t>，</w:t>
      </w:r>
      <w:r>
        <w:rPr>
          <w:rFonts w:ascii="Times New Roman" w:hAnsi="Times New Roman" w:eastAsia="仿宋_GB2312" w:cs="Times New Roman"/>
          <w:color w:val="auto"/>
          <w:sz w:val="32"/>
          <w:szCs w:val="32"/>
          <w:highlight w:val="none"/>
          <w:u w:val="none"/>
          <w:lang w:val="en"/>
        </w:rPr>
        <w:t>建设质量提升培训基地</w:t>
      </w:r>
      <w:r>
        <w:rPr>
          <w:rFonts w:hint="eastAsia" w:ascii="Times New Roman" w:hAnsi="Times New Roman" w:eastAsia="仿宋_GB2312" w:cs="Times New Roman"/>
          <w:color w:val="auto"/>
          <w:sz w:val="32"/>
          <w:szCs w:val="32"/>
          <w:highlight w:val="none"/>
          <w:u w:val="none"/>
        </w:rPr>
        <w:t>5</w:t>
      </w:r>
      <w:r>
        <w:rPr>
          <w:rFonts w:ascii="Times New Roman" w:hAnsi="Times New Roman" w:eastAsia="仿宋_GB2312" w:cs="Times New Roman"/>
          <w:color w:val="auto"/>
          <w:sz w:val="32"/>
          <w:szCs w:val="32"/>
          <w:highlight w:val="none"/>
          <w:u w:val="none"/>
          <w:lang w:val="en"/>
        </w:rPr>
        <w:t>个，培训首席质量官达到1千名以上。</w:t>
      </w:r>
      <w:r>
        <w:rPr>
          <w:rFonts w:hint="eastAsia" w:ascii="Times New Roman" w:hAnsi="Times New Roman" w:eastAsia="仿宋_GB2312" w:cs="Times New Roman"/>
          <w:color w:val="auto"/>
          <w:sz w:val="32"/>
          <w:szCs w:val="32"/>
          <w:highlight w:val="none"/>
          <w:u w:val="none"/>
          <w:lang w:val="en"/>
        </w:rPr>
        <w:t>力争创建</w:t>
      </w:r>
      <w:r>
        <w:rPr>
          <w:rFonts w:ascii="Times New Roman" w:hAnsi="Times New Roman" w:eastAsia="仿宋_GB2312" w:cs="Times New Roman"/>
          <w:color w:val="auto"/>
          <w:sz w:val="32"/>
          <w:szCs w:val="32"/>
          <w:highlight w:val="none"/>
          <w:u w:val="none"/>
          <w:lang w:val="en"/>
        </w:rPr>
        <w:t>国家质量标准实验室、质量基础设施集成服务基地</w:t>
      </w:r>
      <w:r>
        <w:rPr>
          <w:rFonts w:hint="eastAsia" w:ascii="Times New Roman" w:hAnsi="Times New Roman" w:eastAsia="仿宋_GB2312" w:cs="Times New Roman"/>
          <w:color w:val="auto"/>
          <w:sz w:val="32"/>
          <w:szCs w:val="32"/>
          <w:highlight w:val="none"/>
          <w:u w:val="none"/>
          <w:lang w:val="en"/>
        </w:rPr>
        <w:t>，</w:t>
      </w:r>
      <w:r>
        <w:rPr>
          <w:rFonts w:ascii="Times New Roman" w:hAnsi="Times New Roman" w:eastAsia="仿宋_GB2312" w:cs="Times New Roman"/>
          <w:color w:val="auto"/>
          <w:sz w:val="32"/>
          <w:szCs w:val="32"/>
          <w:highlight w:val="none"/>
          <w:u w:val="none"/>
          <w:lang w:val="en"/>
        </w:rPr>
        <w:t>国家和区域服务质量监测评价中心</w:t>
      </w:r>
      <w:r>
        <w:rPr>
          <w:rFonts w:hint="eastAsia" w:ascii="Times New Roman" w:hAnsi="Times New Roman" w:eastAsia="仿宋_GB2312" w:cs="Times New Roman"/>
          <w:color w:val="auto"/>
          <w:sz w:val="32"/>
          <w:szCs w:val="32"/>
          <w:highlight w:val="none"/>
          <w:u w:val="none"/>
          <w:lang w:val="en"/>
        </w:rPr>
        <w:t>及</w:t>
      </w:r>
      <w:r>
        <w:rPr>
          <w:rFonts w:ascii="Times New Roman" w:hAnsi="Times New Roman" w:eastAsia="仿宋_GB2312" w:cs="Times New Roman"/>
          <w:color w:val="auto"/>
          <w:sz w:val="32"/>
          <w:szCs w:val="32"/>
          <w:highlight w:val="none"/>
          <w:u w:val="none"/>
          <w:lang w:val="en"/>
        </w:rPr>
        <w:t>缺陷产品调查协作基地。</w:t>
      </w:r>
    </w:p>
    <w:p>
      <w:pPr>
        <w:spacing w:line="560" w:lineRule="exact"/>
        <w:ind w:firstLine="640"/>
        <w:outlineLvl w:val="0"/>
        <w:rPr>
          <w:rFonts w:ascii="Times New Roman" w:hAnsi="Times New Roman" w:eastAsia="黑体" w:cs="Times New Roman"/>
          <w:color w:val="auto"/>
          <w:sz w:val="32"/>
          <w:szCs w:val="32"/>
          <w:highlight w:val="none"/>
          <w:u w:val="none"/>
          <w:lang w:val="en"/>
        </w:rPr>
      </w:pPr>
      <w:r>
        <w:rPr>
          <w:rFonts w:ascii="Times New Roman" w:hAnsi="Times New Roman" w:eastAsia="黑体" w:cs="Times New Roman"/>
          <w:color w:val="auto"/>
          <w:sz w:val="32"/>
          <w:szCs w:val="32"/>
          <w:highlight w:val="none"/>
          <w:u w:val="none"/>
          <w:lang w:val="en"/>
        </w:rPr>
        <w:t>二、主要任务</w:t>
      </w:r>
    </w:p>
    <w:p>
      <w:pPr>
        <w:spacing w:line="560" w:lineRule="exact"/>
        <w:rPr>
          <w:rFonts w:ascii="Times New Roman" w:hAnsi="Times New Roman" w:eastAsia="仿宋_GB2312" w:cs="Times New Roman"/>
          <w:color w:val="auto"/>
          <w:sz w:val="32"/>
          <w:szCs w:val="32"/>
          <w:highlight w:val="none"/>
          <w:u w:val="none"/>
          <w:lang w:val="en"/>
        </w:rPr>
      </w:pPr>
      <w:r>
        <w:rPr>
          <w:rFonts w:ascii="Times New Roman" w:hAnsi="Times New Roman" w:eastAsia="楷体" w:cs="Times New Roman"/>
          <w:color w:val="auto"/>
          <w:sz w:val="32"/>
          <w:szCs w:val="32"/>
          <w:highlight w:val="none"/>
          <w:u w:val="none"/>
        </w:rPr>
        <w:t xml:space="preserve">   </w:t>
      </w:r>
      <w:r>
        <w:rPr>
          <w:rFonts w:ascii="Times New Roman" w:hAnsi="Times New Roman" w:eastAsia="楷体" w:cs="Times New Roman"/>
          <w:color w:val="auto"/>
          <w:sz w:val="32"/>
          <w:szCs w:val="32"/>
          <w:highlight w:val="none"/>
          <w:u w:val="none"/>
          <w:lang w:val="en"/>
        </w:rPr>
        <w:t>（五）开展产业链供应链质量状况调查分析。</w:t>
      </w:r>
      <w:r>
        <w:rPr>
          <w:rFonts w:ascii="Times New Roman" w:hAnsi="Times New Roman" w:eastAsia="仿宋_GB2312" w:cs="Times New Roman"/>
          <w:color w:val="auto"/>
          <w:sz w:val="32"/>
          <w:szCs w:val="32"/>
          <w:highlight w:val="none"/>
          <w:u w:val="none"/>
          <w:lang w:val="en"/>
        </w:rPr>
        <w:t>充分发挥技术机构和行业协会作用，深入开展调查研究，摸清全链上下游结构、地域分布、企业构成等情况。组织专家问诊把脉，加强大数据分析，从质量技术、质量管理、质量品牌、质量基础设施等方面，识别和剖析关键质量问题，分级分类、形成质量问题清单，绘制质量图谱。“一链一策”制定质量联动提升方案，形成重点攻关项目清单、质量政策工具清单，明确质量提升的目标、路径和措施。（市市场监管委、市工业和信息化局、市发展改革委、市科技局、市质量协会、各相关行业协会、</w:t>
      </w:r>
      <w:r>
        <w:rPr>
          <w:rFonts w:hint="eastAsia" w:ascii="Times New Roman" w:hAnsi="Times New Roman" w:eastAsia="仿宋_GB2312" w:cs="Times New Roman"/>
          <w:color w:val="auto"/>
          <w:sz w:val="32"/>
          <w:szCs w:val="32"/>
          <w:highlight w:val="none"/>
          <w:u w:val="none"/>
          <w:lang w:val="en"/>
        </w:rPr>
        <w:t>各区人民政府</w:t>
      </w:r>
      <w:r>
        <w:rPr>
          <w:rFonts w:ascii="Times New Roman" w:hAnsi="Times New Roman" w:eastAsia="仿宋_GB2312" w:cs="Times New Roman"/>
          <w:color w:val="auto"/>
          <w:sz w:val="32"/>
          <w:szCs w:val="32"/>
          <w:highlight w:val="none"/>
          <w:u w:val="none"/>
        </w:rPr>
        <w:t>等按职责分工负责</w:t>
      </w:r>
      <w:r>
        <w:rPr>
          <w:rFonts w:ascii="Times New Roman" w:hAnsi="Times New Roman" w:eastAsia="仿宋_GB2312" w:cs="Times New Roman"/>
          <w:color w:val="auto"/>
          <w:sz w:val="32"/>
          <w:szCs w:val="32"/>
          <w:highlight w:val="none"/>
          <w:u w:val="none"/>
          <w:lang w:val="en"/>
        </w:rPr>
        <w:t>）</w:t>
      </w:r>
    </w:p>
    <w:p>
      <w:pPr>
        <w:spacing w:line="560" w:lineRule="exact"/>
        <w:rPr>
          <w:rFonts w:hint="eastAsia" w:ascii="仿宋_GB2312" w:hAnsi="仿宋_GB2312" w:eastAsia="仿宋_GB2312" w:cs="仿宋_GB2312"/>
          <w:color w:val="auto"/>
          <w:sz w:val="32"/>
          <w:szCs w:val="32"/>
          <w:highlight w:val="none"/>
          <w:u w:val="none"/>
          <w:lang w:val="en"/>
        </w:rPr>
      </w:pPr>
      <w:r>
        <w:rPr>
          <w:rFonts w:ascii="Times New Roman" w:hAnsi="Times New Roman" w:eastAsia="楷体" w:cs="Times New Roman"/>
          <w:color w:val="auto"/>
          <w:sz w:val="32"/>
          <w:szCs w:val="32"/>
          <w:highlight w:val="none"/>
          <w:u w:val="none"/>
        </w:rPr>
        <w:t xml:space="preserve">   </w:t>
      </w:r>
      <w:r>
        <w:rPr>
          <w:rFonts w:ascii="Times New Roman" w:hAnsi="Times New Roman" w:eastAsia="楷体" w:cs="Times New Roman"/>
          <w:color w:val="auto"/>
          <w:sz w:val="32"/>
          <w:szCs w:val="32"/>
          <w:highlight w:val="none"/>
          <w:u w:val="none"/>
          <w:lang w:val="en"/>
        </w:rPr>
        <w:t>（六）推进产业链供应链质量点线面联动提升。</w:t>
      </w:r>
      <w:r>
        <w:rPr>
          <w:rFonts w:ascii="Times New Roman" w:hAnsi="Times New Roman" w:eastAsia="仿宋_GB2312" w:cs="Times New Roman"/>
          <w:color w:val="auto"/>
          <w:sz w:val="32"/>
          <w:szCs w:val="32"/>
          <w:highlight w:val="none"/>
          <w:u w:val="none"/>
        </w:rPr>
        <w:t>实施“质量基础设施支撑能力提升工程”，</w:t>
      </w:r>
      <w:r>
        <w:rPr>
          <w:rFonts w:hint="eastAsia" w:ascii="Times New Roman" w:hAnsi="Times New Roman" w:eastAsia="仿宋_GB2312" w:cs="Times New Roman"/>
          <w:color w:val="auto"/>
          <w:sz w:val="32"/>
          <w:szCs w:val="32"/>
          <w:highlight w:val="none"/>
          <w:u w:val="none"/>
        </w:rPr>
        <w:t>不断提升科技创新、技术保障和集成服务支撑能力。</w:t>
      </w:r>
      <w:r>
        <w:rPr>
          <w:rFonts w:ascii="Times New Roman" w:hAnsi="Times New Roman" w:eastAsia="仿宋_GB2312" w:cs="Times New Roman"/>
          <w:color w:val="auto"/>
          <w:sz w:val="32"/>
          <w:szCs w:val="32"/>
          <w:highlight w:val="none"/>
          <w:u w:val="none"/>
        </w:rPr>
        <w:t>开展质量基础支撑能力指数监测和评价工作。</w:t>
      </w:r>
      <w:r>
        <w:rPr>
          <w:rFonts w:hint="eastAsia" w:ascii="Times New Roman" w:hAnsi="Times New Roman" w:eastAsia="仿宋_GB2312" w:cs="Times New Roman"/>
          <w:color w:val="auto"/>
          <w:sz w:val="32"/>
          <w:szCs w:val="32"/>
          <w:highlight w:val="none"/>
          <w:u w:val="none"/>
        </w:rPr>
        <w:t>深入组织开展质量攻关活动，</w:t>
      </w:r>
      <w:r>
        <w:rPr>
          <w:rFonts w:ascii="Times New Roman" w:hAnsi="Times New Roman" w:eastAsia="仿宋_GB2312" w:cs="Times New Roman"/>
          <w:color w:val="auto"/>
          <w:sz w:val="32"/>
          <w:szCs w:val="32"/>
          <w:highlight w:val="none"/>
          <w:u w:val="none"/>
          <w:lang w:val="en"/>
        </w:rPr>
        <w:t>将关键、重大质量问题纳入质量攻关项目，着力突破一批重大质量技术瓶颈。</w:t>
      </w:r>
      <w:r>
        <w:rPr>
          <w:rFonts w:hint="eastAsia" w:ascii="仿宋_GB2312" w:hAnsi="仿宋_GB2312" w:eastAsia="仿宋_GB2312" w:cs="仿宋_GB2312"/>
          <w:color w:val="auto"/>
          <w:sz w:val="32"/>
          <w:szCs w:val="32"/>
          <w:highlight w:val="none"/>
          <w:u w:val="none"/>
        </w:rPr>
        <w:t>探索开展产品质量可靠性创新试点，普及可靠性基本知识，支持可靠性人才培养和技能培训，激发企业内生动力。加强可靠性创新实践推广应用，促进产品质量可靠性水平提升。</w:t>
      </w:r>
      <w:r>
        <w:rPr>
          <w:rFonts w:ascii="Times New Roman" w:hAnsi="Times New Roman" w:eastAsia="仿宋_GB2312" w:cs="Times New Roman"/>
          <w:color w:val="auto"/>
          <w:sz w:val="32"/>
          <w:szCs w:val="32"/>
          <w:highlight w:val="none"/>
          <w:u w:val="none"/>
          <w:lang w:val="en"/>
        </w:rPr>
        <w:t>发挥链主企业带动引领作用，加强产业链供应链质量一致性管控，推动质量管理数字化升级，实现先进质量理念、方法和工具向全产业链延伸。加强品牌建设，支持老字号创新</w:t>
      </w:r>
      <w:r>
        <w:rPr>
          <w:rFonts w:hint="eastAsia" w:ascii="仿宋_GB2312" w:hAnsi="仿宋_GB2312" w:eastAsia="仿宋_GB2312" w:cs="仿宋_GB2312"/>
          <w:color w:val="auto"/>
          <w:sz w:val="32"/>
          <w:szCs w:val="32"/>
          <w:highlight w:val="none"/>
          <w:u w:val="none"/>
          <w:lang w:val="en"/>
        </w:rPr>
        <w:t>发展，</w:t>
      </w:r>
      <w:r>
        <w:rPr>
          <w:rFonts w:hint="eastAsia" w:ascii="仿宋_GB2312" w:hAnsi="仿宋_GB2312" w:eastAsia="仿宋_GB2312" w:cs="仿宋_GB2312"/>
          <w:color w:val="auto"/>
          <w:sz w:val="32"/>
          <w:szCs w:val="32"/>
          <w:highlight w:val="none"/>
          <w:u w:val="none"/>
        </w:rPr>
        <w:t>强化商标品牌培育和运用，支持企业加强品牌保</w:t>
      </w:r>
      <w:r>
        <w:rPr>
          <w:rFonts w:hint="eastAsia" w:ascii="仿宋_GB2312" w:hAnsi="仿宋_GB2312" w:eastAsia="仿宋_GB2312" w:cs="仿宋_GB2312"/>
          <w:color w:val="auto"/>
          <w:sz w:val="32"/>
          <w:szCs w:val="32"/>
          <w:highlight w:val="none"/>
          <w:u w:val="none"/>
          <w:lang w:val="en"/>
        </w:rPr>
        <w:t>护和维权，开展质量品牌交流互鉴活动，提升产业链整体知名度和美誉度。培养卓越产业集群。深化京津冀质量基础设施协同建设应用，推进质量要素资源跨区域共建共享。（市市场监管委、市发展改革委、市工业和信息化局、市科技局、市农业农村委、市商务局、市质量协会、各相关行业协会、各区人民政府</w:t>
      </w:r>
      <w:r>
        <w:rPr>
          <w:rFonts w:hint="eastAsia" w:ascii="仿宋_GB2312" w:hAnsi="仿宋_GB2312" w:eastAsia="仿宋_GB2312" w:cs="仿宋_GB2312"/>
          <w:color w:val="auto"/>
          <w:sz w:val="32"/>
          <w:szCs w:val="32"/>
          <w:highlight w:val="none"/>
          <w:u w:val="none"/>
        </w:rPr>
        <w:t>等按职责分工负责</w:t>
      </w:r>
      <w:r>
        <w:rPr>
          <w:rFonts w:hint="eastAsia" w:ascii="仿宋_GB2312" w:hAnsi="仿宋_GB2312" w:eastAsia="仿宋_GB2312" w:cs="仿宋_GB2312"/>
          <w:color w:val="auto"/>
          <w:sz w:val="32"/>
          <w:szCs w:val="32"/>
          <w:highlight w:val="none"/>
          <w:u w:val="none"/>
          <w:lang w:val="en"/>
        </w:rPr>
        <w:t>）</w:t>
      </w:r>
    </w:p>
    <w:p>
      <w:pPr>
        <w:spacing w:line="560" w:lineRule="exact"/>
        <w:rPr>
          <w:rFonts w:ascii="Times New Roman" w:hAnsi="Times New Roman" w:eastAsia="仿宋_GB2312" w:cs="Times New Roman"/>
          <w:color w:val="auto"/>
          <w:sz w:val="32"/>
          <w:szCs w:val="32"/>
          <w:highlight w:val="none"/>
          <w:u w:val="none"/>
        </w:rPr>
      </w:pPr>
      <w:r>
        <w:rPr>
          <w:rFonts w:ascii="Times New Roman" w:hAnsi="Times New Roman" w:eastAsia="楷体" w:cs="Times New Roman"/>
          <w:color w:val="auto"/>
          <w:sz w:val="32"/>
          <w:szCs w:val="32"/>
          <w:highlight w:val="none"/>
          <w:u w:val="none"/>
        </w:rPr>
        <w:t xml:space="preserve">   （七）计量赋能提升产业链供应链创新力。</w:t>
      </w:r>
      <w:r>
        <w:rPr>
          <w:rFonts w:ascii="Times New Roman" w:hAnsi="Times New Roman" w:eastAsia="仿宋_GB2312" w:cs="Times New Roman"/>
          <w:color w:val="auto"/>
          <w:sz w:val="32"/>
          <w:szCs w:val="32"/>
          <w:highlight w:val="none"/>
          <w:u w:val="none"/>
        </w:rPr>
        <w:t>强化产业计量赋能，聚焦重点产业链建立健全产业计量测试服务平台，满足产业发展的计量需求，夯实精准计量基础。引导企业加强计量技术应用和计量管理，提升科技研发和精密制造水平。加强新领域量传溯源所需技术与方法、计量仪器研究，在前沿、共性和关键技术领域加强标准</w:t>
      </w:r>
      <w:r>
        <w:rPr>
          <w:rFonts w:hint="eastAsia" w:ascii="Times New Roman" w:hAnsi="Times New Roman" w:eastAsia="仿宋_GB2312" w:cs="Times New Roman"/>
          <w:color w:val="auto"/>
          <w:sz w:val="32"/>
          <w:szCs w:val="32"/>
          <w:highlight w:val="none"/>
          <w:u w:val="none"/>
        </w:rPr>
        <w:t>物质</w:t>
      </w:r>
      <w:r>
        <w:rPr>
          <w:rFonts w:ascii="Times New Roman" w:hAnsi="Times New Roman" w:eastAsia="仿宋_GB2312" w:cs="Times New Roman"/>
          <w:color w:val="auto"/>
          <w:sz w:val="32"/>
          <w:szCs w:val="32"/>
          <w:highlight w:val="none"/>
          <w:u w:val="none"/>
        </w:rPr>
        <w:t>研制，打造天津市重点优势产业计量测试服务平台，增加计量检定校准、标准</w:t>
      </w:r>
      <w:r>
        <w:rPr>
          <w:rFonts w:hint="eastAsia" w:ascii="Times New Roman" w:hAnsi="Times New Roman" w:eastAsia="仿宋_GB2312" w:cs="Times New Roman"/>
          <w:color w:val="auto"/>
          <w:sz w:val="32"/>
          <w:szCs w:val="32"/>
          <w:highlight w:val="none"/>
          <w:u w:val="none"/>
        </w:rPr>
        <w:t>物质</w:t>
      </w:r>
      <w:r>
        <w:rPr>
          <w:rFonts w:ascii="Times New Roman" w:hAnsi="Times New Roman" w:eastAsia="仿宋_GB2312" w:cs="Times New Roman"/>
          <w:color w:val="auto"/>
          <w:sz w:val="32"/>
          <w:szCs w:val="32"/>
          <w:highlight w:val="none"/>
          <w:u w:val="none"/>
        </w:rPr>
        <w:t>研制与实施等资产投资。推动构建依法管理的量值传递体系和市场需求导向的量值溯源体系，持续深化计量技术机构改革创新，规范和引导计量技术服务市场发展。</w:t>
      </w:r>
      <w:r>
        <w:rPr>
          <w:rFonts w:ascii="Times New Roman" w:hAnsi="Times New Roman" w:eastAsia="仿宋_GB2312" w:cs="Times New Roman"/>
          <w:color w:val="auto"/>
          <w:sz w:val="32"/>
          <w:szCs w:val="32"/>
          <w:highlight w:val="none"/>
          <w:u w:val="none"/>
          <w:lang w:val="en"/>
        </w:rPr>
        <w:t>（市市场监管委</w:t>
      </w:r>
      <w:r>
        <w:rPr>
          <w:rFonts w:hint="eastAsia"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
        </w:rPr>
        <w:t>各区人民政府</w:t>
      </w:r>
      <w:r>
        <w:rPr>
          <w:rFonts w:ascii="Times New Roman" w:hAnsi="Times New Roman" w:eastAsia="仿宋_GB2312" w:cs="Times New Roman"/>
          <w:color w:val="auto"/>
          <w:sz w:val="32"/>
          <w:szCs w:val="32"/>
          <w:highlight w:val="none"/>
          <w:u w:val="none"/>
        </w:rPr>
        <w:t>等按职责分工负责)</w:t>
      </w:r>
    </w:p>
    <w:p>
      <w:pPr>
        <w:spacing w:line="560" w:lineRule="exact"/>
        <w:rPr>
          <w:rFonts w:ascii="Times New Roman" w:hAnsi="Times New Roman" w:eastAsia="仿宋_GB2312" w:cs="Times New Roman"/>
          <w:color w:val="auto"/>
          <w:sz w:val="32"/>
          <w:szCs w:val="32"/>
          <w:highlight w:val="none"/>
          <w:u w:val="none"/>
          <w:lang w:val="en"/>
        </w:rPr>
      </w:pPr>
      <w:r>
        <w:rPr>
          <w:rFonts w:hint="eastAsia" w:ascii="Times New Roman" w:hAnsi="Times New Roman" w:eastAsia="楷体" w:cs="Times New Roman"/>
          <w:color w:val="auto"/>
          <w:sz w:val="32"/>
          <w:szCs w:val="32"/>
          <w:highlight w:val="none"/>
          <w:u w:val="none"/>
        </w:rPr>
        <w:t xml:space="preserve">   </w:t>
      </w:r>
      <w:r>
        <w:rPr>
          <w:rFonts w:ascii="Times New Roman" w:hAnsi="Times New Roman" w:eastAsia="楷体" w:cs="Times New Roman"/>
          <w:color w:val="auto"/>
          <w:sz w:val="32"/>
          <w:szCs w:val="32"/>
          <w:highlight w:val="none"/>
          <w:u w:val="none"/>
          <w:lang w:val="en"/>
        </w:rPr>
        <w:t>（八）</w:t>
      </w:r>
      <w:r>
        <w:rPr>
          <w:rFonts w:ascii="Times New Roman" w:hAnsi="Times New Roman" w:eastAsia="楷体" w:cs="Times New Roman"/>
          <w:color w:val="auto"/>
          <w:sz w:val="32"/>
          <w:szCs w:val="32"/>
          <w:highlight w:val="none"/>
          <w:u w:val="none"/>
        </w:rPr>
        <w:t>标准</w:t>
      </w:r>
      <w:r>
        <w:rPr>
          <w:rFonts w:hint="eastAsia" w:ascii="Times New Roman" w:hAnsi="Times New Roman" w:eastAsia="楷体" w:cs="Times New Roman"/>
          <w:color w:val="auto"/>
          <w:sz w:val="32"/>
          <w:szCs w:val="32"/>
          <w:highlight w:val="none"/>
          <w:u w:val="none"/>
        </w:rPr>
        <w:t>助力</w:t>
      </w:r>
      <w:r>
        <w:rPr>
          <w:rFonts w:ascii="Times New Roman" w:hAnsi="Times New Roman" w:eastAsia="楷体" w:cs="Times New Roman"/>
          <w:color w:val="auto"/>
          <w:sz w:val="32"/>
          <w:szCs w:val="32"/>
          <w:highlight w:val="none"/>
          <w:u w:val="none"/>
        </w:rPr>
        <w:t>产业链供应链稳定性。</w:t>
      </w:r>
      <w:r>
        <w:rPr>
          <w:rFonts w:ascii="Times New Roman" w:hAnsi="Times New Roman" w:eastAsia="仿宋_GB2312" w:cs="Times New Roman"/>
          <w:color w:val="auto"/>
          <w:sz w:val="32"/>
          <w:szCs w:val="32"/>
          <w:highlight w:val="none"/>
          <w:u w:val="none"/>
        </w:rPr>
        <w:t>围绕</w:t>
      </w:r>
      <w:r>
        <w:rPr>
          <w:rFonts w:hint="eastAsia" w:ascii="Times New Roman" w:hAnsi="Times New Roman" w:eastAsia="仿宋_GB2312" w:cs="Times New Roman"/>
          <w:color w:val="auto"/>
          <w:sz w:val="32"/>
          <w:szCs w:val="32"/>
          <w:highlight w:val="none"/>
          <w:u w:val="none"/>
        </w:rPr>
        <w:t>重点产业链</w:t>
      </w:r>
      <w:r>
        <w:rPr>
          <w:rFonts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rPr>
        <w:t>推动</w:t>
      </w:r>
      <w:r>
        <w:rPr>
          <w:rFonts w:ascii="Times New Roman" w:hAnsi="Times New Roman" w:eastAsia="仿宋_GB2312" w:cs="Times New Roman"/>
          <w:color w:val="auto"/>
          <w:sz w:val="32"/>
          <w:szCs w:val="32"/>
          <w:highlight w:val="none"/>
          <w:u w:val="none"/>
        </w:rPr>
        <w:t>关键环节、关键领域、关键</w:t>
      </w:r>
      <w:r>
        <w:rPr>
          <w:rFonts w:hint="eastAsia" w:ascii="Times New Roman" w:hAnsi="Times New Roman" w:eastAsia="仿宋_GB2312" w:cs="Times New Roman"/>
          <w:color w:val="auto"/>
          <w:sz w:val="32"/>
          <w:szCs w:val="32"/>
          <w:highlight w:val="none"/>
          <w:u w:val="none"/>
        </w:rPr>
        <w:t>技术</w:t>
      </w:r>
      <w:r>
        <w:rPr>
          <w:rFonts w:ascii="Times New Roman" w:hAnsi="Times New Roman" w:eastAsia="仿宋_GB2312" w:cs="Times New Roman"/>
          <w:color w:val="auto"/>
          <w:sz w:val="32"/>
          <w:szCs w:val="32"/>
          <w:highlight w:val="none"/>
          <w:u w:val="none"/>
        </w:rPr>
        <w:t>标准研制应用，</w:t>
      </w:r>
      <w:r>
        <w:rPr>
          <w:rFonts w:hint="eastAsia" w:ascii="Times New Roman" w:hAnsi="Times New Roman" w:eastAsia="仿宋_GB2312" w:cs="Times New Roman"/>
          <w:color w:val="auto"/>
          <w:sz w:val="32"/>
          <w:szCs w:val="32"/>
          <w:highlight w:val="none"/>
          <w:u w:val="none"/>
        </w:rPr>
        <w:t>组织实施标准稳链项目，</w:t>
      </w:r>
      <w:r>
        <w:rPr>
          <w:rFonts w:ascii="Times New Roman" w:hAnsi="Times New Roman" w:eastAsia="仿宋_GB2312" w:cs="Times New Roman"/>
          <w:color w:val="auto"/>
          <w:sz w:val="32"/>
          <w:szCs w:val="32"/>
          <w:highlight w:val="none"/>
          <w:u w:val="none"/>
        </w:rPr>
        <w:t>促进产业链上下游标准有效衔接</w:t>
      </w:r>
      <w:r>
        <w:rPr>
          <w:rFonts w:hint="eastAsia" w:ascii="Times New Roman" w:hAnsi="Times New Roman" w:eastAsia="仿宋_GB2312" w:cs="Times New Roman"/>
          <w:color w:val="auto"/>
          <w:sz w:val="32"/>
          <w:szCs w:val="32"/>
          <w:highlight w:val="none"/>
          <w:u w:val="none"/>
        </w:rPr>
        <w:t>。实现现代农业全产业链标准化。</w:t>
      </w:r>
      <w:r>
        <w:rPr>
          <w:rFonts w:ascii="Times New Roman" w:hAnsi="Times New Roman" w:eastAsia="仿宋_GB2312" w:cs="Times New Roman"/>
          <w:color w:val="auto"/>
          <w:sz w:val="32"/>
          <w:szCs w:val="32"/>
          <w:highlight w:val="none"/>
          <w:u w:val="none"/>
        </w:rPr>
        <w:t>鼓励引导</w:t>
      </w:r>
      <w:r>
        <w:rPr>
          <w:rFonts w:hint="eastAsia" w:ascii="Times New Roman" w:hAnsi="Times New Roman" w:eastAsia="仿宋_GB2312" w:cs="Times New Roman"/>
          <w:color w:val="auto"/>
          <w:sz w:val="32"/>
          <w:szCs w:val="32"/>
          <w:highlight w:val="none"/>
          <w:u w:val="none"/>
        </w:rPr>
        <w:t>企业单位、科研机构等积极</w:t>
      </w:r>
      <w:r>
        <w:rPr>
          <w:rFonts w:ascii="Times New Roman" w:hAnsi="Times New Roman" w:eastAsia="仿宋_GB2312" w:cs="Times New Roman"/>
          <w:color w:val="auto"/>
          <w:sz w:val="32"/>
          <w:szCs w:val="32"/>
          <w:highlight w:val="none"/>
          <w:u w:val="none"/>
        </w:rPr>
        <w:t>争创国家技术标准创新基地、国家标准验证点</w:t>
      </w:r>
      <w:r>
        <w:rPr>
          <w:rFonts w:ascii="Times New Roman" w:hAnsi="Times New Roman" w:eastAsia="仿宋_GB2312" w:cs="Times New Roman"/>
          <w:color w:val="auto"/>
          <w:sz w:val="32"/>
          <w:szCs w:val="32"/>
          <w:highlight w:val="none"/>
          <w:u w:val="none"/>
          <w:lang w:val="en"/>
        </w:rPr>
        <w:t>。</w:t>
      </w:r>
      <w:r>
        <w:rPr>
          <w:rFonts w:hint="eastAsia" w:ascii="Times New Roman" w:hAnsi="Times New Roman" w:eastAsia="仿宋_GB2312" w:cs="Times New Roman"/>
          <w:color w:val="auto"/>
          <w:sz w:val="32"/>
          <w:szCs w:val="32"/>
          <w:highlight w:val="none"/>
          <w:u w:val="none"/>
          <w:lang w:val="en"/>
        </w:rPr>
        <w:t>实施企业标准领跑者制度，</w:t>
      </w:r>
      <w:r>
        <w:rPr>
          <w:rFonts w:hint="eastAsia" w:ascii="Times New Roman" w:hAnsi="Times New Roman" w:eastAsia="仿宋_GB2312" w:cs="Times New Roman"/>
          <w:color w:val="auto"/>
          <w:sz w:val="32"/>
          <w:szCs w:val="32"/>
          <w:highlight w:val="none"/>
          <w:u w:val="none"/>
        </w:rPr>
        <w:t>组织</w:t>
      </w:r>
      <w:r>
        <w:rPr>
          <w:rFonts w:hint="eastAsia" w:ascii="Times New Roman" w:hAnsi="Times New Roman" w:eastAsia="仿宋_GB2312" w:cs="Times New Roman"/>
          <w:color w:val="auto"/>
          <w:sz w:val="32"/>
          <w:szCs w:val="32"/>
          <w:highlight w:val="none"/>
          <w:u w:val="none"/>
          <w:lang w:val="en"/>
        </w:rPr>
        <w:t>开展标准创新型企业梯度培育工作</w:t>
      </w:r>
      <w:r>
        <w:rPr>
          <w:rFonts w:hint="eastAsia" w:ascii="Times New Roman" w:hAnsi="Times New Roman" w:eastAsia="仿宋_GB2312" w:cs="Times New Roman"/>
          <w:color w:val="auto"/>
          <w:sz w:val="32"/>
          <w:szCs w:val="32"/>
          <w:highlight w:val="none"/>
          <w:u w:val="none"/>
        </w:rPr>
        <w:t>。培育创建国家级服务业标准化试点（商贸流通专项），带动产业链现代化水平提升。</w:t>
      </w:r>
      <w:r>
        <w:rPr>
          <w:rFonts w:hint="eastAsia" w:ascii="Times New Roman" w:hAnsi="Times New Roman" w:eastAsia="仿宋_GB2312" w:cs="Times New Roman"/>
          <w:color w:val="auto"/>
          <w:sz w:val="32"/>
          <w:szCs w:val="32"/>
          <w:highlight w:val="none"/>
          <w:u w:val="none"/>
          <w:lang w:val="en"/>
        </w:rPr>
        <w:t>鼓励链主企业及有关单位参与国际标准制修订、组建国际标准化创新团队、承担国际标准组织技术机构秘书处工作，促进产业链全球参与度提升。</w:t>
      </w:r>
      <w:r>
        <w:rPr>
          <w:rFonts w:ascii="Times New Roman" w:hAnsi="Times New Roman" w:eastAsia="仿宋_GB2312" w:cs="Times New Roman"/>
          <w:color w:val="auto"/>
          <w:sz w:val="32"/>
          <w:szCs w:val="32"/>
          <w:highlight w:val="none"/>
          <w:u w:val="none"/>
          <w:lang w:val="en"/>
        </w:rPr>
        <w:t>（市市场监管委（标准化处、市质检院、市计量院、市特检院、市标准化院</w:t>
      </w:r>
      <w:r>
        <w:rPr>
          <w:rFonts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rPr>
        <w:t>市工信局、</w:t>
      </w:r>
      <w:r>
        <w:rPr>
          <w:rFonts w:ascii="Times New Roman" w:hAnsi="Times New Roman" w:eastAsia="仿宋_GB2312" w:cs="Times New Roman"/>
          <w:color w:val="auto"/>
          <w:sz w:val="32"/>
          <w:szCs w:val="32"/>
          <w:highlight w:val="none"/>
          <w:u w:val="none"/>
        </w:rPr>
        <w:t>市商务局</w:t>
      </w:r>
      <w:r>
        <w:rPr>
          <w:rFonts w:hint="eastAsia" w:ascii="Times New Roman" w:hAnsi="Times New Roman" w:eastAsia="仿宋_GB2312" w:cs="Times New Roman"/>
          <w:color w:val="auto"/>
          <w:sz w:val="32"/>
          <w:szCs w:val="32"/>
          <w:highlight w:val="none"/>
          <w:u w:val="none"/>
        </w:rPr>
        <w:t>、</w:t>
      </w:r>
      <w:r>
        <w:rPr>
          <w:rFonts w:ascii="Times New Roman" w:hAnsi="Times New Roman" w:eastAsia="仿宋_GB2312" w:cs="Times New Roman"/>
          <w:color w:val="auto"/>
          <w:sz w:val="32"/>
          <w:szCs w:val="32"/>
          <w:highlight w:val="none"/>
          <w:u w:val="none"/>
          <w:lang w:val="en"/>
        </w:rPr>
        <w:t>市农业农村委</w:t>
      </w:r>
      <w:r>
        <w:rPr>
          <w:rFonts w:hint="eastAsia" w:ascii="Times New Roman" w:hAnsi="Times New Roman" w:eastAsia="仿宋_GB2312" w:cs="Times New Roman"/>
          <w:color w:val="auto"/>
          <w:sz w:val="32"/>
          <w:szCs w:val="32"/>
          <w:highlight w:val="none"/>
          <w:u w:val="none"/>
          <w:lang w:val="en"/>
        </w:rPr>
        <w:t>等有关行业主管部门</w:t>
      </w:r>
      <w:r>
        <w:rPr>
          <w:rFonts w:hint="eastAsia" w:ascii="Times New Roman" w:hAnsi="Times New Roman" w:eastAsia="仿宋_GB2312" w:cs="Times New Roman"/>
          <w:color w:val="auto"/>
          <w:sz w:val="32"/>
          <w:szCs w:val="32"/>
          <w:highlight w:val="none"/>
          <w:u w:val="none"/>
        </w:rPr>
        <w:t>、</w:t>
      </w:r>
      <w:r>
        <w:rPr>
          <w:rFonts w:ascii="Times New Roman" w:hAnsi="Times New Roman" w:eastAsia="仿宋_GB2312" w:cs="Times New Roman"/>
          <w:color w:val="auto"/>
          <w:sz w:val="32"/>
          <w:szCs w:val="32"/>
          <w:highlight w:val="none"/>
          <w:u w:val="none"/>
          <w:lang w:val="en"/>
        </w:rPr>
        <w:t>各区政府</w:t>
      </w:r>
      <w:r>
        <w:rPr>
          <w:rFonts w:ascii="Times New Roman" w:hAnsi="Times New Roman" w:eastAsia="仿宋_GB2312" w:cs="Times New Roman"/>
          <w:color w:val="auto"/>
          <w:sz w:val="32"/>
          <w:szCs w:val="32"/>
          <w:highlight w:val="none"/>
          <w:u w:val="none"/>
        </w:rPr>
        <w:t>等按职责分工负责</w:t>
      </w:r>
      <w:r>
        <w:rPr>
          <w:rFonts w:ascii="Times New Roman" w:hAnsi="Times New Roman" w:eastAsia="仿宋_GB2312" w:cs="Times New Roman"/>
          <w:color w:val="auto"/>
          <w:sz w:val="32"/>
          <w:szCs w:val="32"/>
          <w:highlight w:val="none"/>
          <w:u w:val="none"/>
          <w:lang w:val="en"/>
        </w:rPr>
        <w:t>）</w:t>
      </w:r>
    </w:p>
    <w:p>
      <w:pPr>
        <w:spacing w:line="560" w:lineRule="exact"/>
        <w:rPr>
          <w:rFonts w:ascii="Times New Roman" w:hAnsi="Times New Roman" w:eastAsia="楷体" w:cs="Times New Roman"/>
          <w:color w:val="auto"/>
          <w:sz w:val="32"/>
          <w:szCs w:val="32"/>
          <w:highlight w:val="none"/>
          <w:u w:val="none"/>
        </w:rPr>
      </w:pPr>
      <w:r>
        <w:rPr>
          <w:rFonts w:hint="eastAsia" w:ascii="Times New Roman" w:hAnsi="Times New Roman" w:eastAsia="楷体" w:cs="Times New Roman"/>
          <w:color w:val="auto"/>
          <w:sz w:val="32"/>
          <w:szCs w:val="32"/>
          <w:highlight w:val="none"/>
          <w:u w:val="none"/>
        </w:rPr>
        <w:t xml:space="preserve">    </w:t>
      </w:r>
      <w:r>
        <w:rPr>
          <w:rFonts w:ascii="Times New Roman" w:hAnsi="Times New Roman" w:eastAsia="楷体" w:cs="Times New Roman"/>
          <w:color w:val="auto"/>
          <w:sz w:val="32"/>
          <w:szCs w:val="32"/>
          <w:highlight w:val="none"/>
          <w:u w:val="none"/>
          <w:lang w:val="en"/>
        </w:rPr>
        <w:t>（九）检验检测保障产业链供应链可靠性。</w:t>
      </w:r>
      <w:r>
        <w:rPr>
          <w:rFonts w:ascii="Times New Roman" w:hAnsi="Times New Roman" w:eastAsia="仿宋_GB2312" w:cs="Times New Roman"/>
          <w:snapToGrid w:val="0"/>
          <w:color w:val="auto"/>
          <w:sz w:val="32"/>
          <w:szCs w:val="32"/>
          <w:highlight w:val="none"/>
          <w:u w:val="none"/>
        </w:rPr>
        <w:t>开展检验检测促进产业优化升级行动，</w:t>
      </w:r>
      <w:r>
        <w:rPr>
          <w:rFonts w:ascii="Times New Roman" w:hAnsi="Times New Roman" w:eastAsia="仿宋_GB2312" w:cs="Times New Roman"/>
          <w:color w:val="auto"/>
          <w:sz w:val="32"/>
          <w:szCs w:val="32"/>
          <w:highlight w:val="none"/>
          <w:u w:val="none"/>
        </w:rPr>
        <w:t>推动检验检测公共服务平台示范区建设。</w:t>
      </w:r>
      <w:r>
        <w:rPr>
          <w:rFonts w:ascii="Times New Roman" w:hAnsi="Times New Roman" w:eastAsia="仿宋_GB2312" w:cs="Times New Roman"/>
          <w:color w:val="auto"/>
          <w:sz w:val="32"/>
          <w:szCs w:val="32"/>
          <w:highlight w:val="none"/>
          <w:u w:val="none"/>
          <w:lang w:val="en"/>
        </w:rPr>
        <w:t>加强全产业链检验检测能力建设。聚焦产业链“检不了、检不准、检不快”问题，完善检验检测体系，支持检验检测机构能力提升，做好检验检测机构资质认定服务，</w:t>
      </w:r>
      <w:r>
        <w:rPr>
          <w:rFonts w:ascii="Times New Roman" w:hAnsi="Times New Roman" w:eastAsia="仿宋_GB2312" w:cs="Times New Roman"/>
          <w:snapToGrid w:val="0"/>
          <w:color w:val="auto"/>
          <w:sz w:val="32"/>
          <w:szCs w:val="32"/>
          <w:highlight w:val="none"/>
          <w:u w:val="none"/>
        </w:rPr>
        <w:t>鼓励社会化机构开展检验检测</w:t>
      </w:r>
      <w:r>
        <w:rPr>
          <w:rFonts w:ascii="Times New Roman" w:hAnsi="Times New Roman" w:eastAsia="仿宋_GB2312" w:cs="Times New Roman"/>
          <w:snapToGrid w:val="0"/>
          <w:color w:val="auto"/>
          <w:sz w:val="32"/>
          <w:szCs w:val="32"/>
          <w:highlight w:val="none"/>
          <w:u w:val="none"/>
          <w:lang w:val="en"/>
        </w:rPr>
        <w:t>。</w:t>
      </w:r>
      <w:r>
        <w:rPr>
          <w:rFonts w:ascii="Times New Roman" w:hAnsi="Times New Roman" w:eastAsia="仿宋_GB2312" w:cs="Times New Roman"/>
          <w:snapToGrid w:val="0"/>
          <w:color w:val="auto"/>
          <w:sz w:val="32"/>
          <w:szCs w:val="32"/>
          <w:highlight w:val="none"/>
          <w:u w:val="none"/>
        </w:rPr>
        <w:t>开展京津冀检验检测机构能力验证和天津市认证机构大比武活动，促进从业机构和从业人员能力提升，不断提升认证检验检测公共服务能力水平。完善检验检测信息化平台，</w:t>
      </w:r>
      <w:r>
        <w:rPr>
          <w:rFonts w:ascii="Times New Roman" w:hAnsi="Times New Roman" w:eastAsia="仿宋_GB2312" w:cs="Times New Roman"/>
          <w:color w:val="auto"/>
          <w:sz w:val="32"/>
          <w:szCs w:val="32"/>
          <w:highlight w:val="none"/>
          <w:u w:val="none"/>
        </w:rPr>
        <w:t>加强检验检测机构监管，</w:t>
      </w:r>
      <w:r>
        <w:rPr>
          <w:rFonts w:ascii="Times New Roman" w:hAnsi="Times New Roman" w:eastAsia="仿宋_GB2312" w:cs="Times New Roman"/>
          <w:snapToGrid w:val="0"/>
          <w:color w:val="auto"/>
          <w:sz w:val="32"/>
          <w:szCs w:val="32"/>
          <w:highlight w:val="none"/>
          <w:u w:val="none"/>
        </w:rPr>
        <w:t>强化重点领域、重点环节监管，加强重点产品CCC认证监管。</w:t>
      </w:r>
      <w:r>
        <w:rPr>
          <w:rFonts w:ascii="Times New Roman" w:hAnsi="Times New Roman" w:eastAsia="仿宋_GB2312" w:cs="Times New Roman"/>
          <w:color w:val="auto"/>
          <w:sz w:val="32"/>
          <w:szCs w:val="32"/>
          <w:highlight w:val="none"/>
          <w:u w:val="none"/>
          <w:lang w:val="en"/>
        </w:rPr>
        <w:t>（市市场监管委</w:t>
      </w:r>
      <w:r>
        <w:rPr>
          <w:rFonts w:hint="eastAsia" w:ascii="Times New Roman" w:hAnsi="Times New Roman" w:eastAsia="仿宋_GB2312" w:cs="Times New Roman"/>
          <w:color w:val="auto"/>
          <w:sz w:val="32"/>
          <w:szCs w:val="32"/>
          <w:highlight w:val="none"/>
          <w:u w:val="none"/>
          <w:lang w:val="en"/>
        </w:rPr>
        <w:t>、各区人民政府</w:t>
      </w:r>
      <w:r>
        <w:rPr>
          <w:rFonts w:ascii="Times New Roman" w:hAnsi="Times New Roman" w:eastAsia="仿宋_GB2312" w:cs="Times New Roman"/>
          <w:color w:val="auto"/>
          <w:sz w:val="32"/>
          <w:szCs w:val="32"/>
          <w:highlight w:val="none"/>
          <w:u w:val="none"/>
          <w:lang w:val="en"/>
        </w:rPr>
        <w:t>等</w:t>
      </w:r>
      <w:r>
        <w:rPr>
          <w:rFonts w:ascii="Times New Roman" w:hAnsi="Times New Roman" w:eastAsia="仿宋_GB2312" w:cs="Times New Roman"/>
          <w:color w:val="auto"/>
          <w:sz w:val="32"/>
          <w:szCs w:val="32"/>
          <w:highlight w:val="none"/>
          <w:u w:val="none"/>
        </w:rPr>
        <w:t>按职责分工负责</w:t>
      </w:r>
      <w:r>
        <w:rPr>
          <w:rFonts w:ascii="Times New Roman" w:hAnsi="Times New Roman" w:eastAsia="仿宋_GB2312" w:cs="Times New Roman"/>
          <w:color w:val="auto"/>
          <w:sz w:val="32"/>
          <w:szCs w:val="32"/>
          <w:highlight w:val="none"/>
          <w:u w:val="none"/>
          <w:lang w:val="en"/>
        </w:rPr>
        <w:t>）</w:t>
      </w:r>
      <w:r>
        <w:rPr>
          <w:rFonts w:ascii="Times New Roman" w:hAnsi="Times New Roman" w:eastAsia="楷体" w:cs="Times New Roman"/>
          <w:color w:val="auto"/>
          <w:sz w:val="32"/>
          <w:szCs w:val="32"/>
          <w:highlight w:val="none"/>
          <w:u w:val="none"/>
        </w:rPr>
        <w:t xml:space="preserve">   </w:t>
      </w:r>
    </w:p>
    <w:p>
      <w:pPr>
        <w:spacing w:line="560" w:lineRule="exact"/>
        <w:ind w:firstLine="640"/>
        <w:rPr>
          <w:rFonts w:ascii="Times New Roman" w:hAnsi="Times New Roman" w:eastAsia="仿宋_GB2312" w:cs="Times New Roman"/>
          <w:color w:val="auto"/>
          <w:sz w:val="32"/>
          <w:szCs w:val="32"/>
          <w:highlight w:val="none"/>
          <w:u w:val="none"/>
          <w:lang w:val="en"/>
        </w:rPr>
      </w:pPr>
      <w:r>
        <w:rPr>
          <w:rFonts w:ascii="Times New Roman" w:hAnsi="Times New Roman" w:eastAsia="楷体" w:cs="Times New Roman"/>
          <w:color w:val="auto"/>
          <w:sz w:val="32"/>
          <w:szCs w:val="32"/>
          <w:highlight w:val="none"/>
          <w:u w:val="none"/>
          <w:lang w:val="en"/>
        </w:rPr>
        <w:t>（十）认证认可促进产业链供应链高端化。</w:t>
      </w:r>
      <w:r>
        <w:rPr>
          <w:rFonts w:ascii="Times New Roman" w:hAnsi="Times New Roman" w:eastAsia="仿宋_GB2312" w:cs="Times New Roman"/>
          <w:color w:val="auto"/>
          <w:sz w:val="32"/>
          <w:szCs w:val="32"/>
          <w:highlight w:val="none"/>
          <w:u w:val="none"/>
          <w:lang w:val="en"/>
        </w:rPr>
        <w:t>搭建企业与认证机构“撮合”平台，积极推动产品认证、质量管理体系认证和服务认证，服务本市高质量发展。建立健全质量认证激励机制。开展小微企业质量管理体系认证提升行动</w:t>
      </w:r>
      <w:r>
        <w:rPr>
          <w:rFonts w:hint="eastAsia" w:ascii="Times New Roman" w:hAnsi="Times New Roman" w:eastAsia="仿宋_GB2312" w:cs="Times New Roman"/>
          <w:color w:val="auto"/>
          <w:sz w:val="32"/>
          <w:szCs w:val="32"/>
          <w:highlight w:val="none"/>
          <w:u w:val="none"/>
          <w:lang w:val="en"/>
        </w:rPr>
        <w:t>，</w:t>
      </w:r>
      <w:r>
        <w:rPr>
          <w:rFonts w:ascii="Times New Roman" w:hAnsi="Times New Roman" w:eastAsia="仿宋_GB2312" w:cs="Times New Roman"/>
          <w:color w:val="auto"/>
          <w:sz w:val="32"/>
          <w:szCs w:val="32"/>
          <w:highlight w:val="none"/>
          <w:u w:val="none"/>
          <w:lang w:val="en"/>
        </w:rPr>
        <w:t>推广应用ISO9001提升质量管理实施指南和优秀案例。</w:t>
      </w:r>
      <w:r>
        <w:rPr>
          <w:rFonts w:hint="eastAsia" w:ascii="Times New Roman" w:hAnsi="Times New Roman" w:eastAsia="仿宋_GB2312" w:cs="Times New Roman"/>
          <w:color w:val="auto"/>
          <w:sz w:val="32"/>
          <w:szCs w:val="32"/>
          <w:highlight w:val="none"/>
          <w:u w:val="none"/>
          <w:lang w:val="en"/>
        </w:rPr>
        <w:t>推动</w:t>
      </w:r>
      <w:r>
        <w:rPr>
          <w:rFonts w:ascii="Times New Roman" w:hAnsi="Times New Roman" w:eastAsia="仿宋_GB2312" w:cs="Times New Roman"/>
          <w:color w:val="auto"/>
          <w:sz w:val="32"/>
          <w:szCs w:val="32"/>
          <w:highlight w:val="none"/>
          <w:u w:val="none"/>
          <w:lang w:val="en"/>
        </w:rPr>
        <w:t>认证机构聚焦产业高端化发展需求，制定行业标准，创新开展高端品质认证。</w:t>
      </w:r>
      <w:r>
        <w:rPr>
          <w:rFonts w:ascii="Times New Roman" w:hAnsi="Times New Roman" w:eastAsia="仿宋_GB2312" w:cs="Times New Roman"/>
          <w:color w:val="auto"/>
          <w:sz w:val="32"/>
          <w:szCs w:val="32"/>
          <w:highlight w:val="none"/>
          <w:u w:val="none"/>
        </w:rPr>
        <w:t>加强认证活动事中事后监管，</w:t>
      </w:r>
      <w:r>
        <w:rPr>
          <w:rFonts w:ascii="Times New Roman" w:hAnsi="Times New Roman" w:eastAsia="仿宋_GB2312" w:cs="Times New Roman"/>
          <w:snapToGrid w:val="0"/>
          <w:color w:val="auto"/>
          <w:sz w:val="32"/>
          <w:szCs w:val="32"/>
          <w:highlight w:val="none"/>
          <w:u w:val="none"/>
        </w:rPr>
        <w:t>持续开展虚假认证专项整治行动，</w:t>
      </w:r>
      <w:r>
        <w:rPr>
          <w:rFonts w:ascii="Times New Roman" w:hAnsi="Times New Roman" w:eastAsia="仿宋_GB2312" w:cs="Times New Roman"/>
          <w:color w:val="auto"/>
          <w:sz w:val="32"/>
          <w:szCs w:val="32"/>
          <w:highlight w:val="none"/>
          <w:u w:val="none"/>
        </w:rPr>
        <w:t>有效传递质量信任，促进优胜劣汰。</w:t>
      </w:r>
      <w:r>
        <w:rPr>
          <w:rFonts w:ascii="Times New Roman" w:hAnsi="Times New Roman" w:eastAsia="仿宋_GB2312" w:cs="Times New Roman"/>
          <w:color w:val="auto"/>
          <w:sz w:val="32"/>
          <w:szCs w:val="32"/>
          <w:highlight w:val="none"/>
          <w:u w:val="none"/>
          <w:lang w:val="en"/>
        </w:rPr>
        <w:t>（市市场监管委</w:t>
      </w:r>
      <w:r>
        <w:rPr>
          <w:rFonts w:hint="eastAsia" w:ascii="Times New Roman" w:hAnsi="Times New Roman" w:eastAsia="仿宋_GB2312" w:cs="Times New Roman"/>
          <w:color w:val="auto"/>
          <w:sz w:val="32"/>
          <w:szCs w:val="32"/>
          <w:highlight w:val="none"/>
          <w:u w:val="none"/>
          <w:lang w:val="en"/>
        </w:rPr>
        <w:t>、</w:t>
      </w:r>
      <w:r>
        <w:rPr>
          <w:rFonts w:hint="eastAsia" w:ascii="Times New Roman" w:hAnsi="Times New Roman" w:eastAsia="仿宋_GB2312" w:cs="Times New Roman"/>
          <w:color w:val="auto"/>
          <w:sz w:val="32"/>
          <w:szCs w:val="32"/>
          <w:highlight w:val="none"/>
          <w:u w:val="none"/>
        </w:rPr>
        <w:t>市工业和信息化局、市住房城乡建设委、市商务局、</w:t>
      </w:r>
      <w:r>
        <w:rPr>
          <w:rFonts w:hint="eastAsia" w:ascii="Times New Roman" w:hAnsi="Times New Roman" w:eastAsia="仿宋_GB2312" w:cs="Times New Roman"/>
          <w:color w:val="auto"/>
          <w:sz w:val="32"/>
          <w:szCs w:val="32"/>
          <w:highlight w:val="none"/>
          <w:u w:val="none"/>
          <w:lang w:val="en"/>
        </w:rPr>
        <w:t>各区人民政府</w:t>
      </w:r>
      <w:r>
        <w:rPr>
          <w:rFonts w:ascii="Times New Roman" w:hAnsi="Times New Roman" w:eastAsia="仿宋_GB2312" w:cs="Times New Roman"/>
          <w:color w:val="auto"/>
          <w:sz w:val="32"/>
          <w:szCs w:val="32"/>
          <w:highlight w:val="none"/>
          <w:u w:val="none"/>
          <w:lang w:val="en"/>
        </w:rPr>
        <w:t>等按职责分工负责）</w:t>
      </w:r>
    </w:p>
    <w:p>
      <w:pPr>
        <w:spacing w:line="560" w:lineRule="exact"/>
        <w:ind w:firstLine="640"/>
        <w:rPr>
          <w:rFonts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rPr>
        <w:t>三</w:t>
      </w:r>
      <w:r>
        <w:rPr>
          <w:rFonts w:ascii="Times New Roman" w:hAnsi="Times New Roman" w:eastAsia="黑体" w:cs="Times New Roman"/>
          <w:color w:val="auto"/>
          <w:sz w:val="32"/>
          <w:szCs w:val="32"/>
          <w:highlight w:val="none"/>
          <w:u w:val="none"/>
        </w:rPr>
        <w:t>、保障措施</w:t>
      </w:r>
    </w:p>
    <w:p>
      <w:pPr>
        <w:spacing w:line="560" w:lineRule="exact"/>
        <w:rPr>
          <w:rFonts w:ascii="Times New Roman" w:hAnsi="Times New Roman" w:eastAsia="仿宋_GB2312" w:cs="Times New Roman"/>
          <w:color w:val="auto"/>
          <w:sz w:val="32"/>
          <w:szCs w:val="32"/>
          <w:highlight w:val="none"/>
          <w:u w:val="none"/>
        </w:rPr>
      </w:pPr>
      <w:r>
        <w:rPr>
          <w:rFonts w:ascii="Times New Roman" w:hAnsi="Times New Roman" w:eastAsia="楷体" w:cs="Times New Roman"/>
          <w:color w:val="auto"/>
          <w:sz w:val="32"/>
          <w:szCs w:val="32"/>
          <w:highlight w:val="none"/>
          <w:u w:val="none"/>
        </w:rPr>
        <w:t xml:space="preserve">   （十一）强化示范引领。</w:t>
      </w:r>
      <w:r>
        <w:rPr>
          <w:rFonts w:ascii="Times New Roman" w:hAnsi="Times New Roman" w:eastAsia="仿宋_GB2312" w:cs="Times New Roman"/>
          <w:color w:val="auto"/>
          <w:sz w:val="32"/>
          <w:szCs w:val="32"/>
          <w:highlight w:val="none"/>
          <w:u w:val="none"/>
        </w:rPr>
        <w:t>积极组织企业申报质量强国建设领军企业，推广中国质量奖及天津质量奖获奖经验模式，加强全面质量管理，推动全员、全要素、全过程、全数据的新型质量管理体系应用。推动各区立足自身定位和资源要素优势，探索产业链供应链质量提升新模式、新路径，培育创建质量强区（街、镇）和质量品牌提升示范区。</w:t>
      </w:r>
      <w:r>
        <w:rPr>
          <w:rFonts w:ascii="Times New Roman" w:hAnsi="Times New Roman" w:eastAsia="仿宋_GB2312" w:cs="Times New Roman"/>
          <w:color w:val="auto"/>
          <w:sz w:val="32"/>
          <w:szCs w:val="32"/>
          <w:highlight w:val="none"/>
          <w:u w:val="none"/>
          <w:lang w:val="en"/>
        </w:rPr>
        <w:t>（市市场监管委、</w:t>
      </w:r>
      <w:r>
        <w:rPr>
          <w:rFonts w:hint="eastAsia" w:ascii="Times New Roman" w:hAnsi="Times New Roman" w:eastAsia="仿宋_GB2312" w:cs="Times New Roman"/>
          <w:color w:val="auto"/>
          <w:sz w:val="32"/>
          <w:szCs w:val="32"/>
          <w:highlight w:val="none"/>
          <w:u w:val="none"/>
          <w:lang w:val="en"/>
        </w:rPr>
        <w:t>各区人民政府</w:t>
      </w:r>
      <w:r>
        <w:rPr>
          <w:rFonts w:ascii="Times New Roman" w:hAnsi="Times New Roman" w:eastAsia="仿宋_GB2312" w:cs="Times New Roman"/>
          <w:color w:val="auto"/>
          <w:sz w:val="32"/>
          <w:szCs w:val="32"/>
          <w:highlight w:val="none"/>
          <w:u w:val="none"/>
          <w:lang w:val="en"/>
        </w:rPr>
        <w:t>等</w:t>
      </w:r>
      <w:r>
        <w:rPr>
          <w:rFonts w:ascii="Times New Roman" w:hAnsi="Times New Roman" w:eastAsia="仿宋_GB2312" w:cs="Times New Roman"/>
          <w:color w:val="auto"/>
          <w:sz w:val="32"/>
          <w:szCs w:val="32"/>
          <w:highlight w:val="none"/>
          <w:u w:val="none"/>
        </w:rPr>
        <w:t>按职责分工负责</w:t>
      </w:r>
      <w:r>
        <w:rPr>
          <w:rFonts w:ascii="Times New Roman" w:hAnsi="Times New Roman" w:eastAsia="仿宋_GB2312" w:cs="Times New Roman"/>
          <w:color w:val="auto"/>
          <w:sz w:val="32"/>
          <w:szCs w:val="32"/>
          <w:highlight w:val="none"/>
          <w:u w:val="none"/>
          <w:lang w:val="en"/>
        </w:rPr>
        <w:t>）</w:t>
      </w:r>
    </w:p>
    <w:p>
      <w:pPr>
        <w:spacing w:line="560" w:lineRule="exact"/>
        <w:rPr>
          <w:rFonts w:ascii="Times New Roman" w:hAnsi="Times New Roman" w:eastAsia="仿宋_GB2312" w:cs="Times New Roman"/>
          <w:color w:val="auto"/>
          <w:sz w:val="32"/>
          <w:szCs w:val="32"/>
          <w:highlight w:val="none"/>
          <w:u w:val="none"/>
        </w:rPr>
      </w:pPr>
      <w:r>
        <w:rPr>
          <w:rFonts w:ascii="Times New Roman" w:hAnsi="Times New Roman" w:eastAsia="仿宋_GB2312" w:cs="Times New Roman"/>
          <w:color w:val="auto"/>
          <w:sz w:val="32"/>
          <w:szCs w:val="32"/>
          <w:highlight w:val="none"/>
          <w:u w:val="none"/>
        </w:rPr>
        <w:t xml:space="preserve">   </w:t>
      </w:r>
      <w:r>
        <w:rPr>
          <w:rFonts w:ascii="Times New Roman" w:hAnsi="Times New Roman" w:eastAsia="楷体" w:cs="Times New Roman"/>
          <w:color w:val="auto"/>
          <w:sz w:val="32"/>
          <w:szCs w:val="32"/>
          <w:highlight w:val="none"/>
          <w:u w:val="none"/>
        </w:rPr>
        <w:t>（十二）强化政策激励。</w:t>
      </w:r>
      <w:r>
        <w:rPr>
          <w:rFonts w:ascii="Times New Roman" w:hAnsi="Times New Roman" w:eastAsia="仿宋_GB2312" w:cs="Times New Roman"/>
          <w:color w:val="auto"/>
          <w:sz w:val="32"/>
          <w:szCs w:val="32"/>
          <w:highlight w:val="none"/>
          <w:u w:val="none"/>
        </w:rPr>
        <w:t>加强</w:t>
      </w:r>
      <w:r>
        <w:rPr>
          <w:rFonts w:hint="eastAsia" w:ascii="Times New Roman" w:hAnsi="Times New Roman" w:eastAsia="仿宋_GB2312" w:cs="Times New Roman"/>
          <w:color w:val="auto"/>
          <w:sz w:val="32"/>
          <w:szCs w:val="32"/>
          <w:highlight w:val="none"/>
          <w:u w:val="none"/>
        </w:rPr>
        <w:t>公平竞争、</w:t>
      </w:r>
      <w:r>
        <w:rPr>
          <w:rFonts w:ascii="Times New Roman" w:hAnsi="Times New Roman" w:eastAsia="仿宋_GB2312" w:cs="Times New Roman"/>
          <w:color w:val="auto"/>
          <w:sz w:val="32"/>
          <w:szCs w:val="32"/>
          <w:highlight w:val="none"/>
          <w:u w:val="none"/>
        </w:rPr>
        <w:t>产业、财政、金融、科技、人才等方面政策与质量政策协同，形成质量提升叠加效应。发挥天开高教科创园作用，打造“学科+人才+产业”的创新发展模式，推动创新链与产业链深度融合。健全覆盖质量、标准、品牌、专利等要素的融资增信体系，加大产业链供应链质量改进、技术改造、设备更新等金融服务供给。实施首台（套）重大技术装备检测评定，推动重大技术装备攻关成果示范应用。强化对质量提升效果的监测与评估，对产业链供应链质量联动提升效果明显的地区、企业、机构或个人，在质量奖励、质量攻关及质量考核中给予适当倾斜和支持。</w:t>
      </w:r>
      <w:r>
        <w:rPr>
          <w:rFonts w:ascii="Times New Roman" w:hAnsi="Times New Roman" w:eastAsia="仿宋_GB2312" w:cs="Times New Roman"/>
          <w:color w:val="auto"/>
          <w:sz w:val="32"/>
          <w:szCs w:val="32"/>
          <w:highlight w:val="none"/>
          <w:u w:val="none"/>
          <w:lang w:val="en"/>
        </w:rPr>
        <w:t>（市市场监管委、市发展改革委、市工业和信息化局、市财政局、市金融局、</w:t>
      </w:r>
      <w:r>
        <w:rPr>
          <w:rFonts w:hint="eastAsia" w:ascii="Times New Roman" w:hAnsi="Times New Roman" w:eastAsia="仿宋_GB2312" w:cs="Times New Roman"/>
          <w:color w:val="auto"/>
          <w:sz w:val="32"/>
          <w:szCs w:val="32"/>
          <w:highlight w:val="none"/>
          <w:u w:val="none"/>
          <w:lang w:val="en"/>
        </w:rPr>
        <w:t>人民银行天津分行、</w:t>
      </w:r>
      <w:r>
        <w:rPr>
          <w:rFonts w:ascii="Times New Roman" w:hAnsi="Times New Roman" w:eastAsia="仿宋_GB2312" w:cs="Times New Roman"/>
          <w:color w:val="auto"/>
          <w:sz w:val="32"/>
          <w:szCs w:val="32"/>
          <w:highlight w:val="none"/>
          <w:u w:val="none"/>
          <w:lang w:val="en"/>
        </w:rPr>
        <w:t>市科技局、市人社局、市知识产权局、</w:t>
      </w:r>
      <w:r>
        <w:rPr>
          <w:rFonts w:hint="eastAsia" w:ascii="Times New Roman" w:hAnsi="Times New Roman" w:eastAsia="仿宋_GB2312" w:cs="Times New Roman"/>
          <w:color w:val="auto"/>
          <w:sz w:val="32"/>
          <w:szCs w:val="32"/>
          <w:highlight w:val="none"/>
          <w:u w:val="none"/>
          <w:lang w:val="en"/>
        </w:rPr>
        <w:t>各区人民政府</w:t>
      </w:r>
      <w:r>
        <w:rPr>
          <w:rFonts w:ascii="Times New Roman" w:hAnsi="Times New Roman" w:eastAsia="仿宋_GB2312" w:cs="Times New Roman"/>
          <w:color w:val="auto"/>
          <w:sz w:val="32"/>
          <w:szCs w:val="32"/>
          <w:highlight w:val="none"/>
          <w:u w:val="none"/>
          <w:lang w:val="en"/>
        </w:rPr>
        <w:t>等</w:t>
      </w:r>
      <w:r>
        <w:rPr>
          <w:rFonts w:ascii="Times New Roman" w:hAnsi="Times New Roman" w:eastAsia="仿宋_GB2312" w:cs="Times New Roman"/>
          <w:color w:val="auto"/>
          <w:sz w:val="32"/>
          <w:szCs w:val="32"/>
          <w:highlight w:val="none"/>
          <w:u w:val="none"/>
        </w:rPr>
        <w:t>按职责分工负责</w:t>
      </w:r>
      <w:r>
        <w:rPr>
          <w:rFonts w:ascii="Times New Roman" w:hAnsi="Times New Roman" w:eastAsia="仿宋_GB2312" w:cs="Times New Roman"/>
          <w:color w:val="auto"/>
          <w:sz w:val="32"/>
          <w:szCs w:val="32"/>
          <w:highlight w:val="none"/>
          <w:u w:val="none"/>
          <w:lang w:val="en"/>
        </w:rPr>
        <w:t>）</w:t>
      </w:r>
    </w:p>
    <w:p>
      <w:pPr>
        <w:spacing w:line="560" w:lineRule="exact"/>
        <w:rPr>
          <w:rFonts w:ascii="Times New Roman" w:hAnsi="Times New Roman" w:eastAsia="仿宋_GB2312" w:cs="Times New Roman"/>
          <w:color w:val="auto"/>
          <w:sz w:val="32"/>
          <w:szCs w:val="32"/>
          <w:highlight w:val="none"/>
          <w:u w:val="none"/>
        </w:rPr>
      </w:pPr>
      <w:r>
        <w:rPr>
          <w:rFonts w:ascii="Times New Roman" w:hAnsi="Times New Roman" w:eastAsia="楷体" w:cs="Times New Roman"/>
          <w:color w:val="auto"/>
          <w:sz w:val="32"/>
          <w:szCs w:val="32"/>
          <w:highlight w:val="none"/>
          <w:u w:val="none"/>
        </w:rPr>
        <w:t xml:space="preserve">   （十三）强化底线约束。</w:t>
      </w:r>
      <w:r>
        <w:rPr>
          <w:rFonts w:ascii="Times New Roman" w:hAnsi="Times New Roman" w:eastAsia="仿宋_GB2312" w:cs="Times New Roman"/>
          <w:color w:val="auto"/>
          <w:sz w:val="32"/>
          <w:szCs w:val="32"/>
          <w:highlight w:val="none"/>
          <w:u w:val="none"/>
        </w:rPr>
        <w:t>完善产品质量监督抽查制度，加强工业品和消费品质量监督检查，推动实现生产流通、线上线下一体化抽查。强化部门联合抽查常态化，对重点产品实施全市企业抽查全覆盖，强化监督抽查结果处理。落实缺陷消费品召回相关规定，加强缺陷消费品召回管理。完善重点产品质量安全追溯体系，实现追溯数据跨部门互联互通。健全信用监管长效机制，加强链上企业信用风险分类管理，提高监管及时性、精确性、有效性。设立进出口商品质量安全风险监测点，开展重点商品质量安全状况分析和业务风险评估。</w:t>
      </w:r>
      <w:r>
        <w:rPr>
          <w:rFonts w:ascii="Times New Roman" w:hAnsi="Times New Roman" w:eastAsia="仿宋_GB2312" w:cs="Times New Roman"/>
          <w:color w:val="auto"/>
          <w:sz w:val="32"/>
          <w:szCs w:val="32"/>
          <w:highlight w:val="none"/>
          <w:u w:val="none"/>
          <w:lang w:val="en"/>
        </w:rPr>
        <w:t>（市市场监管委、天津海关、</w:t>
      </w:r>
      <w:r>
        <w:rPr>
          <w:rFonts w:hint="eastAsia" w:ascii="Times New Roman" w:hAnsi="Times New Roman" w:eastAsia="仿宋_GB2312" w:cs="Times New Roman"/>
          <w:color w:val="auto"/>
          <w:sz w:val="32"/>
          <w:szCs w:val="32"/>
          <w:highlight w:val="none"/>
          <w:u w:val="none"/>
          <w:lang w:val="en"/>
        </w:rPr>
        <w:t>各区人民政府</w:t>
      </w:r>
      <w:r>
        <w:rPr>
          <w:rFonts w:ascii="Times New Roman" w:hAnsi="Times New Roman" w:eastAsia="仿宋_GB2312" w:cs="Times New Roman"/>
          <w:color w:val="auto"/>
          <w:sz w:val="32"/>
          <w:szCs w:val="32"/>
          <w:highlight w:val="none"/>
          <w:u w:val="none"/>
          <w:lang w:val="en"/>
        </w:rPr>
        <w:t>等</w:t>
      </w:r>
      <w:r>
        <w:rPr>
          <w:rFonts w:ascii="Times New Roman" w:hAnsi="Times New Roman" w:eastAsia="仿宋_GB2312" w:cs="Times New Roman"/>
          <w:color w:val="auto"/>
          <w:sz w:val="32"/>
          <w:szCs w:val="32"/>
          <w:highlight w:val="none"/>
          <w:u w:val="none"/>
        </w:rPr>
        <w:t>按职责分工负责</w:t>
      </w:r>
      <w:r>
        <w:rPr>
          <w:rFonts w:ascii="Times New Roman" w:hAnsi="Times New Roman" w:eastAsia="仿宋_GB2312" w:cs="Times New Roman"/>
          <w:color w:val="auto"/>
          <w:sz w:val="32"/>
          <w:szCs w:val="32"/>
          <w:highlight w:val="none"/>
          <w:u w:val="none"/>
          <w:lang w:val="en"/>
        </w:rPr>
        <w:t>）</w:t>
      </w:r>
    </w:p>
    <w:p>
      <w:pPr>
        <w:spacing w:line="560" w:lineRule="exact"/>
        <w:rPr>
          <w:rFonts w:ascii="Times New Roman" w:hAnsi="Times New Roman" w:eastAsia="楷体" w:cs="Times New Roman"/>
          <w:color w:val="auto"/>
          <w:sz w:val="32"/>
          <w:szCs w:val="32"/>
          <w:highlight w:val="none"/>
          <w:u w:val="none"/>
        </w:rPr>
      </w:pPr>
      <w:r>
        <w:rPr>
          <w:rFonts w:ascii="Times New Roman" w:hAnsi="Times New Roman" w:eastAsia="楷体" w:cs="Times New Roman"/>
          <w:color w:val="auto"/>
          <w:sz w:val="32"/>
          <w:szCs w:val="32"/>
          <w:highlight w:val="none"/>
          <w:u w:val="none"/>
        </w:rPr>
        <w:t xml:space="preserve">   （十四）</w:t>
      </w:r>
      <w:r>
        <w:rPr>
          <w:rFonts w:ascii="Times New Roman" w:hAnsi="Times New Roman" w:eastAsia="楷体" w:cs="Times New Roman"/>
          <w:color w:val="auto"/>
          <w:sz w:val="32"/>
          <w:szCs w:val="32"/>
          <w:highlight w:val="none"/>
          <w:u w:val="none"/>
          <w:lang w:val="en"/>
        </w:rPr>
        <w:t>强化联动协作。</w:t>
      </w:r>
      <w:r>
        <w:rPr>
          <w:rFonts w:ascii="Times New Roman" w:hAnsi="Times New Roman" w:eastAsia="仿宋_GB2312" w:cs="Times New Roman"/>
          <w:color w:val="auto"/>
          <w:sz w:val="32"/>
          <w:szCs w:val="32"/>
          <w:highlight w:val="none"/>
          <w:u w:val="none"/>
          <w:lang w:val="en"/>
        </w:rPr>
        <w:t>充分发挥质量强市、质量强区统筹协调机制作用，加强组织领导、部门协作、上下联动</w:t>
      </w:r>
      <w:r>
        <w:rPr>
          <w:rFonts w:ascii="Times New Roman" w:hAnsi="Times New Roman" w:eastAsia="仿宋_GB2312" w:cs="Times New Roman"/>
          <w:color w:val="auto"/>
          <w:sz w:val="32"/>
          <w:szCs w:val="32"/>
          <w:highlight w:val="none"/>
          <w:u w:val="none"/>
        </w:rPr>
        <w:t>，共同推动各项任务落地见效。</w:t>
      </w:r>
      <w:r>
        <w:rPr>
          <w:rFonts w:hint="eastAsia" w:ascii="Times New Roman" w:hAnsi="Times New Roman" w:eastAsia="仿宋_GB2312" w:cs="Times New Roman"/>
          <w:color w:val="auto"/>
          <w:sz w:val="32"/>
          <w:szCs w:val="32"/>
          <w:highlight w:val="none"/>
          <w:u w:val="none"/>
        </w:rPr>
        <w:t>链长单位要加强组织协调，</w:t>
      </w:r>
      <w:r>
        <w:rPr>
          <w:rFonts w:ascii="Times New Roman" w:hAnsi="Times New Roman" w:eastAsia="仿宋_GB2312" w:cs="Times New Roman"/>
          <w:color w:val="auto"/>
          <w:sz w:val="32"/>
          <w:szCs w:val="32"/>
          <w:highlight w:val="none"/>
          <w:u w:val="none"/>
        </w:rPr>
        <w:t>统筹推进产业链供应链质量联动提升工作</w:t>
      </w:r>
      <w:r>
        <w:rPr>
          <w:rFonts w:ascii="Times New Roman" w:hAnsi="Times New Roman" w:eastAsia="仿宋_GB2312" w:cs="Times New Roman"/>
          <w:color w:val="auto"/>
          <w:sz w:val="32"/>
          <w:szCs w:val="32"/>
          <w:highlight w:val="none"/>
          <w:u w:val="none"/>
          <w:lang w:val="en"/>
        </w:rPr>
        <w:t>。</w:t>
      </w:r>
      <w:r>
        <w:rPr>
          <w:rFonts w:ascii="Times New Roman" w:hAnsi="Times New Roman" w:eastAsia="仿宋_GB2312" w:cs="Times New Roman"/>
          <w:color w:val="auto"/>
          <w:sz w:val="32"/>
          <w:szCs w:val="32"/>
          <w:highlight w:val="none"/>
          <w:u w:val="none"/>
        </w:rPr>
        <w:t>链主企业</w:t>
      </w:r>
      <w:r>
        <w:rPr>
          <w:rFonts w:hint="eastAsia" w:ascii="Times New Roman" w:hAnsi="Times New Roman" w:eastAsia="仿宋_GB2312" w:cs="Times New Roman"/>
          <w:color w:val="auto"/>
          <w:sz w:val="32"/>
          <w:szCs w:val="32"/>
          <w:highlight w:val="none"/>
          <w:u w:val="none"/>
        </w:rPr>
        <w:t>要</w:t>
      </w:r>
      <w:r>
        <w:rPr>
          <w:rFonts w:ascii="Times New Roman" w:hAnsi="Times New Roman" w:eastAsia="仿宋_GB2312" w:cs="Times New Roman"/>
          <w:color w:val="auto"/>
          <w:sz w:val="32"/>
          <w:szCs w:val="32"/>
          <w:highlight w:val="none"/>
          <w:u w:val="none"/>
        </w:rPr>
        <w:t>发挥</w:t>
      </w:r>
      <w:r>
        <w:rPr>
          <w:rFonts w:hint="eastAsia" w:ascii="Times New Roman" w:hAnsi="Times New Roman" w:eastAsia="仿宋_GB2312" w:cs="Times New Roman"/>
          <w:color w:val="auto"/>
          <w:sz w:val="32"/>
          <w:szCs w:val="32"/>
          <w:highlight w:val="none"/>
          <w:u w:val="none"/>
        </w:rPr>
        <w:t>引领</w:t>
      </w:r>
      <w:r>
        <w:rPr>
          <w:rFonts w:ascii="Times New Roman" w:hAnsi="Times New Roman" w:eastAsia="仿宋_GB2312" w:cs="Times New Roman"/>
          <w:color w:val="auto"/>
          <w:sz w:val="32"/>
          <w:szCs w:val="32"/>
          <w:highlight w:val="none"/>
          <w:u w:val="none"/>
        </w:rPr>
        <w:t>作用，与上下游企业建立业务互联、资源互享、质量互促的协作机制。支持建立质量技术创新联合体，利用各方资源合作研发、协同创新、成果共享，完善质量共性技术供给体系</w:t>
      </w:r>
      <w:r>
        <w:rPr>
          <w:rFonts w:hint="eastAsia" w:ascii="Times New Roman" w:hAnsi="Times New Roman" w:eastAsia="仿宋_GB2312" w:cs="Times New Roman"/>
          <w:color w:val="auto"/>
          <w:sz w:val="32"/>
          <w:szCs w:val="32"/>
          <w:highlight w:val="none"/>
          <w:u w:val="none"/>
        </w:rPr>
        <w:t>，</w:t>
      </w:r>
      <w:r>
        <w:rPr>
          <w:rFonts w:ascii="Times New Roman" w:hAnsi="Times New Roman" w:eastAsia="仿宋_GB2312" w:cs="Times New Roman"/>
          <w:color w:val="auto"/>
          <w:sz w:val="32"/>
          <w:szCs w:val="32"/>
          <w:highlight w:val="none"/>
          <w:u w:val="none"/>
          <w:lang w:val="en"/>
        </w:rPr>
        <w:t>打造质量基础设施集成服务基地，提供“一站式”服务。</w:t>
      </w:r>
      <w:r>
        <w:rPr>
          <w:rFonts w:ascii="Times New Roman" w:hAnsi="Times New Roman" w:eastAsia="仿宋_GB2312" w:cs="Times New Roman"/>
          <w:color w:val="auto"/>
          <w:sz w:val="32"/>
          <w:szCs w:val="32"/>
          <w:highlight w:val="none"/>
          <w:u w:val="none"/>
        </w:rPr>
        <w:t>开展质量技术帮扶“提质强企”行动，鼓励专业技术机构赋能产业链供应链质量提升，开展链上中小微企业“点对点”帮扶</w:t>
      </w:r>
      <w:r>
        <w:rPr>
          <w:rFonts w:hint="eastAsia" w:ascii="Times New Roman" w:hAnsi="Times New Roman" w:eastAsia="仿宋_GB2312" w:cs="Times New Roman"/>
          <w:color w:val="auto"/>
          <w:sz w:val="32"/>
          <w:szCs w:val="32"/>
          <w:highlight w:val="none"/>
          <w:u w:val="none"/>
        </w:rPr>
        <w:t>。鼓励行业协会积极参与，充分发挥桥梁纽带作用。</w:t>
      </w:r>
      <w:r>
        <w:rPr>
          <w:rFonts w:ascii="Times New Roman" w:hAnsi="Times New Roman" w:eastAsia="仿宋_GB2312" w:cs="Times New Roman"/>
          <w:color w:val="auto"/>
          <w:sz w:val="32"/>
          <w:szCs w:val="32"/>
          <w:highlight w:val="none"/>
          <w:u w:val="none"/>
          <w:lang w:val="en"/>
        </w:rPr>
        <w:t>（市市场监管委</w:t>
      </w:r>
      <w:r>
        <w:rPr>
          <w:rFonts w:hint="eastAsia" w:ascii="Times New Roman" w:hAnsi="Times New Roman" w:eastAsia="仿宋_GB2312" w:cs="Times New Roman"/>
          <w:color w:val="auto"/>
          <w:sz w:val="32"/>
          <w:szCs w:val="32"/>
          <w:highlight w:val="none"/>
          <w:u w:val="none"/>
          <w:lang w:val="en"/>
        </w:rPr>
        <w:t>、</w:t>
      </w:r>
      <w:r>
        <w:rPr>
          <w:rFonts w:ascii="Times New Roman" w:hAnsi="Times New Roman" w:eastAsia="仿宋_GB2312" w:cs="Times New Roman"/>
          <w:color w:val="auto"/>
          <w:sz w:val="32"/>
          <w:szCs w:val="32"/>
          <w:highlight w:val="none"/>
          <w:u w:val="none"/>
          <w:lang w:val="en"/>
        </w:rPr>
        <w:t>各相关行业协会、</w:t>
      </w:r>
      <w:r>
        <w:rPr>
          <w:rFonts w:hint="eastAsia" w:ascii="Times New Roman" w:hAnsi="Times New Roman" w:eastAsia="仿宋_GB2312" w:cs="Times New Roman"/>
          <w:color w:val="auto"/>
          <w:sz w:val="32"/>
          <w:szCs w:val="32"/>
          <w:highlight w:val="none"/>
          <w:u w:val="none"/>
          <w:lang w:val="en"/>
        </w:rPr>
        <w:t>各区人民政府</w:t>
      </w:r>
      <w:r>
        <w:rPr>
          <w:rFonts w:ascii="Times New Roman" w:hAnsi="Times New Roman" w:eastAsia="仿宋_GB2312" w:cs="Times New Roman"/>
          <w:color w:val="auto"/>
          <w:sz w:val="32"/>
          <w:szCs w:val="32"/>
          <w:highlight w:val="none"/>
          <w:u w:val="none"/>
          <w:lang w:val="en"/>
        </w:rPr>
        <w:t>等</w:t>
      </w:r>
      <w:r>
        <w:rPr>
          <w:rFonts w:ascii="Times New Roman" w:hAnsi="Times New Roman" w:eastAsia="仿宋_GB2312" w:cs="Times New Roman"/>
          <w:color w:val="auto"/>
          <w:sz w:val="32"/>
          <w:szCs w:val="32"/>
          <w:highlight w:val="none"/>
          <w:u w:val="none"/>
        </w:rPr>
        <w:t>按职责分工负责</w:t>
      </w:r>
      <w:r>
        <w:rPr>
          <w:rFonts w:ascii="Times New Roman" w:hAnsi="Times New Roman" w:eastAsia="仿宋_GB2312" w:cs="Times New Roman"/>
          <w:color w:val="auto"/>
          <w:sz w:val="32"/>
          <w:szCs w:val="32"/>
          <w:highlight w:val="none"/>
          <w:u w:val="none"/>
          <w:lang w:val="en"/>
        </w:rPr>
        <w:t>）</w:t>
      </w:r>
    </w:p>
    <w:p>
      <w:pPr>
        <w:widowControl/>
        <w:spacing w:line="560" w:lineRule="exact"/>
        <w:jc w:val="left"/>
        <w:rPr>
          <w:rFonts w:ascii="Times New Roman" w:hAnsi="Times New Roman" w:eastAsia="黑体" w:cs="Times New Roman"/>
          <w:color w:val="auto"/>
          <w:sz w:val="32"/>
          <w:szCs w:val="32"/>
          <w:highlight w:val="none"/>
          <w:u w:val="none"/>
          <w:lang w:val="en"/>
        </w:rPr>
      </w:pPr>
      <w:r>
        <w:rPr>
          <w:rFonts w:hint="eastAsia" w:ascii="Times New Roman" w:hAnsi="Times New Roman" w:eastAsia="楷体" w:cs="Times New Roman"/>
          <w:color w:val="auto"/>
          <w:sz w:val="32"/>
          <w:szCs w:val="32"/>
          <w:highlight w:val="none"/>
          <w:u w:val="none"/>
        </w:rPr>
        <w:t xml:space="preserve">    </w:t>
      </w:r>
      <w:r>
        <w:rPr>
          <w:rFonts w:hint="eastAsia" w:ascii="Times New Roman" w:hAnsi="Times New Roman" w:eastAsia="黑体" w:cs="Times New Roman"/>
          <w:color w:val="auto"/>
          <w:sz w:val="32"/>
          <w:szCs w:val="32"/>
          <w:highlight w:val="none"/>
          <w:u w:val="none"/>
          <w:lang w:val="en"/>
        </w:rPr>
        <w:t>四</w:t>
      </w:r>
      <w:r>
        <w:rPr>
          <w:rFonts w:ascii="Times New Roman" w:hAnsi="Times New Roman" w:eastAsia="黑体" w:cs="Times New Roman"/>
          <w:color w:val="auto"/>
          <w:sz w:val="32"/>
          <w:szCs w:val="32"/>
          <w:highlight w:val="none"/>
          <w:u w:val="none"/>
          <w:lang w:val="en"/>
        </w:rPr>
        <w:t>、试点工作安排</w:t>
      </w:r>
    </w:p>
    <w:p>
      <w:pPr>
        <w:widowControl/>
        <w:spacing w:line="560" w:lineRule="exact"/>
        <w:ind w:firstLine="640"/>
        <w:jc w:val="left"/>
        <w:rPr>
          <w:rFonts w:ascii="Times New Roman" w:hAnsi="Times New Roman" w:eastAsia="仿宋_GB2312" w:cs="Times New Roman"/>
          <w:color w:val="auto"/>
          <w:sz w:val="32"/>
          <w:szCs w:val="32"/>
          <w:highlight w:val="none"/>
          <w:u w:val="none"/>
        </w:rPr>
      </w:pPr>
      <w:r>
        <w:rPr>
          <w:rFonts w:ascii="Times New Roman" w:hAnsi="Times New Roman" w:eastAsia="仿宋_GB2312" w:cs="Times New Roman"/>
          <w:color w:val="auto"/>
          <w:sz w:val="32"/>
          <w:szCs w:val="32"/>
          <w:highlight w:val="none"/>
          <w:u w:val="none"/>
          <w:lang w:val="en"/>
        </w:rPr>
        <w:t>以电动自行车、光伏、焊材、</w:t>
      </w:r>
      <w:r>
        <w:rPr>
          <w:rFonts w:hint="eastAsia" w:ascii="Times New Roman" w:hAnsi="Times New Roman" w:eastAsia="仿宋_GB2312" w:cs="Times New Roman"/>
          <w:color w:val="auto"/>
          <w:sz w:val="32"/>
          <w:szCs w:val="32"/>
          <w:highlight w:val="none"/>
          <w:u w:val="none"/>
          <w:lang w:val="en"/>
        </w:rPr>
        <w:t>车用燃料</w:t>
      </w:r>
      <w:r>
        <w:rPr>
          <w:rFonts w:ascii="Times New Roman" w:hAnsi="Times New Roman" w:eastAsia="仿宋_GB2312" w:cs="Times New Roman"/>
          <w:color w:val="auto"/>
          <w:sz w:val="32"/>
          <w:szCs w:val="32"/>
          <w:highlight w:val="none"/>
          <w:u w:val="none"/>
          <w:lang w:val="en"/>
        </w:rPr>
        <w:t>等</w:t>
      </w:r>
      <w:r>
        <w:rPr>
          <w:rFonts w:ascii="Times New Roman" w:hAnsi="Times New Roman" w:eastAsia="仿宋_GB2312" w:cs="Times New Roman"/>
          <w:color w:val="auto"/>
          <w:sz w:val="32"/>
          <w:szCs w:val="32"/>
          <w:highlight w:val="none"/>
          <w:u w:val="none"/>
        </w:rPr>
        <w:t>4</w:t>
      </w:r>
      <w:r>
        <w:rPr>
          <w:rFonts w:ascii="Times New Roman" w:hAnsi="Times New Roman" w:eastAsia="仿宋_GB2312" w:cs="Times New Roman"/>
          <w:color w:val="auto"/>
          <w:sz w:val="32"/>
          <w:szCs w:val="32"/>
          <w:highlight w:val="none"/>
          <w:u w:val="none"/>
          <w:lang w:val="en"/>
        </w:rPr>
        <w:t>条产业链为</w:t>
      </w:r>
      <w:r>
        <w:rPr>
          <w:rFonts w:hint="eastAsia" w:ascii="Times New Roman" w:hAnsi="Times New Roman" w:eastAsia="仿宋_GB2312" w:cs="Times New Roman"/>
          <w:color w:val="auto"/>
          <w:sz w:val="32"/>
          <w:szCs w:val="32"/>
          <w:highlight w:val="none"/>
          <w:u w:val="none"/>
          <w:lang w:val="en"/>
        </w:rPr>
        <w:t>试点</w:t>
      </w:r>
      <w:r>
        <w:rPr>
          <w:rFonts w:ascii="Times New Roman" w:hAnsi="Times New Roman" w:eastAsia="仿宋_GB2312" w:cs="Times New Roman"/>
          <w:color w:val="auto"/>
          <w:sz w:val="32"/>
          <w:szCs w:val="32"/>
          <w:highlight w:val="none"/>
          <w:u w:val="none"/>
          <w:lang w:val="en"/>
        </w:rPr>
        <w:t>，进行先行先试</w:t>
      </w:r>
      <w:r>
        <w:rPr>
          <w:rFonts w:hint="eastAsia" w:ascii="Times New Roman" w:hAnsi="Times New Roman" w:eastAsia="仿宋_GB2312" w:cs="Times New Roman"/>
          <w:color w:val="auto"/>
          <w:sz w:val="32"/>
          <w:szCs w:val="32"/>
          <w:highlight w:val="none"/>
          <w:u w:val="none"/>
          <w:lang w:val="en"/>
        </w:rPr>
        <w:t>。</w:t>
      </w:r>
      <w:r>
        <w:rPr>
          <w:rFonts w:ascii="Times New Roman" w:hAnsi="Times New Roman" w:eastAsia="仿宋_GB2312" w:cs="Times New Roman"/>
          <w:color w:val="auto"/>
          <w:sz w:val="32"/>
          <w:szCs w:val="32"/>
          <w:highlight w:val="none"/>
          <w:u w:val="none"/>
        </w:rPr>
        <w:t>4月底前</w:t>
      </w:r>
      <w:r>
        <w:rPr>
          <w:rFonts w:hint="eastAsia" w:ascii="Times New Roman" w:hAnsi="Times New Roman" w:eastAsia="仿宋_GB2312" w:cs="Times New Roman"/>
          <w:color w:val="auto"/>
          <w:sz w:val="32"/>
          <w:szCs w:val="32"/>
          <w:highlight w:val="none"/>
          <w:u w:val="none"/>
        </w:rPr>
        <w:t>“一链一策”编制</w:t>
      </w:r>
      <w:r>
        <w:rPr>
          <w:rFonts w:ascii="Times New Roman" w:hAnsi="Times New Roman" w:eastAsia="仿宋_GB2312" w:cs="Times New Roman"/>
          <w:color w:val="auto"/>
          <w:sz w:val="32"/>
          <w:szCs w:val="32"/>
          <w:highlight w:val="none"/>
          <w:u w:val="none"/>
        </w:rPr>
        <w:t>产业链供应链质量联动提升试点工作方案、产业链地图、质量问题清单、重点攻关项目清单、质量政策工具清单（格式见附件2、3、4、5、6）、7月底前形成典型案例，力争入选总局优秀案例。10月底前</w:t>
      </w:r>
      <w:r>
        <w:rPr>
          <w:rFonts w:hint="eastAsia" w:ascii="Times New Roman" w:hAnsi="Times New Roman" w:eastAsia="仿宋_GB2312" w:cs="Times New Roman"/>
          <w:color w:val="auto"/>
          <w:sz w:val="32"/>
          <w:szCs w:val="32"/>
          <w:highlight w:val="none"/>
          <w:u w:val="none"/>
        </w:rPr>
        <w:t>总结</w:t>
      </w:r>
      <w:r>
        <w:rPr>
          <w:rFonts w:ascii="Times New Roman" w:hAnsi="Times New Roman" w:eastAsia="仿宋_GB2312" w:cs="Times New Roman"/>
          <w:color w:val="auto"/>
          <w:sz w:val="32"/>
          <w:szCs w:val="32"/>
          <w:highlight w:val="none"/>
          <w:u w:val="none"/>
        </w:rPr>
        <w:t>我市质量基础设施助力产业链供应链质量联动提升</w:t>
      </w:r>
      <w:r>
        <w:rPr>
          <w:rFonts w:hint="eastAsia" w:ascii="Times New Roman" w:hAnsi="Times New Roman" w:eastAsia="仿宋_GB2312" w:cs="Times New Roman"/>
          <w:color w:val="auto"/>
          <w:sz w:val="32"/>
          <w:szCs w:val="32"/>
          <w:highlight w:val="none"/>
          <w:u w:val="none"/>
        </w:rPr>
        <w:t>阶段性工作情况</w:t>
      </w:r>
      <w:r>
        <w:rPr>
          <w:rFonts w:ascii="Times New Roman" w:hAnsi="Times New Roman" w:eastAsia="仿宋_GB2312" w:cs="Times New Roman"/>
          <w:color w:val="auto"/>
          <w:sz w:val="32"/>
          <w:szCs w:val="32"/>
          <w:highlight w:val="none"/>
          <w:u w:val="none"/>
        </w:rPr>
        <w:t>（格式见附件7、8）。</w:t>
      </w:r>
    </w:p>
    <w:p>
      <w:pPr>
        <w:pStyle w:val="2"/>
        <w:rPr>
          <w:rFonts w:ascii="Times New Roman" w:hAnsi="Times New Roman" w:eastAsia="仿宋_GB2312" w:cs="Times New Roman"/>
          <w:color w:val="auto"/>
          <w:szCs w:val="32"/>
          <w:highlight w:val="none"/>
          <w:u w:val="none"/>
        </w:rPr>
      </w:pPr>
      <w:r>
        <w:rPr>
          <w:rFonts w:ascii="Times New Roman" w:hAnsi="Times New Roman" w:eastAsia="仿宋_GB2312" w:cs="Times New Roman"/>
          <w:color w:val="auto"/>
          <w:szCs w:val="32"/>
          <w:highlight w:val="none"/>
          <w:u w:val="none"/>
        </w:rPr>
        <w:t xml:space="preserve">   </w:t>
      </w:r>
    </w:p>
    <w:p>
      <w:pPr>
        <w:rPr>
          <w:rFonts w:ascii="Times New Roman" w:hAnsi="Times New Roman" w:eastAsia="仿宋_GB2312" w:cs="Times New Roman"/>
          <w:color w:val="auto"/>
          <w:sz w:val="32"/>
          <w:szCs w:val="32"/>
          <w:highlight w:val="none"/>
          <w:u w:val="none"/>
        </w:rPr>
      </w:pPr>
    </w:p>
    <w:p>
      <w:pPr>
        <w:pStyle w:val="2"/>
        <w:spacing w:line="560" w:lineRule="exact"/>
        <w:ind w:firstLine="640"/>
        <w:rPr>
          <w:rFonts w:ascii="Times New Roman" w:hAnsi="Times New Roman" w:eastAsia="仿宋_GB2312" w:cs="Times New Roman"/>
          <w:color w:val="auto"/>
          <w:szCs w:val="32"/>
          <w:highlight w:val="none"/>
          <w:u w:val="none"/>
        </w:rPr>
      </w:pPr>
      <w:r>
        <w:rPr>
          <w:rFonts w:hint="eastAsia" w:ascii="仿宋_GB2312" w:hAnsi="仿宋_GB2312" w:eastAsia="仿宋_GB2312" w:cs="仿宋_GB2312"/>
          <w:color w:val="auto"/>
          <w:highlight w:val="none"/>
          <w:u w:val="none"/>
        </w:rPr>
        <w:t>附件：1.天津市</w:t>
      </w:r>
      <w:r>
        <w:rPr>
          <w:rFonts w:hint="eastAsia" w:ascii="Times New Roman" w:hAnsi="Times New Roman" w:eastAsia="仿宋_GB2312" w:cs="Times New Roman"/>
          <w:color w:val="auto"/>
          <w:szCs w:val="32"/>
          <w:highlight w:val="none"/>
          <w:u w:val="none"/>
        </w:rPr>
        <w:t>质量基础设施助力产业链供应链质量联动</w:t>
      </w:r>
    </w:p>
    <w:p>
      <w:pPr>
        <w:pStyle w:val="2"/>
        <w:spacing w:line="560" w:lineRule="exact"/>
        <w:ind w:firstLine="640"/>
        <w:rPr>
          <w:rFonts w:ascii="仿宋_GB2312" w:hAnsi="仿宋_GB2312" w:eastAsia="仿宋_GB2312" w:cs="仿宋_GB2312"/>
          <w:color w:val="auto"/>
          <w:highlight w:val="none"/>
          <w:u w:val="none"/>
        </w:rPr>
      </w:pPr>
      <w:r>
        <w:rPr>
          <w:rFonts w:hint="eastAsia" w:ascii="Times New Roman" w:hAnsi="Times New Roman" w:eastAsia="仿宋_GB2312" w:cs="Times New Roman"/>
          <w:color w:val="auto"/>
          <w:szCs w:val="32"/>
          <w:highlight w:val="none"/>
          <w:u w:val="none"/>
        </w:rPr>
        <w:t xml:space="preserve">        提升试点</w:t>
      </w:r>
      <w:r>
        <w:rPr>
          <w:rFonts w:hint="eastAsia" w:ascii="仿宋_GB2312" w:hAnsi="仿宋_GB2312" w:eastAsia="仿宋_GB2312" w:cs="仿宋_GB2312"/>
          <w:color w:val="auto"/>
          <w:highlight w:val="none"/>
          <w:u w:val="none"/>
        </w:rPr>
        <w:t>工作任务分工</w:t>
      </w:r>
    </w:p>
    <w:p>
      <w:pPr>
        <w:pStyle w:val="2"/>
        <w:spacing w:line="560" w:lineRule="exact"/>
        <w:ind w:firstLine="640"/>
        <w:rPr>
          <w:rFonts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 xml:space="preserve">      2.产业链供应链质量联动提升试点工作方案（格式）</w:t>
      </w:r>
    </w:p>
    <w:p>
      <w:pPr>
        <w:pStyle w:val="2"/>
        <w:spacing w:line="560" w:lineRule="exact"/>
        <w:rPr>
          <w:rFonts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 xml:space="preserve">          3.产业链地图（格式）</w:t>
      </w:r>
    </w:p>
    <w:p>
      <w:pPr>
        <w:pStyle w:val="2"/>
        <w:spacing w:line="560" w:lineRule="exact"/>
        <w:ind w:firstLine="640"/>
        <w:rPr>
          <w:rFonts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 xml:space="preserve">      4.产业链供应链质量问题清单（格式）</w:t>
      </w:r>
    </w:p>
    <w:p>
      <w:pPr>
        <w:pStyle w:val="2"/>
        <w:spacing w:line="560" w:lineRule="exact"/>
        <w:ind w:firstLine="640"/>
        <w:rPr>
          <w:rFonts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 xml:space="preserve">      5.产业链供应链重点攻关项目清单（格式）</w:t>
      </w:r>
    </w:p>
    <w:p>
      <w:pPr>
        <w:pStyle w:val="2"/>
        <w:spacing w:line="560" w:lineRule="exact"/>
        <w:rPr>
          <w:rFonts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 xml:space="preserve">          6.产业链供应链质量政策工具清单（格式）</w:t>
      </w:r>
    </w:p>
    <w:p>
      <w:pPr>
        <w:pStyle w:val="2"/>
        <w:spacing w:line="560" w:lineRule="exact"/>
        <w:rPr>
          <w:rFonts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 xml:space="preserve">          7.产业链供应链质量联动提升总结报告（格式）</w:t>
      </w:r>
    </w:p>
    <w:p>
      <w:pPr>
        <w:pStyle w:val="2"/>
        <w:spacing w:line="560" w:lineRule="exact"/>
        <w:rPr>
          <w:rFonts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 xml:space="preserve">          8.质量基础设施助力产业链供应链质量联动提升实</w:t>
      </w:r>
    </w:p>
    <w:p>
      <w:pPr>
        <w:pStyle w:val="2"/>
        <w:spacing w:line="560" w:lineRule="exact"/>
        <w:rPr>
          <w:rFonts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 xml:space="preserve">             施情况汇总表</w:t>
      </w:r>
    </w:p>
    <w:p>
      <w:pPr>
        <w:pStyle w:val="2"/>
        <w:rPr>
          <w:rFonts w:ascii="Times New Roman" w:hAnsi="Times New Roman" w:cs="Times New Roman"/>
          <w:color w:val="auto"/>
          <w:highlight w:val="none"/>
          <w:u w:val="none"/>
        </w:rPr>
      </w:pPr>
    </w:p>
    <w:p>
      <w:pPr>
        <w:rPr>
          <w:rFonts w:ascii="Times New Roman" w:hAnsi="Times New Roman" w:cs="Times New Roman"/>
          <w:color w:val="auto"/>
          <w:highlight w:val="none"/>
          <w:u w:val="none"/>
        </w:rPr>
      </w:pPr>
    </w:p>
    <w:p>
      <w:pPr>
        <w:pStyle w:val="2"/>
        <w:rPr>
          <w:rFonts w:ascii="Times New Roman" w:hAnsi="Times New Roman" w:cs="Times New Roman"/>
          <w:color w:val="auto"/>
          <w:highlight w:val="none"/>
          <w:u w:val="none"/>
        </w:rPr>
      </w:pPr>
    </w:p>
    <w:p>
      <w:pPr>
        <w:rPr>
          <w:color w:val="auto"/>
          <w:highlight w:val="none"/>
          <w:u w:val="none"/>
        </w:rPr>
      </w:pPr>
    </w:p>
    <w:p>
      <w:pPr>
        <w:rPr>
          <w:rFonts w:ascii="Times New Roman" w:hAnsi="Times New Roman" w:cs="Times New Roman"/>
          <w:color w:val="auto"/>
          <w:highlight w:val="none"/>
          <w:u w:val="none"/>
        </w:rPr>
      </w:pPr>
    </w:p>
    <w:p>
      <w:pPr>
        <w:pStyle w:val="2"/>
        <w:jc w:val="center"/>
        <w:rPr>
          <w:color w:val="auto"/>
          <w:highlight w:val="none"/>
          <w:u w:val="none"/>
        </w:rPr>
      </w:pPr>
      <w:r>
        <w:rPr>
          <w:rFonts w:hint="eastAsia" w:ascii="Times New Roman" w:hAnsi="Times New Roman" w:cs="Times New Roman"/>
          <w:color w:val="auto"/>
          <w:highlight w:val="none"/>
          <w:u w:val="none"/>
        </w:rPr>
        <w:t xml:space="preserve">                      </w:t>
      </w:r>
    </w:p>
    <w:p>
      <w:pPr>
        <w:spacing w:line="560" w:lineRule="exact"/>
        <w:ind w:firstLine="640" w:firstLineChars="200"/>
        <w:rPr>
          <w:rFonts w:ascii="Times New Roman" w:hAnsi="Times New Roman" w:eastAsia="楷体" w:cs="Times New Roman"/>
          <w:color w:val="auto"/>
          <w:sz w:val="32"/>
          <w:szCs w:val="32"/>
          <w:highlight w:val="none"/>
          <w:u w:val="none"/>
        </w:rPr>
      </w:pPr>
      <w:r>
        <w:rPr>
          <w:rFonts w:ascii="Times New Roman" w:hAnsi="Times New Roman" w:eastAsia="仿宋_GB2312" w:cs="Times New Roman"/>
          <w:color w:val="auto"/>
          <w:sz w:val="32"/>
          <w:szCs w:val="32"/>
          <w:highlight w:val="none"/>
          <w:u w:val="none"/>
        </w:rPr>
        <w:t xml:space="preserve">  </w:t>
      </w:r>
      <w:r>
        <w:rPr>
          <w:rFonts w:ascii="Times New Roman" w:hAnsi="Times New Roman" w:eastAsia="楷体" w:cs="Times New Roman"/>
          <w:color w:val="auto"/>
          <w:sz w:val="32"/>
          <w:szCs w:val="32"/>
          <w:highlight w:val="none"/>
          <w:u w:val="none"/>
        </w:rPr>
        <w:t xml:space="preserve"> </w:t>
      </w:r>
    </w:p>
    <w:p>
      <w:pPr>
        <w:pStyle w:val="2"/>
        <w:rPr>
          <w:color w:val="auto"/>
          <w:highlight w:val="none"/>
          <w:u w:val="none"/>
        </w:rPr>
        <w:sectPr>
          <w:footerReference r:id="rId3" w:type="default"/>
          <w:pgSz w:w="12240" w:h="15840"/>
          <w:pgMar w:top="1440" w:right="1746" w:bottom="1440" w:left="1746" w:header="720" w:footer="720" w:gutter="0"/>
          <w:pgNumType w:fmt="numberInDash"/>
          <w:cols w:space="720" w:num="1"/>
        </w:sectPr>
      </w:pPr>
    </w:p>
    <w:p>
      <w:pPr>
        <w:outlineLvl w:val="0"/>
        <w:rPr>
          <w:rFonts w:ascii="Times New Roman" w:hAnsi="Times New Roman" w:eastAsia="黑体" w:cs="Times New Roman"/>
          <w:color w:val="auto"/>
          <w:sz w:val="32"/>
          <w:szCs w:val="32"/>
          <w:highlight w:val="none"/>
          <w:u w:val="none"/>
        </w:rPr>
      </w:pPr>
      <w:r>
        <w:rPr>
          <w:rFonts w:ascii="Times New Roman" w:hAnsi="Times New Roman" w:eastAsia="黑体" w:cs="Times New Roman"/>
          <w:color w:val="auto"/>
          <w:sz w:val="32"/>
          <w:szCs w:val="32"/>
          <w:highlight w:val="none"/>
          <w:u w:val="none"/>
        </w:rPr>
        <w:t>附件1</w:t>
      </w:r>
    </w:p>
    <w:p>
      <w:pPr>
        <w:spacing w:line="560" w:lineRule="exact"/>
        <w:jc w:val="center"/>
        <w:outlineLvl w:val="1"/>
        <w:rPr>
          <w:rFonts w:ascii="Times New Roman" w:hAnsi="Times New Roman" w:eastAsia="方正小标宋简体" w:cs="Times New Roman"/>
          <w:color w:val="auto"/>
          <w:sz w:val="44"/>
          <w:szCs w:val="44"/>
          <w:highlight w:val="none"/>
          <w:u w:val="none"/>
        </w:rPr>
      </w:pPr>
      <w:r>
        <w:rPr>
          <w:rFonts w:ascii="Times New Roman" w:hAnsi="Times New Roman" w:eastAsia="方正小标宋简体" w:cs="Times New Roman"/>
          <w:color w:val="auto"/>
          <w:sz w:val="44"/>
          <w:szCs w:val="44"/>
          <w:highlight w:val="none"/>
          <w:u w:val="none"/>
        </w:rPr>
        <w:t>天津市质量基础设施助力产业链供应链</w:t>
      </w:r>
    </w:p>
    <w:p>
      <w:pPr>
        <w:spacing w:line="0" w:lineRule="atLeast"/>
        <w:jc w:val="center"/>
        <w:outlineLvl w:val="1"/>
        <w:rPr>
          <w:rFonts w:ascii="Times New Roman" w:hAnsi="Times New Roman" w:eastAsia="方正小标宋简体" w:cs="Times New Roman"/>
          <w:color w:val="auto"/>
          <w:sz w:val="44"/>
          <w:szCs w:val="44"/>
          <w:highlight w:val="none"/>
          <w:u w:val="none"/>
        </w:rPr>
      </w:pPr>
      <w:r>
        <w:rPr>
          <w:rFonts w:ascii="Times New Roman" w:hAnsi="Times New Roman" w:eastAsia="方正小标宋简体" w:cs="Times New Roman"/>
          <w:color w:val="auto"/>
          <w:sz w:val="44"/>
          <w:szCs w:val="44"/>
          <w:highlight w:val="none"/>
          <w:u w:val="none"/>
        </w:rPr>
        <w:t>质量联动提升试点工作任务分工</w:t>
      </w:r>
    </w:p>
    <w:tbl>
      <w:tblPr>
        <w:tblStyle w:val="10"/>
        <w:tblpPr w:leftFromText="180" w:rightFromText="180" w:vertAnchor="text" w:horzAnchor="page" w:tblpX="1356" w:tblpY="679"/>
        <w:tblOverlap w:val="never"/>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05"/>
        <w:gridCol w:w="1425"/>
        <w:gridCol w:w="1575"/>
        <w:gridCol w:w="1395"/>
        <w:gridCol w:w="2400"/>
        <w:gridCol w:w="3145"/>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705" w:type="dxa"/>
            <w:vAlign w:val="center"/>
          </w:tcPr>
          <w:p>
            <w:pPr>
              <w:spacing w:line="400" w:lineRule="exact"/>
              <w:jc w:val="center"/>
              <w:rPr>
                <w:rFonts w:ascii="Times New Roman" w:hAnsi="Times New Roman" w:eastAsia="黑体" w:cs="Times New Roman"/>
                <w:color w:val="auto"/>
                <w:sz w:val="30"/>
                <w:szCs w:val="30"/>
                <w:highlight w:val="none"/>
                <w:u w:val="none"/>
              </w:rPr>
            </w:pPr>
            <w:r>
              <w:rPr>
                <w:rFonts w:ascii="Times New Roman" w:hAnsi="Times New Roman" w:eastAsia="黑体" w:cs="Times New Roman"/>
                <w:color w:val="auto"/>
                <w:sz w:val="30"/>
                <w:szCs w:val="30"/>
                <w:highlight w:val="none"/>
                <w:u w:val="none"/>
              </w:rPr>
              <w:t>序号</w:t>
            </w:r>
          </w:p>
        </w:tc>
        <w:tc>
          <w:tcPr>
            <w:tcW w:w="1605" w:type="dxa"/>
            <w:vAlign w:val="center"/>
          </w:tcPr>
          <w:p>
            <w:pPr>
              <w:spacing w:line="400" w:lineRule="exact"/>
              <w:jc w:val="center"/>
              <w:rPr>
                <w:rFonts w:ascii="Times New Roman" w:hAnsi="Times New Roman" w:eastAsia="黑体" w:cs="Times New Roman"/>
                <w:color w:val="auto"/>
                <w:sz w:val="30"/>
                <w:szCs w:val="30"/>
                <w:highlight w:val="none"/>
                <w:u w:val="none"/>
              </w:rPr>
            </w:pPr>
            <w:r>
              <w:rPr>
                <w:rFonts w:ascii="Times New Roman" w:hAnsi="Times New Roman" w:eastAsia="黑体" w:cs="Times New Roman"/>
                <w:color w:val="auto"/>
                <w:sz w:val="30"/>
                <w:szCs w:val="30"/>
                <w:highlight w:val="none"/>
                <w:u w:val="none"/>
              </w:rPr>
              <w:t>产业链名称</w:t>
            </w:r>
          </w:p>
        </w:tc>
        <w:tc>
          <w:tcPr>
            <w:tcW w:w="1425" w:type="dxa"/>
            <w:vAlign w:val="center"/>
          </w:tcPr>
          <w:p>
            <w:pPr>
              <w:spacing w:line="400" w:lineRule="exact"/>
              <w:jc w:val="center"/>
              <w:rPr>
                <w:rFonts w:ascii="Times New Roman" w:hAnsi="Times New Roman" w:eastAsia="黑体" w:cs="Times New Roman"/>
                <w:color w:val="auto"/>
                <w:sz w:val="30"/>
                <w:szCs w:val="30"/>
                <w:highlight w:val="none"/>
                <w:u w:val="none"/>
              </w:rPr>
            </w:pPr>
            <w:r>
              <w:rPr>
                <w:rFonts w:hint="eastAsia" w:ascii="Times New Roman" w:hAnsi="Times New Roman" w:eastAsia="黑体" w:cs="Times New Roman"/>
                <w:color w:val="auto"/>
                <w:sz w:val="30"/>
                <w:szCs w:val="30"/>
                <w:highlight w:val="none"/>
                <w:u w:val="none"/>
              </w:rPr>
              <w:t>链主单位</w:t>
            </w:r>
          </w:p>
        </w:tc>
        <w:tc>
          <w:tcPr>
            <w:tcW w:w="1575" w:type="dxa"/>
            <w:vAlign w:val="center"/>
          </w:tcPr>
          <w:p>
            <w:pPr>
              <w:spacing w:line="400" w:lineRule="exact"/>
              <w:jc w:val="center"/>
              <w:rPr>
                <w:rFonts w:ascii="Times New Roman" w:hAnsi="Times New Roman" w:eastAsia="黑体" w:cs="Times New Roman"/>
                <w:color w:val="auto"/>
                <w:sz w:val="30"/>
                <w:szCs w:val="30"/>
                <w:highlight w:val="none"/>
                <w:u w:val="none"/>
              </w:rPr>
            </w:pPr>
            <w:r>
              <w:rPr>
                <w:rFonts w:ascii="Times New Roman" w:hAnsi="Times New Roman" w:eastAsia="黑体" w:cs="Times New Roman"/>
                <w:color w:val="auto"/>
                <w:sz w:val="30"/>
                <w:szCs w:val="30"/>
                <w:highlight w:val="none"/>
                <w:u w:val="none"/>
              </w:rPr>
              <w:t>工作专班</w:t>
            </w:r>
            <w:r>
              <w:rPr>
                <w:rFonts w:hint="eastAsia" w:ascii="Times New Roman" w:hAnsi="Times New Roman" w:eastAsia="黑体" w:cs="Times New Roman"/>
                <w:color w:val="auto"/>
                <w:sz w:val="30"/>
                <w:szCs w:val="30"/>
                <w:highlight w:val="none"/>
                <w:u w:val="none"/>
              </w:rPr>
              <w:t>办公室</w:t>
            </w:r>
          </w:p>
        </w:tc>
        <w:tc>
          <w:tcPr>
            <w:tcW w:w="1395" w:type="dxa"/>
            <w:vAlign w:val="center"/>
          </w:tcPr>
          <w:p>
            <w:pPr>
              <w:spacing w:line="400" w:lineRule="exact"/>
              <w:jc w:val="center"/>
              <w:rPr>
                <w:rFonts w:ascii="Times New Roman" w:hAnsi="Times New Roman" w:eastAsia="黑体" w:cs="Times New Roman"/>
                <w:color w:val="auto"/>
                <w:sz w:val="30"/>
                <w:szCs w:val="30"/>
                <w:highlight w:val="none"/>
                <w:u w:val="none"/>
              </w:rPr>
            </w:pPr>
            <w:r>
              <w:rPr>
                <w:rFonts w:hint="eastAsia" w:ascii="Times New Roman" w:hAnsi="Times New Roman" w:eastAsia="黑体" w:cs="Times New Roman"/>
                <w:color w:val="auto"/>
                <w:sz w:val="30"/>
                <w:szCs w:val="30"/>
                <w:highlight w:val="none"/>
                <w:u w:val="none"/>
              </w:rPr>
              <w:t>主要配合部门</w:t>
            </w:r>
          </w:p>
        </w:tc>
        <w:tc>
          <w:tcPr>
            <w:tcW w:w="2400" w:type="dxa"/>
            <w:vAlign w:val="center"/>
          </w:tcPr>
          <w:p>
            <w:pPr>
              <w:spacing w:line="400" w:lineRule="exact"/>
              <w:jc w:val="center"/>
              <w:rPr>
                <w:rFonts w:ascii="楷体" w:hAnsi="楷体" w:eastAsia="楷体" w:cs="楷体"/>
                <w:color w:val="auto"/>
                <w:sz w:val="30"/>
                <w:szCs w:val="30"/>
                <w:highlight w:val="none"/>
                <w:u w:val="none"/>
              </w:rPr>
            </w:pPr>
            <w:r>
              <w:rPr>
                <w:rFonts w:ascii="Times New Roman" w:hAnsi="Times New Roman" w:eastAsia="黑体" w:cs="Times New Roman"/>
                <w:color w:val="auto"/>
                <w:sz w:val="30"/>
                <w:szCs w:val="30"/>
                <w:highlight w:val="none"/>
                <w:u w:val="none"/>
              </w:rPr>
              <w:t>重点区</w:t>
            </w:r>
          </w:p>
        </w:tc>
        <w:tc>
          <w:tcPr>
            <w:tcW w:w="3145" w:type="dxa"/>
            <w:vAlign w:val="center"/>
          </w:tcPr>
          <w:p>
            <w:pPr>
              <w:spacing w:line="400" w:lineRule="exact"/>
              <w:jc w:val="center"/>
              <w:rPr>
                <w:rFonts w:ascii="Times New Roman" w:hAnsi="Times New Roman" w:eastAsia="黑体" w:cs="Times New Roman"/>
                <w:color w:val="auto"/>
                <w:sz w:val="30"/>
                <w:szCs w:val="30"/>
                <w:highlight w:val="none"/>
                <w:u w:val="none"/>
              </w:rPr>
            </w:pPr>
            <w:r>
              <w:rPr>
                <w:rFonts w:hint="eastAsia" w:ascii="Times New Roman" w:hAnsi="Times New Roman" w:eastAsia="黑体" w:cs="Times New Roman"/>
                <w:color w:val="auto"/>
                <w:sz w:val="30"/>
                <w:szCs w:val="30"/>
                <w:highlight w:val="none"/>
                <w:u w:val="none"/>
              </w:rPr>
              <w:t>建设质量提升培训基地数量及名称</w:t>
            </w:r>
          </w:p>
        </w:tc>
        <w:tc>
          <w:tcPr>
            <w:tcW w:w="1970" w:type="dxa"/>
            <w:vAlign w:val="center"/>
          </w:tcPr>
          <w:p>
            <w:pPr>
              <w:spacing w:line="400" w:lineRule="exact"/>
              <w:jc w:val="center"/>
              <w:rPr>
                <w:rFonts w:ascii="Times New Roman" w:hAnsi="Times New Roman" w:eastAsia="黑体" w:cs="Times New Roman"/>
                <w:color w:val="auto"/>
                <w:sz w:val="30"/>
                <w:szCs w:val="30"/>
                <w:highlight w:val="none"/>
                <w:u w:val="none"/>
              </w:rPr>
            </w:pPr>
            <w:r>
              <w:rPr>
                <w:rFonts w:ascii="Times New Roman" w:hAnsi="Times New Roman" w:eastAsia="黑体" w:cs="Times New Roman"/>
                <w:color w:val="auto"/>
                <w:sz w:val="30"/>
                <w:szCs w:val="30"/>
                <w:highlight w:val="none"/>
                <w:u w:val="none"/>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0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1</w:t>
            </w:r>
          </w:p>
        </w:tc>
        <w:tc>
          <w:tcPr>
            <w:tcW w:w="160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电动自行车产业链</w:t>
            </w:r>
          </w:p>
        </w:tc>
        <w:tc>
          <w:tcPr>
            <w:tcW w:w="142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市市场监管委</w:t>
            </w:r>
          </w:p>
        </w:tc>
        <w:tc>
          <w:tcPr>
            <w:tcW w:w="157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市质检院</w:t>
            </w:r>
          </w:p>
        </w:tc>
        <w:tc>
          <w:tcPr>
            <w:tcW w:w="139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市工业和信息化局</w:t>
            </w:r>
          </w:p>
        </w:tc>
        <w:tc>
          <w:tcPr>
            <w:tcW w:w="2400"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静海区、武清区、</w:t>
            </w:r>
          </w:p>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北辰区、滨海新区</w:t>
            </w:r>
          </w:p>
        </w:tc>
        <w:tc>
          <w:tcPr>
            <w:tcW w:w="314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auto"/>
                <w:sz w:val="24"/>
                <w:szCs w:val="24"/>
                <w:highlight w:val="none"/>
                <w:u w:val="none"/>
              </w:rPr>
            </w:pPr>
            <w:r>
              <w:rPr>
                <w:rFonts w:hint="eastAsia" w:ascii="Times New Roman" w:hAnsi="Times New Roman" w:eastAsia="仿宋_GB2312" w:cs="Times New Roman"/>
                <w:color w:val="auto"/>
                <w:sz w:val="24"/>
                <w:szCs w:val="24"/>
                <w:highlight w:val="none"/>
                <w:u w:val="none"/>
              </w:rPr>
              <w:t>培训基地数量：1</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4"/>
                <w:szCs w:val="24"/>
                <w:highlight w:val="none"/>
                <w:u w:val="none"/>
              </w:rPr>
              <w:t>名称：电动自行车产品质量安全国家市场监管技术创新中心培训基地（天津市产品质量监督检测技术研究院）</w:t>
            </w:r>
          </w:p>
        </w:tc>
        <w:tc>
          <w:tcPr>
            <w:tcW w:w="1970"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2024-2025年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2</w:t>
            </w:r>
          </w:p>
        </w:tc>
        <w:tc>
          <w:tcPr>
            <w:tcW w:w="160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光伏产业链</w:t>
            </w:r>
          </w:p>
        </w:tc>
        <w:tc>
          <w:tcPr>
            <w:tcW w:w="142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市市场监管委</w:t>
            </w:r>
          </w:p>
        </w:tc>
        <w:tc>
          <w:tcPr>
            <w:tcW w:w="157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市计量院</w:t>
            </w:r>
          </w:p>
        </w:tc>
        <w:tc>
          <w:tcPr>
            <w:tcW w:w="1395" w:type="dxa"/>
            <w:vAlign w:val="center"/>
          </w:tcPr>
          <w:p>
            <w:pPr>
              <w:spacing w:line="360" w:lineRule="exact"/>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市工业和信息化局</w:t>
            </w:r>
          </w:p>
        </w:tc>
        <w:tc>
          <w:tcPr>
            <w:tcW w:w="2400" w:type="dxa"/>
            <w:vAlign w:val="center"/>
          </w:tcPr>
          <w:p>
            <w:pPr>
              <w:spacing w:line="360" w:lineRule="exact"/>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滨海新区、宁河区、北辰区、静海区</w:t>
            </w:r>
          </w:p>
        </w:tc>
        <w:tc>
          <w:tcPr>
            <w:tcW w:w="314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color w:val="auto"/>
                <w:sz w:val="24"/>
                <w:szCs w:val="24"/>
                <w:highlight w:val="none"/>
                <w:u w:val="none"/>
              </w:rPr>
            </w:pPr>
            <w:r>
              <w:rPr>
                <w:rFonts w:hint="eastAsia" w:ascii="Times New Roman" w:hAnsi="Times New Roman" w:eastAsia="仿宋_GB2312" w:cs="Times New Roman"/>
                <w:color w:val="auto"/>
                <w:sz w:val="24"/>
                <w:szCs w:val="24"/>
                <w:highlight w:val="none"/>
                <w:u w:val="none"/>
              </w:rPr>
              <w:t>培训基地数量：2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color w:val="auto"/>
                <w:sz w:val="24"/>
                <w:szCs w:val="24"/>
                <w:highlight w:val="none"/>
                <w:u w:val="none"/>
              </w:rPr>
            </w:pPr>
            <w:r>
              <w:rPr>
                <w:rFonts w:hint="eastAsia" w:ascii="Times New Roman" w:hAnsi="Times New Roman" w:eastAsia="仿宋_GB2312" w:cs="Times New Roman"/>
                <w:color w:val="auto"/>
                <w:sz w:val="24"/>
                <w:szCs w:val="24"/>
                <w:highlight w:val="none"/>
                <w:u w:val="none"/>
              </w:rPr>
              <w:t>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color w:val="auto"/>
                <w:sz w:val="24"/>
                <w:szCs w:val="24"/>
                <w:highlight w:val="none"/>
                <w:u w:val="none"/>
              </w:rPr>
            </w:pPr>
            <w:r>
              <w:rPr>
                <w:rFonts w:hint="eastAsia" w:ascii="Times New Roman" w:hAnsi="Times New Roman" w:eastAsia="仿宋_GB2312" w:cs="Times New Roman"/>
                <w:color w:val="auto"/>
                <w:sz w:val="24"/>
                <w:szCs w:val="24"/>
                <w:highlight w:val="none"/>
                <w:u w:val="none"/>
              </w:rPr>
              <w:t>1.天津工业大学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4"/>
                <w:szCs w:val="24"/>
                <w:highlight w:val="none"/>
                <w:u w:val="none"/>
                <w:lang w:val="en"/>
              </w:rPr>
              <w:t>2.</w:t>
            </w:r>
            <w:r>
              <w:rPr>
                <w:rFonts w:hint="eastAsia" w:ascii="Times New Roman" w:hAnsi="Times New Roman" w:eastAsia="仿宋_GB2312" w:cs="Times New Roman"/>
                <w:color w:val="auto"/>
                <w:sz w:val="24"/>
                <w:szCs w:val="24"/>
                <w:highlight w:val="none"/>
                <w:u w:val="none"/>
              </w:rPr>
              <w:t>天津轻工职业技术学院 “碳中和新能源开放型产教</w:t>
            </w:r>
            <w:r>
              <w:rPr>
                <w:rFonts w:ascii="Times New Roman" w:hAnsi="Times New Roman" w:eastAsia="仿宋_GB2312" w:cs="Times New Roman"/>
                <w:color w:val="auto"/>
                <w:sz w:val="24"/>
                <w:szCs w:val="24"/>
                <w:highlight w:val="none"/>
                <w:u w:val="none"/>
              </w:rPr>
              <w:t>融合实践中心”</w:t>
            </w:r>
          </w:p>
        </w:tc>
        <w:tc>
          <w:tcPr>
            <w:tcW w:w="1970"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2024-2025年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70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3</w:t>
            </w:r>
          </w:p>
        </w:tc>
        <w:tc>
          <w:tcPr>
            <w:tcW w:w="160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焊材产业链</w:t>
            </w:r>
          </w:p>
        </w:tc>
        <w:tc>
          <w:tcPr>
            <w:tcW w:w="142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市市场监管委</w:t>
            </w:r>
          </w:p>
        </w:tc>
        <w:tc>
          <w:tcPr>
            <w:tcW w:w="157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市特检院</w:t>
            </w:r>
          </w:p>
        </w:tc>
        <w:tc>
          <w:tcPr>
            <w:tcW w:w="139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市工业和信息化局</w:t>
            </w:r>
          </w:p>
        </w:tc>
        <w:tc>
          <w:tcPr>
            <w:tcW w:w="2400"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东丽区、津南区、</w:t>
            </w:r>
          </w:p>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宁河区、蓟州区</w:t>
            </w:r>
          </w:p>
        </w:tc>
        <w:tc>
          <w:tcPr>
            <w:tcW w:w="3145" w:type="dxa"/>
            <w:vAlign w:val="center"/>
          </w:tcPr>
          <w:p>
            <w:pPr>
              <w:spacing w:line="360" w:lineRule="exact"/>
              <w:rPr>
                <w:rFonts w:ascii="Times New Roman" w:hAnsi="Times New Roman" w:eastAsia="仿宋_GB2312" w:cs="Times New Roman"/>
                <w:color w:val="auto"/>
                <w:sz w:val="24"/>
                <w:szCs w:val="24"/>
                <w:highlight w:val="none"/>
                <w:u w:val="none"/>
              </w:rPr>
            </w:pPr>
            <w:r>
              <w:rPr>
                <w:rFonts w:hint="eastAsia" w:ascii="Times New Roman" w:hAnsi="Times New Roman" w:eastAsia="仿宋_GB2312" w:cs="Times New Roman"/>
                <w:color w:val="auto"/>
                <w:sz w:val="24"/>
                <w:szCs w:val="24"/>
                <w:highlight w:val="none"/>
                <w:u w:val="none"/>
              </w:rPr>
              <w:t>培训基地数量：1</w:t>
            </w:r>
          </w:p>
          <w:p>
            <w:pPr>
              <w:spacing w:line="360" w:lineRule="exact"/>
              <w:jc w:val="left"/>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4"/>
                <w:szCs w:val="24"/>
                <w:highlight w:val="none"/>
                <w:u w:val="none"/>
              </w:rPr>
              <w:t>名称：焊材产品质量控制提升培训基地（国家特种设备焊接材料产品质量检验检测中心（天津））</w:t>
            </w:r>
          </w:p>
        </w:tc>
        <w:tc>
          <w:tcPr>
            <w:tcW w:w="1970"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2024-2025年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70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4</w:t>
            </w:r>
          </w:p>
        </w:tc>
        <w:tc>
          <w:tcPr>
            <w:tcW w:w="160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车用燃料</w:t>
            </w:r>
            <w:r>
              <w:rPr>
                <w:rFonts w:ascii="Times New Roman" w:hAnsi="Times New Roman" w:eastAsia="仿宋_GB2312" w:cs="Times New Roman"/>
                <w:color w:val="auto"/>
                <w:sz w:val="28"/>
                <w:szCs w:val="28"/>
                <w:highlight w:val="none"/>
                <w:u w:val="none"/>
              </w:rPr>
              <w:t>产业链</w:t>
            </w:r>
          </w:p>
        </w:tc>
        <w:tc>
          <w:tcPr>
            <w:tcW w:w="142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市市场监管委</w:t>
            </w:r>
          </w:p>
        </w:tc>
        <w:tc>
          <w:tcPr>
            <w:tcW w:w="157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市质检院</w:t>
            </w:r>
          </w:p>
        </w:tc>
        <w:tc>
          <w:tcPr>
            <w:tcW w:w="1395"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市发展改革委</w:t>
            </w:r>
          </w:p>
        </w:tc>
        <w:tc>
          <w:tcPr>
            <w:tcW w:w="2400"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滨海新区、东丽区、静海区</w:t>
            </w:r>
          </w:p>
        </w:tc>
        <w:tc>
          <w:tcPr>
            <w:tcW w:w="3145" w:type="dxa"/>
            <w:vAlign w:val="center"/>
          </w:tcPr>
          <w:p>
            <w:pPr>
              <w:spacing w:line="360" w:lineRule="exact"/>
              <w:rPr>
                <w:rFonts w:ascii="Times New Roman" w:hAnsi="Times New Roman" w:eastAsia="仿宋_GB2312" w:cs="Times New Roman"/>
                <w:color w:val="auto"/>
                <w:sz w:val="24"/>
                <w:szCs w:val="24"/>
                <w:highlight w:val="none"/>
                <w:u w:val="none"/>
              </w:rPr>
            </w:pPr>
            <w:r>
              <w:rPr>
                <w:rFonts w:hint="eastAsia" w:ascii="Times New Roman" w:hAnsi="Times New Roman" w:eastAsia="仿宋_GB2312" w:cs="Times New Roman"/>
                <w:color w:val="auto"/>
                <w:sz w:val="24"/>
                <w:szCs w:val="24"/>
                <w:highlight w:val="none"/>
                <w:u w:val="none"/>
              </w:rPr>
              <w:t>培训基地数量：1</w:t>
            </w:r>
          </w:p>
          <w:p>
            <w:pPr>
              <w:spacing w:line="360" w:lineRule="exact"/>
              <w:jc w:val="left"/>
              <w:rPr>
                <w:rFonts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4"/>
                <w:szCs w:val="24"/>
                <w:highlight w:val="none"/>
                <w:u w:val="none"/>
              </w:rPr>
              <w:t>名称：国家市场监管技术创新中心（石油石化产品质量安全）（天津市产品质量监督检测技术研究院）</w:t>
            </w:r>
          </w:p>
        </w:tc>
        <w:tc>
          <w:tcPr>
            <w:tcW w:w="1970" w:type="dxa"/>
            <w:vAlign w:val="center"/>
          </w:tcPr>
          <w:p>
            <w:pPr>
              <w:spacing w:line="360" w:lineRule="exact"/>
              <w:jc w:val="center"/>
              <w:rPr>
                <w:rFonts w:ascii="Times New Roman" w:hAnsi="Times New Roman" w:eastAsia="仿宋_GB2312" w:cs="Times New Roman"/>
                <w:color w:val="auto"/>
                <w:sz w:val="28"/>
                <w:szCs w:val="28"/>
                <w:highlight w:val="none"/>
                <w:u w:val="none"/>
              </w:rPr>
            </w:pPr>
            <w:r>
              <w:rPr>
                <w:rFonts w:ascii="Times New Roman" w:hAnsi="Times New Roman" w:eastAsia="仿宋_GB2312" w:cs="Times New Roman"/>
                <w:color w:val="auto"/>
                <w:sz w:val="28"/>
                <w:szCs w:val="28"/>
                <w:highlight w:val="none"/>
                <w:u w:val="none"/>
              </w:rPr>
              <w:t>2024-2025年</w:t>
            </w:r>
          </w:p>
        </w:tc>
      </w:tr>
    </w:tbl>
    <w:p>
      <w:pPr>
        <w:pStyle w:val="2"/>
        <w:rPr>
          <w:color w:val="auto"/>
          <w:highlight w:val="none"/>
          <w:u w:val="none"/>
        </w:rPr>
      </w:pPr>
    </w:p>
    <w:p>
      <w:pPr>
        <w:spacing w:line="0" w:lineRule="atLeast"/>
        <w:jc w:val="center"/>
        <w:rPr>
          <w:rFonts w:ascii="Times New Roman" w:hAnsi="Times New Roman" w:eastAsia="黑体" w:cs="Times New Roman"/>
          <w:color w:val="auto"/>
          <w:sz w:val="28"/>
          <w:szCs w:val="28"/>
          <w:highlight w:val="none"/>
          <w:u w:val="none"/>
        </w:rPr>
      </w:pPr>
    </w:p>
    <w:p>
      <w:pPr>
        <w:widowControl/>
        <w:jc w:val="left"/>
        <w:rPr>
          <w:rFonts w:ascii="Times New Roman" w:hAnsi="Times New Roman" w:eastAsia="黑体" w:cs="Times New Roman"/>
          <w:color w:val="auto"/>
          <w:sz w:val="32"/>
          <w:szCs w:val="32"/>
          <w:highlight w:val="none"/>
          <w:u w:val="none"/>
        </w:rPr>
        <w:sectPr>
          <w:pgSz w:w="16838" w:h="11906" w:orient="landscape"/>
          <w:pgMar w:top="1800" w:right="1440" w:bottom="1800" w:left="1440" w:header="851" w:footer="992" w:gutter="0"/>
          <w:pgNumType w:fmt="numberInDash"/>
          <w:cols w:space="425" w:num="1"/>
          <w:docGrid w:type="lines" w:linePitch="312" w:charSpace="0"/>
        </w:sectPr>
      </w:pPr>
    </w:p>
    <w:p>
      <w:pPr>
        <w:widowControl/>
        <w:jc w:val="left"/>
        <w:outlineLvl w:val="0"/>
        <w:rPr>
          <w:rFonts w:ascii="Times New Roman" w:hAnsi="Times New Roman" w:eastAsia="黑体" w:cs="Times New Roman"/>
          <w:color w:val="auto"/>
          <w:sz w:val="32"/>
          <w:szCs w:val="32"/>
          <w:highlight w:val="none"/>
          <w:u w:val="none"/>
        </w:rPr>
      </w:pPr>
      <w:r>
        <w:rPr>
          <w:rFonts w:ascii="Times New Roman" w:hAnsi="Times New Roman" w:eastAsia="黑体" w:cs="Times New Roman"/>
          <w:color w:val="auto"/>
          <w:sz w:val="32"/>
          <w:szCs w:val="32"/>
          <w:highlight w:val="none"/>
          <w:u w:val="none"/>
        </w:rPr>
        <w:t>附件2</w:t>
      </w:r>
    </w:p>
    <w:p>
      <w:pPr>
        <w:jc w:val="center"/>
        <w:rPr>
          <w:rFonts w:ascii="Times New Roman" w:hAnsi="Times New Roman" w:eastAsia="黑体" w:cs="Times New Roman"/>
          <w:color w:val="auto"/>
          <w:sz w:val="32"/>
          <w:szCs w:val="32"/>
          <w:highlight w:val="none"/>
          <w:u w:val="none"/>
        </w:rPr>
      </w:pPr>
    </w:p>
    <w:p>
      <w:pPr>
        <w:spacing w:line="560" w:lineRule="exact"/>
        <w:jc w:val="center"/>
        <w:outlineLvl w:val="1"/>
        <w:rPr>
          <w:rFonts w:ascii="Times New Roman" w:hAnsi="Times New Roman" w:eastAsia="方正小标宋简体" w:cs="Times New Roman"/>
          <w:color w:val="auto"/>
          <w:sz w:val="44"/>
          <w:szCs w:val="44"/>
          <w:highlight w:val="none"/>
          <w:u w:val="none"/>
        </w:rPr>
      </w:pPr>
      <w:r>
        <w:rPr>
          <w:rFonts w:ascii="Times New Roman" w:hAnsi="Times New Roman" w:eastAsia="方正小标宋简体" w:cs="Times New Roman"/>
          <w:color w:val="auto"/>
          <w:sz w:val="44"/>
          <w:szCs w:val="44"/>
          <w:highlight w:val="none"/>
          <w:u w:val="none"/>
        </w:rPr>
        <w:t>天津市XX产业链供应链质量联动提升试点工作方案</w:t>
      </w:r>
    </w:p>
    <w:p>
      <w:pPr>
        <w:spacing w:line="560" w:lineRule="exact"/>
        <w:outlineLvl w:val="1"/>
        <w:rPr>
          <w:rFonts w:ascii="Times New Roman" w:hAnsi="Times New Roman" w:eastAsia="黑体" w:cs="Times New Roman"/>
          <w:bCs/>
          <w:color w:val="auto"/>
          <w:sz w:val="32"/>
          <w:szCs w:val="32"/>
          <w:highlight w:val="none"/>
          <w:u w:val="none"/>
        </w:rPr>
      </w:pPr>
    </w:p>
    <w:p>
      <w:pPr>
        <w:spacing w:line="560" w:lineRule="exact"/>
        <w:outlineLvl w:val="1"/>
        <w:rPr>
          <w:rFonts w:ascii="Times New Roman" w:hAnsi="Times New Roman" w:eastAsia="黑体" w:cs="Times New Roman"/>
          <w:bCs/>
          <w:color w:val="auto"/>
          <w:sz w:val="32"/>
          <w:szCs w:val="32"/>
          <w:highlight w:val="none"/>
          <w:u w:val="none"/>
        </w:rPr>
      </w:pPr>
      <w:r>
        <w:rPr>
          <w:rFonts w:hint="eastAsia" w:ascii="Times New Roman" w:hAnsi="Times New Roman" w:eastAsia="黑体" w:cs="Times New Roman"/>
          <w:bCs/>
          <w:color w:val="auto"/>
          <w:sz w:val="32"/>
          <w:szCs w:val="32"/>
          <w:highlight w:val="none"/>
          <w:u w:val="none"/>
        </w:rPr>
        <w:t xml:space="preserve">    </w:t>
      </w:r>
      <w:r>
        <w:rPr>
          <w:rFonts w:ascii="Times New Roman" w:hAnsi="Times New Roman" w:eastAsia="黑体" w:cs="Times New Roman"/>
          <w:bCs/>
          <w:color w:val="auto"/>
          <w:sz w:val="32"/>
          <w:szCs w:val="32"/>
          <w:highlight w:val="none"/>
          <w:u w:val="none"/>
        </w:rPr>
        <w:t>一、产业链基本情况</w:t>
      </w:r>
    </w:p>
    <w:p>
      <w:pPr>
        <w:spacing w:line="560" w:lineRule="exact"/>
        <w:outlineLvl w:val="1"/>
        <w:rPr>
          <w:rFonts w:ascii="Times New Roman" w:hAnsi="Times New Roman" w:eastAsia="黑体" w:cs="Times New Roman"/>
          <w:bCs/>
          <w:color w:val="auto"/>
          <w:sz w:val="32"/>
          <w:szCs w:val="32"/>
          <w:highlight w:val="none"/>
          <w:u w:val="none"/>
        </w:rPr>
      </w:pPr>
      <w:r>
        <w:rPr>
          <w:rFonts w:hint="eastAsia" w:ascii="Times New Roman" w:hAnsi="Times New Roman" w:eastAsia="黑体" w:cs="Times New Roman"/>
          <w:bCs/>
          <w:color w:val="auto"/>
          <w:sz w:val="32"/>
          <w:szCs w:val="32"/>
          <w:highlight w:val="none"/>
          <w:u w:val="none"/>
        </w:rPr>
        <w:t xml:space="preserve">    </w:t>
      </w:r>
      <w:r>
        <w:rPr>
          <w:rFonts w:ascii="Times New Roman" w:hAnsi="Times New Roman" w:eastAsia="黑体" w:cs="Times New Roman"/>
          <w:bCs/>
          <w:color w:val="auto"/>
          <w:sz w:val="32"/>
          <w:szCs w:val="32"/>
          <w:highlight w:val="none"/>
          <w:u w:val="none"/>
        </w:rPr>
        <w:t>二、产业链质量状况和关键质量问题</w:t>
      </w:r>
    </w:p>
    <w:p>
      <w:pPr>
        <w:spacing w:line="560" w:lineRule="exact"/>
        <w:rPr>
          <w:rFonts w:ascii="Times New Roman" w:hAnsi="Times New Roman" w:eastAsia="黑体" w:cs="Times New Roman"/>
          <w:bCs/>
          <w:color w:val="auto"/>
          <w:sz w:val="32"/>
          <w:szCs w:val="32"/>
          <w:highlight w:val="none"/>
          <w:u w:val="none"/>
        </w:rPr>
      </w:pPr>
      <w:r>
        <w:rPr>
          <w:rFonts w:hint="eastAsia" w:ascii="Times New Roman" w:hAnsi="Times New Roman" w:eastAsia="黑体" w:cs="Times New Roman"/>
          <w:bCs/>
          <w:color w:val="auto"/>
          <w:sz w:val="32"/>
          <w:szCs w:val="32"/>
          <w:highlight w:val="none"/>
          <w:u w:val="none"/>
        </w:rPr>
        <w:t xml:space="preserve">    </w:t>
      </w:r>
      <w:r>
        <w:rPr>
          <w:rFonts w:ascii="Times New Roman" w:hAnsi="Times New Roman" w:eastAsia="黑体" w:cs="Times New Roman"/>
          <w:bCs/>
          <w:color w:val="auto"/>
          <w:sz w:val="32"/>
          <w:szCs w:val="32"/>
          <w:highlight w:val="none"/>
          <w:u w:val="none"/>
        </w:rPr>
        <w:t>三、</w:t>
      </w:r>
      <w:r>
        <w:rPr>
          <w:rFonts w:hint="eastAsia" w:ascii="Times New Roman" w:hAnsi="Times New Roman" w:eastAsia="黑体" w:cs="Times New Roman"/>
          <w:color w:val="auto"/>
          <w:sz w:val="32"/>
          <w:szCs w:val="32"/>
          <w:highlight w:val="none"/>
          <w:u w:val="none"/>
        </w:rPr>
        <w:t>试点工作内容</w:t>
      </w:r>
    </w:p>
    <w:p>
      <w:pPr>
        <w:spacing w:line="560" w:lineRule="exact"/>
        <w:rPr>
          <w:rFonts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rPr>
        <w:t xml:space="preserve">    </w:t>
      </w:r>
      <w:r>
        <w:rPr>
          <w:rFonts w:ascii="Times New Roman" w:hAnsi="Times New Roman" w:eastAsia="黑体" w:cs="Times New Roman"/>
          <w:color w:val="auto"/>
          <w:sz w:val="32"/>
          <w:szCs w:val="32"/>
          <w:highlight w:val="none"/>
          <w:u w:val="none"/>
        </w:rPr>
        <w:t>四、质量提升培训基地建设计划</w:t>
      </w:r>
    </w:p>
    <w:p>
      <w:pPr>
        <w:spacing w:line="560" w:lineRule="exact"/>
        <w:rPr>
          <w:rFonts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rPr>
        <w:t xml:space="preserve">    </w:t>
      </w:r>
      <w:r>
        <w:rPr>
          <w:rFonts w:ascii="Times New Roman" w:hAnsi="Times New Roman" w:eastAsia="黑体" w:cs="Times New Roman"/>
          <w:color w:val="auto"/>
          <w:sz w:val="32"/>
          <w:szCs w:val="32"/>
          <w:highlight w:val="none"/>
          <w:u w:val="none"/>
        </w:rPr>
        <w:t>五、预期经济社会效益</w:t>
      </w:r>
    </w:p>
    <w:p>
      <w:pPr>
        <w:spacing w:line="360" w:lineRule="auto"/>
        <w:outlineLvl w:val="0"/>
        <w:rPr>
          <w:rFonts w:ascii="Times New Roman" w:hAnsi="Times New Roman" w:eastAsia="黑体" w:cs="Times New Roman"/>
          <w:color w:val="auto"/>
          <w:sz w:val="32"/>
          <w:szCs w:val="32"/>
          <w:highlight w:val="none"/>
          <w:u w:val="none"/>
        </w:rPr>
      </w:pPr>
    </w:p>
    <w:p>
      <w:pPr>
        <w:pStyle w:val="2"/>
        <w:rPr>
          <w:rFonts w:ascii="Times New Roman" w:hAnsi="Times New Roman" w:eastAsia="黑体" w:cs="Times New Roman"/>
          <w:color w:val="auto"/>
          <w:sz w:val="32"/>
          <w:szCs w:val="32"/>
          <w:highlight w:val="none"/>
          <w:u w:val="none"/>
        </w:rPr>
      </w:pPr>
    </w:p>
    <w:p>
      <w:pPr>
        <w:rPr>
          <w:rFonts w:ascii="Times New Roman" w:hAnsi="Times New Roman" w:eastAsia="黑体" w:cs="Times New Roman"/>
          <w:color w:val="auto"/>
          <w:sz w:val="32"/>
          <w:szCs w:val="32"/>
          <w:highlight w:val="none"/>
          <w:u w:val="none"/>
        </w:rPr>
      </w:pPr>
    </w:p>
    <w:p>
      <w:pPr>
        <w:pStyle w:val="2"/>
        <w:rPr>
          <w:rFonts w:ascii="Times New Roman" w:hAnsi="Times New Roman" w:eastAsia="黑体" w:cs="Times New Roman"/>
          <w:color w:val="auto"/>
          <w:sz w:val="32"/>
          <w:szCs w:val="32"/>
          <w:highlight w:val="none"/>
          <w:u w:val="none"/>
        </w:rPr>
      </w:pPr>
    </w:p>
    <w:p>
      <w:pPr>
        <w:rPr>
          <w:rFonts w:ascii="Times New Roman" w:hAnsi="Times New Roman" w:eastAsia="黑体" w:cs="Times New Roman"/>
          <w:color w:val="auto"/>
          <w:sz w:val="32"/>
          <w:szCs w:val="32"/>
          <w:highlight w:val="none"/>
          <w:u w:val="none"/>
        </w:rPr>
      </w:pPr>
    </w:p>
    <w:p>
      <w:pPr>
        <w:pStyle w:val="2"/>
        <w:rPr>
          <w:color w:val="auto"/>
          <w:highlight w:val="none"/>
          <w:u w:val="none"/>
        </w:rPr>
      </w:pPr>
    </w:p>
    <w:p>
      <w:pPr>
        <w:spacing w:line="360" w:lineRule="auto"/>
        <w:outlineLvl w:val="0"/>
        <w:rPr>
          <w:rFonts w:ascii="Times New Roman" w:hAnsi="Times New Roman" w:eastAsia="黑体" w:cs="Times New Roman"/>
          <w:color w:val="auto"/>
          <w:sz w:val="32"/>
          <w:szCs w:val="32"/>
          <w:highlight w:val="none"/>
          <w:u w:val="none"/>
        </w:rPr>
      </w:pPr>
    </w:p>
    <w:p>
      <w:pPr>
        <w:spacing w:line="360" w:lineRule="auto"/>
        <w:outlineLvl w:val="0"/>
        <w:rPr>
          <w:rFonts w:ascii="Times New Roman" w:hAnsi="Times New Roman" w:eastAsia="黑体" w:cs="Times New Roman"/>
          <w:color w:val="auto"/>
          <w:sz w:val="32"/>
          <w:szCs w:val="32"/>
          <w:highlight w:val="none"/>
          <w:u w:val="none"/>
        </w:rPr>
      </w:pPr>
    </w:p>
    <w:p>
      <w:pPr>
        <w:spacing w:line="360" w:lineRule="auto"/>
        <w:outlineLvl w:val="0"/>
        <w:rPr>
          <w:rFonts w:ascii="Times New Roman" w:hAnsi="Times New Roman" w:eastAsia="黑体" w:cs="Times New Roman"/>
          <w:color w:val="auto"/>
          <w:sz w:val="32"/>
          <w:szCs w:val="32"/>
          <w:highlight w:val="none"/>
          <w:u w:val="none"/>
        </w:rPr>
      </w:pPr>
    </w:p>
    <w:p>
      <w:pPr>
        <w:spacing w:line="360" w:lineRule="auto"/>
        <w:outlineLvl w:val="0"/>
        <w:rPr>
          <w:rFonts w:ascii="Times New Roman" w:hAnsi="Times New Roman" w:eastAsia="黑体" w:cs="Times New Roman"/>
          <w:color w:val="auto"/>
          <w:sz w:val="32"/>
          <w:szCs w:val="32"/>
          <w:highlight w:val="none"/>
          <w:u w:val="none"/>
        </w:rPr>
      </w:pPr>
    </w:p>
    <w:p>
      <w:pPr>
        <w:spacing w:line="360" w:lineRule="auto"/>
        <w:outlineLvl w:val="0"/>
        <w:rPr>
          <w:rFonts w:ascii="Times New Roman" w:hAnsi="Times New Roman" w:eastAsia="黑体" w:cs="Times New Roman"/>
          <w:color w:val="auto"/>
          <w:sz w:val="32"/>
          <w:szCs w:val="32"/>
          <w:highlight w:val="none"/>
          <w:u w:val="none"/>
        </w:rPr>
      </w:pPr>
    </w:p>
    <w:p>
      <w:pPr>
        <w:spacing w:line="360" w:lineRule="auto"/>
        <w:outlineLvl w:val="0"/>
        <w:rPr>
          <w:rFonts w:ascii="Times New Roman" w:hAnsi="Times New Roman" w:eastAsia="黑体" w:cs="Times New Roman"/>
          <w:color w:val="auto"/>
          <w:sz w:val="32"/>
          <w:szCs w:val="32"/>
          <w:highlight w:val="none"/>
          <w:u w:val="none"/>
        </w:rPr>
      </w:pPr>
    </w:p>
    <w:p>
      <w:pPr>
        <w:spacing w:line="360" w:lineRule="auto"/>
        <w:outlineLvl w:val="0"/>
        <w:rPr>
          <w:rFonts w:ascii="Times New Roman" w:hAnsi="Times New Roman" w:eastAsia="黑体" w:cs="Times New Roman"/>
          <w:color w:val="auto"/>
          <w:sz w:val="32"/>
          <w:szCs w:val="32"/>
          <w:highlight w:val="none"/>
          <w:u w:val="none"/>
        </w:rPr>
      </w:pPr>
    </w:p>
    <w:p>
      <w:pPr>
        <w:spacing w:line="360" w:lineRule="auto"/>
        <w:outlineLvl w:val="0"/>
        <w:rPr>
          <w:rFonts w:ascii="Times New Roman" w:hAnsi="Times New Roman" w:eastAsia="黑体" w:cs="Times New Roman"/>
          <w:b/>
          <w:color w:val="auto"/>
          <w:sz w:val="32"/>
          <w:szCs w:val="32"/>
          <w:highlight w:val="none"/>
          <w:u w:val="none"/>
        </w:rPr>
      </w:pPr>
      <w:r>
        <w:rPr>
          <w:rFonts w:ascii="Times New Roman" w:hAnsi="Times New Roman" w:eastAsia="黑体" w:cs="Times New Roman"/>
          <w:color w:val="auto"/>
          <w:sz w:val="32"/>
          <w:szCs w:val="32"/>
          <w:highlight w:val="none"/>
          <w:u w:val="none"/>
        </w:rPr>
        <w:t>附件3</w:t>
      </w:r>
    </w:p>
    <w:tbl>
      <w:tblPr>
        <w:tblStyle w:val="9"/>
        <w:tblW w:w="0" w:type="auto"/>
        <w:tblCellSpacing w:w="0" w:type="dxa"/>
        <w:tblInd w:w="0" w:type="dxa"/>
        <w:tblLayout w:type="autofit"/>
        <w:tblCellMar>
          <w:top w:w="0" w:type="dxa"/>
          <w:left w:w="0" w:type="dxa"/>
          <w:bottom w:w="0" w:type="dxa"/>
          <w:right w:w="0" w:type="dxa"/>
        </w:tblCellMar>
      </w:tblPr>
      <w:tblGrid>
        <w:gridCol w:w="6"/>
        <w:gridCol w:w="8220"/>
      </w:tblGrid>
      <w:tr>
        <w:tblPrEx>
          <w:tblCellMar>
            <w:top w:w="0" w:type="dxa"/>
            <w:left w:w="0" w:type="dxa"/>
            <w:bottom w:w="0" w:type="dxa"/>
            <w:right w:w="0" w:type="dxa"/>
          </w:tblCellMar>
        </w:tblPrEx>
        <w:trPr>
          <w:gridAfter w:val="1"/>
          <w:wAfter w:w="8220" w:type="dxa"/>
          <w:tblCellSpacing w:w="0" w:type="dxa"/>
        </w:trPr>
        <w:tc>
          <w:tcPr>
            <w:tcW w:w="5" w:type="dxa"/>
            <w:vAlign w:val="center"/>
          </w:tcPr>
          <w:p>
            <w:pPr>
              <w:widowControl/>
              <w:jc w:val="left"/>
              <w:rPr>
                <w:rFonts w:ascii="Times New Roman" w:hAnsi="Times New Roman" w:eastAsia="宋体" w:cs="Times New Roman"/>
                <w:color w:val="auto"/>
                <w:kern w:val="0"/>
                <w:sz w:val="24"/>
                <w:szCs w:val="24"/>
                <w:highlight w:val="none"/>
                <w:u w:val="none"/>
              </w:rPr>
            </w:pPr>
          </w:p>
        </w:tc>
      </w:tr>
      <w:tr>
        <w:tblPrEx>
          <w:tblCellMar>
            <w:top w:w="0" w:type="dxa"/>
            <w:left w:w="0" w:type="dxa"/>
            <w:bottom w:w="0" w:type="dxa"/>
            <w:right w:w="0" w:type="dxa"/>
          </w:tblCellMar>
        </w:tblPrEx>
        <w:trPr>
          <w:tblCellSpacing w:w="0" w:type="dxa"/>
        </w:trPr>
        <w:tc>
          <w:tcPr>
            <w:tcW w:w="0" w:type="auto"/>
            <w:vAlign w:val="center"/>
          </w:tcPr>
          <w:p>
            <w:pPr>
              <w:widowControl/>
              <w:jc w:val="left"/>
              <w:rPr>
                <w:rFonts w:ascii="Times New Roman" w:hAnsi="Times New Roman" w:eastAsia="宋体" w:cs="Times New Roman"/>
                <w:color w:val="auto"/>
                <w:kern w:val="0"/>
                <w:sz w:val="24"/>
                <w:szCs w:val="24"/>
                <w:highlight w:val="none"/>
                <w:u w:val="none"/>
              </w:rPr>
            </w:pPr>
          </w:p>
        </w:tc>
        <w:tc>
          <w:tcPr>
            <w:tcW w:w="0" w:type="auto"/>
            <w:vAlign w:val="center"/>
          </w:tcPr>
          <w:p>
            <w:pPr>
              <w:widowControl/>
              <w:jc w:val="left"/>
              <w:rPr>
                <w:rFonts w:ascii="Times New Roman" w:hAnsi="Times New Roman" w:eastAsia="宋体"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drawing>
                <wp:inline distT="0" distB="0" distL="0" distR="0">
                  <wp:extent cx="5219065" cy="5142865"/>
                  <wp:effectExtent l="0" t="0" r="635" b="635"/>
                  <wp:docPr id="1" name="图片 1" descr="C:\Users\1\AppData\Local\Temp\ksohtml5668\wps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1\AppData\Local\Temp\ksohtml5668\wps1.jpg"/>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5219065" cy="5142865"/>
                          </a:xfrm>
                          <a:prstGeom prst="rect">
                            <a:avLst/>
                          </a:prstGeom>
                          <a:noFill/>
                          <a:ln>
                            <a:noFill/>
                          </a:ln>
                        </pic:spPr>
                      </pic:pic>
                    </a:graphicData>
                  </a:graphic>
                </wp:inline>
              </w:drawing>
            </w:r>
          </w:p>
        </w:tc>
      </w:tr>
    </w:tbl>
    <w:p>
      <w:pPr>
        <w:spacing w:line="360" w:lineRule="auto"/>
        <w:ind w:left="420" w:leftChars="200" w:firstLine="560" w:firstLineChars="200"/>
        <w:rPr>
          <w:rFonts w:ascii="Times New Roman" w:hAnsi="Times New Roman" w:cs="Times New Roman"/>
          <w:color w:val="auto"/>
          <w:sz w:val="28"/>
          <w:szCs w:val="28"/>
          <w:highlight w:val="none"/>
          <w:u w:val="none"/>
        </w:rPr>
      </w:pPr>
    </w:p>
    <w:p>
      <w:pPr>
        <w:widowControl/>
        <w:jc w:val="left"/>
        <w:rPr>
          <w:rFonts w:ascii="Times New Roman" w:hAnsi="Times New Roman" w:eastAsia="仿宋_GB2312" w:cs="Times New Roman"/>
          <w:b/>
          <w:color w:val="auto"/>
          <w:sz w:val="28"/>
          <w:szCs w:val="28"/>
          <w:highlight w:val="none"/>
          <w:u w:val="none"/>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color w:val="auto"/>
          <w:sz w:val="32"/>
          <w:szCs w:val="32"/>
          <w:highlight w:val="none"/>
          <w:u w:val="none"/>
        </w:rPr>
        <w:t xml:space="preserve">    注：上图为产业链地图（示意图），包括产业链全链上下游结构、地域分布、企业构成等情况。</w:t>
      </w:r>
    </w:p>
    <w:p>
      <w:pPr>
        <w:spacing w:line="360" w:lineRule="auto"/>
        <w:ind w:left="420" w:leftChars="200" w:firstLine="640" w:firstLineChars="200"/>
        <w:outlineLvl w:val="0"/>
        <w:rPr>
          <w:rFonts w:ascii="Times New Roman" w:hAnsi="Times New Roman" w:eastAsia="黑体" w:cs="Times New Roman"/>
          <w:b/>
          <w:color w:val="auto"/>
          <w:sz w:val="32"/>
          <w:szCs w:val="32"/>
          <w:highlight w:val="none"/>
          <w:u w:val="none"/>
        </w:rPr>
      </w:pPr>
      <w:r>
        <w:rPr>
          <w:rFonts w:ascii="Times New Roman" w:hAnsi="Times New Roman" w:eastAsia="黑体" w:cs="Times New Roman"/>
          <w:color w:val="auto"/>
          <w:sz w:val="32"/>
          <w:szCs w:val="32"/>
          <w:highlight w:val="none"/>
          <w:u w:val="none"/>
        </w:rPr>
        <w:t>附件4</w:t>
      </w:r>
    </w:p>
    <w:tbl>
      <w:tblPr>
        <w:tblStyle w:val="9"/>
        <w:tblW w:w="14448" w:type="dxa"/>
        <w:tblInd w:w="93" w:type="dxa"/>
        <w:tblLayout w:type="autofit"/>
        <w:tblCellMar>
          <w:top w:w="0" w:type="dxa"/>
          <w:left w:w="108" w:type="dxa"/>
          <w:bottom w:w="0" w:type="dxa"/>
          <w:right w:w="108" w:type="dxa"/>
        </w:tblCellMar>
      </w:tblPr>
      <w:tblGrid>
        <w:gridCol w:w="780"/>
        <w:gridCol w:w="768"/>
        <w:gridCol w:w="1254"/>
        <w:gridCol w:w="1061"/>
        <w:gridCol w:w="1489"/>
        <w:gridCol w:w="1920"/>
        <w:gridCol w:w="1896"/>
        <w:gridCol w:w="1944"/>
        <w:gridCol w:w="1908"/>
        <w:gridCol w:w="1428"/>
      </w:tblGrid>
      <w:tr>
        <w:trPr>
          <w:trHeight w:val="498" w:hRule="atLeast"/>
        </w:trPr>
        <w:tc>
          <w:tcPr>
            <w:tcW w:w="14448" w:type="dxa"/>
            <w:gridSpan w:val="10"/>
            <w:tcBorders>
              <w:top w:val="nil"/>
              <w:left w:val="nil"/>
              <w:bottom w:val="single" w:color="auto" w:sz="4" w:space="0"/>
              <w:right w:val="nil"/>
            </w:tcBorders>
            <w:shd w:val="clear" w:color="auto" w:fill="auto"/>
            <w:vAlign w:val="center"/>
          </w:tcPr>
          <w:p>
            <w:pPr>
              <w:widowControl/>
              <w:jc w:val="center"/>
              <w:rPr>
                <w:rFonts w:ascii="Times New Roman" w:hAnsi="Times New Roman" w:eastAsia="微软雅黑" w:cs="Times New Roman"/>
                <w:b/>
                <w:color w:val="auto"/>
                <w:kern w:val="0"/>
                <w:sz w:val="18"/>
                <w:szCs w:val="28"/>
                <w:highlight w:val="none"/>
                <w:u w:val="none"/>
              </w:rPr>
            </w:pPr>
            <w:r>
              <w:rPr>
                <w:rFonts w:ascii="Times New Roman" w:hAnsi="Times New Roman" w:eastAsia="方正小标宋简体" w:cs="Times New Roman"/>
                <w:bCs/>
                <w:color w:val="auto"/>
                <w:kern w:val="0"/>
                <w:sz w:val="28"/>
                <w:szCs w:val="28"/>
                <w:highlight w:val="none"/>
                <w:u w:val="none"/>
              </w:rPr>
              <w:t xml:space="preserve">           产业链供应链质量问题清单</w:t>
            </w:r>
          </w:p>
        </w:tc>
      </w:tr>
      <w:tr>
        <w:trPr>
          <w:trHeight w:val="347" w:hRule="atLeast"/>
        </w:trPr>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序号</w:t>
            </w:r>
          </w:p>
        </w:tc>
        <w:tc>
          <w:tcPr>
            <w:tcW w:w="7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产业</w:t>
            </w:r>
            <w:r>
              <w:rPr>
                <w:rFonts w:ascii="Times New Roman" w:hAnsi="Times New Roman" w:eastAsia="微软雅黑" w:cs="Times New Roman"/>
                <w:color w:val="auto"/>
                <w:kern w:val="0"/>
                <w:sz w:val="18"/>
                <w:highlight w:val="none"/>
                <w:u w:val="none"/>
              </w:rPr>
              <w:br w:type="textWrapping"/>
            </w:r>
            <w:r>
              <w:rPr>
                <w:rFonts w:ascii="Times New Roman" w:hAnsi="Times New Roman" w:eastAsia="微软雅黑" w:cs="Times New Roman"/>
                <w:color w:val="auto"/>
                <w:kern w:val="0"/>
                <w:sz w:val="18"/>
                <w:highlight w:val="none"/>
                <w:u w:val="none"/>
              </w:rPr>
              <w:t>名称</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产业链位置</w:t>
            </w:r>
            <w:r>
              <w:rPr>
                <w:rFonts w:ascii="Times New Roman" w:hAnsi="Times New Roman" w:eastAsia="微软雅黑" w:cs="Times New Roman"/>
                <w:color w:val="auto"/>
                <w:kern w:val="0"/>
                <w:sz w:val="18"/>
                <w:highlight w:val="none"/>
                <w:u w:val="none"/>
              </w:rPr>
              <w:br w:type="textWrapping"/>
            </w:r>
            <w:r>
              <w:rPr>
                <w:rFonts w:ascii="Times New Roman" w:hAnsi="Times New Roman" w:eastAsia="微软雅黑" w:cs="Times New Roman"/>
                <w:color w:val="auto"/>
                <w:kern w:val="0"/>
                <w:sz w:val="18"/>
                <w:highlight w:val="none"/>
                <w:u w:val="none"/>
              </w:rPr>
              <w:t>（上/中/下游）</w:t>
            </w:r>
          </w:p>
        </w:tc>
        <w:tc>
          <w:tcPr>
            <w:tcW w:w="10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地理分布</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主要企业名称</w:t>
            </w:r>
          </w:p>
        </w:tc>
        <w:tc>
          <w:tcPr>
            <w:tcW w:w="90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产业链质量问题</w:t>
            </w:r>
          </w:p>
        </w:tc>
      </w:tr>
      <w:tr>
        <w:trPr>
          <w:trHeight w:val="51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微软雅黑" w:cs="Times New Roman"/>
                <w:color w:val="auto"/>
                <w:kern w:val="0"/>
                <w:sz w:val="18"/>
                <w:highlight w:val="none"/>
                <w:u w:val="none"/>
              </w:rPr>
            </w:pPr>
          </w:p>
        </w:tc>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微软雅黑" w:cs="Times New Roman"/>
                <w:color w:val="auto"/>
                <w:kern w:val="0"/>
                <w:sz w:val="18"/>
                <w:highlight w:val="none"/>
                <w:u w:val="none"/>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微软雅黑" w:cs="Times New Roman"/>
                <w:color w:val="auto"/>
                <w:kern w:val="0"/>
                <w:sz w:val="18"/>
                <w:highlight w:val="none"/>
                <w:u w:val="none"/>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微软雅黑" w:cs="Times New Roman"/>
                <w:color w:val="auto"/>
                <w:kern w:val="0"/>
                <w:sz w:val="18"/>
                <w:highlight w:val="none"/>
                <w:u w:val="none"/>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微软雅黑" w:cs="Times New Roman"/>
                <w:color w:val="auto"/>
                <w:kern w:val="0"/>
                <w:sz w:val="18"/>
                <w:highlight w:val="none"/>
                <w:u w:val="none"/>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质量技术问题</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质量管理问题</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质量基础设施问题</w:t>
            </w:r>
          </w:p>
        </w:tc>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质量品牌问题</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微软雅黑" w:cs="Times New Roman"/>
                <w:color w:val="auto"/>
                <w:kern w:val="0"/>
                <w:sz w:val="18"/>
                <w:highlight w:val="none"/>
                <w:u w:val="none"/>
              </w:rPr>
            </w:pPr>
            <w:r>
              <w:rPr>
                <w:rFonts w:ascii="Times New Roman" w:hAnsi="Times New Roman" w:eastAsia="微软雅黑" w:cs="Times New Roman"/>
                <w:color w:val="auto"/>
                <w:kern w:val="0"/>
                <w:sz w:val="18"/>
                <w:highlight w:val="none"/>
                <w:u w:val="none"/>
              </w:rPr>
              <w:t>其他质量</w:t>
            </w:r>
            <w:r>
              <w:rPr>
                <w:rFonts w:ascii="Times New Roman" w:hAnsi="Times New Roman" w:eastAsia="微软雅黑" w:cs="Times New Roman"/>
                <w:color w:val="auto"/>
                <w:kern w:val="0"/>
                <w:sz w:val="18"/>
                <w:highlight w:val="none"/>
                <w:u w:val="none"/>
              </w:rPr>
              <w:br w:type="textWrapping"/>
            </w:r>
            <w:r>
              <w:rPr>
                <w:rFonts w:ascii="Times New Roman" w:hAnsi="Times New Roman" w:eastAsia="微软雅黑" w:cs="Times New Roman"/>
                <w:color w:val="auto"/>
                <w:kern w:val="0"/>
                <w:sz w:val="18"/>
                <w:highlight w:val="none"/>
                <w:u w:val="none"/>
              </w:rPr>
              <w:t>相关问题</w:t>
            </w:r>
          </w:p>
        </w:tc>
      </w:tr>
      <w:tr>
        <w:trPr>
          <w:trHeight w:val="903" w:hRule="atLeast"/>
        </w:trPr>
        <w:tc>
          <w:tcPr>
            <w:tcW w:w="780"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1</w:t>
            </w:r>
            <w:r>
              <w:rPr>
                <w:rFonts w:ascii="Times New Roman" w:hAnsi="Times New Roman" w:eastAsia="仿宋_GB2312" w:cs="Times New Roman"/>
                <w:color w:val="auto"/>
                <w:kern w:val="0"/>
                <w:sz w:val="18"/>
                <w:highlight w:val="none"/>
                <w:u w:val="none"/>
              </w:rPr>
              <w:br w:type="textWrapping"/>
            </w:r>
            <w:r>
              <w:rPr>
                <w:rFonts w:ascii="Times New Roman" w:hAnsi="Times New Roman" w:eastAsia="仿宋_GB2312" w:cs="Times New Roman"/>
                <w:i/>
                <w:iCs/>
                <w:color w:val="auto"/>
                <w:kern w:val="0"/>
                <w:sz w:val="18"/>
                <w:highlight w:val="none"/>
                <w:u w:val="none"/>
              </w:rPr>
              <w:t>（示例）</w:t>
            </w:r>
          </w:p>
        </w:tc>
        <w:tc>
          <w:tcPr>
            <w:tcW w:w="768"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XX</w:t>
            </w:r>
            <w:r>
              <w:rPr>
                <w:rFonts w:ascii="Times New Roman" w:hAnsi="Times New Roman" w:eastAsia="仿宋_GB2312" w:cs="Times New Roman"/>
                <w:color w:val="auto"/>
                <w:kern w:val="0"/>
                <w:sz w:val="18"/>
                <w:highlight w:val="none"/>
                <w:u w:val="none"/>
              </w:rPr>
              <w:br w:type="textWrapping"/>
            </w:r>
            <w:r>
              <w:rPr>
                <w:rFonts w:ascii="Times New Roman" w:hAnsi="Times New Roman" w:eastAsia="仿宋_GB2312" w:cs="Times New Roman"/>
                <w:color w:val="auto"/>
                <w:kern w:val="0"/>
                <w:sz w:val="18"/>
                <w:highlight w:val="none"/>
                <w:u w:val="none"/>
              </w:rPr>
              <w:t>产业</w:t>
            </w:r>
            <w:r>
              <w:rPr>
                <w:rFonts w:ascii="Times New Roman" w:hAnsi="Times New Roman" w:eastAsia="仿宋_GB2312" w:cs="Times New Roman"/>
                <w:i/>
                <w:iCs/>
                <w:color w:val="auto"/>
                <w:kern w:val="0"/>
                <w:sz w:val="18"/>
                <w:highlight w:val="none"/>
                <w:u w:val="none"/>
              </w:rPr>
              <w:t>（示例）</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上游产业</w:t>
            </w:r>
            <w:r>
              <w:rPr>
                <w:rFonts w:ascii="Times New Roman" w:hAnsi="Times New Roman" w:eastAsia="仿宋_GB2312" w:cs="Times New Roman"/>
                <w:color w:val="auto"/>
                <w:kern w:val="0"/>
                <w:sz w:val="18"/>
                <w:highlight w:val="none"/>
                <w:u w:val="none"/>
              </w:rPr>
              <w:br w:type="textWrapping"/>
            </w:r>
            <w:r>
              <w:rPr>
                <w:rFonts w:ascii="Times New Roman" w:hAnsi="Times New Roman" w:eastAsia="仿宋_GB2312" w:cs="Times New Roman"/>
                <w:i/>
                <w:iCs/>
                <w:color w:val="auto"/>
                <w:kern w:val="0"/>
                <w:sz w:val="18"/>
                <w:highlight w:val="none"/>
                <w:u w:val="none"/>
              </w:rPr>
              <w:t>（示例）</w:t>
            </w:r>
          </w:p>
        </w:tc>
        <w:tc>
          <w:tcPr>
            <w:tcW w:w="1061"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XX区</w:t>
            </w:r>
          </w:p>
          <w:p>
            <w:pPr>
              <w:widowControl/>
              <w:jc w:val="left"/>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i/>
                <w:iCs/>
                <w:color w:val="auto"/>
                <w:kern w:val="0"/>
                <w:sz w:val="18"/>
                <w:highlight w:val="none"/>
                <w:u w:val="none"/>
              </w:rPr>
              <w:t>（示例）</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链主企业：</w:t>
            </w:r>
          </w:p>
          <w:p>
            <w:pPr>
              <w:widowControl/>
              <w:jc w:val="left"/>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主要配套企业：</w:t>
            </w:r>
            <w:r>
              <w:rPr>
                <w:rFonts w:ascii="Times New Roman" w:hAnsi="Times New Roman" w:eastAsia="仿宋_GB2312" w:cs="Times New Roman"/>
                <w:color w:val="auto"/>
                <w:kern w:val="0"/>
                <w:sz w:val="18"/>
                <w:highlight w:val="none"/>
                <w:u w:val="none"/>
              </w:rPr>
              <w:br w:type="textWrapping"/>
            </w:r>
            <w:r>
              <w:rPr>
                <w:rFonts w:ascii="Times New Roman" w:hAnsi="Times New Roman" w:eastAsia="仿宋_GB2312" w:cs="Times New Roman"/>
                <w:color w:val="auto"/>
                <w:kern w:val="0"/>
                <w:sz w:val="18"/>
                <w:highlight w:val="none"/>
                <w:u w:val="none"/>
              </w:rPr>
              <w:t>中小微企业：</w:t>
            </w:r>
            <w:r>
              <w:rPr>
                <w:rFonts w:ascii="Times New Roman" w:hAnsi="Times New Roman" w:eastAsia="仿宋_GB2312" w:cs="Times New Roman"/>
                <w:color w:val="auto"/>
                <w:kern w:val="0"/>
                <w:sz w:val="18"/>
                <w:highlight w:val="none"/>
                <w:u w:val="none"/>
              </w:rPr>
              <w:br w:type="textWrapping"/>
            </w:r>
            <w:r>
              <w:rPr>
                <w:rFonts w:ascii="Times New Roman" w:hAnsi="Times New Roman" w:eastAsia="仿宋_GB2312" w:cs="Times New Roman"/>
                <w:i/>
                <w:iCs/>
                <w:color w:val="auto"/>
                <w:kern w:val="0"/>
                <w:sz w:val="18"/>
                <w:highlight w:val="none"/>
                <w:u w:val="none"/>
              </w:rPr>
              <w:t>（示例）</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★★★原料控制技术不足，造成有毒有害物质含量不稳定。</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★★★先进质量管理方法不能有效应用。</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★★★原材料中生态毒性物质的计量与检测技术落后。</w:t>
            </w:r>
          </w:p>
        </w:tc>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r>
      <w:tr>
        <w:trPr>
          <w:trHeight w:val="520"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18"/>
                <w:highlight w:val="none"/>
                <w:u w:val="none"/>
              </w:rPr>
            </w:pPr>
          </w:p>
        </w:tc>
        <w:tc>
          <w:tcPr>
            <w:tcW w:w="768"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18"/>
                <w:highlight w:val="none"/>
                <w:u w:val="none"/>
              </w:rPr>
            </w:pPr>
          </w:p>
        </w:tc>
        <w:tc>
          <w:tcPr>
            <w:tcW w:w="125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18"/>
                <w:highlight w:val="none"/>
                <w:u w:val="none"/>
              </w:rPr>
            </w:pPr>
          </w:p>
        </w:tc>
        <w:tc>
          <w:tcPr>
            <w:tcW w:w="1061"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18"/>
                <w:highlight w:val="none"/>
                <w:u w:val="none"/>
              </w:rPr>
            </w:pPr>
          </w:p>
        </w:tc>
        <w:tc>
          <w:tcPr>
            <w:tcW w:w="1489"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18"/>
                <w:highlight w:val="none"/>
                <w:u w:val="none"/>
              </w:rPr>
            </w:pPr>
          </w:p>
        </w:tc>
        <w:tc>
          <w:tcPr>
            <w:tcW w:w="19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8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★★缺乏对质量安全风险预警有效管理。</w:t>
            </w:r>
          </w:p>
        </w:tc>
        <w:tc>
          <w:tcPr>
            <w:tcW w:w="194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9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★★品牌建设重视程度不够。</w:t>
            </w:r>
          </w:p>
        </w:tc>
        <w:tc>
          <w:tcPr>
            <w:tcW w:w="142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r>
      <w:tr>
        <w:trPr>
          <w:trHeight w:val="280" w:hRule="atLeast"/>
        </w:trPr>
        <w:tc>
          <w:tcPr>
            <w:tcW w:w="78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18"/>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18"/>
                <w:highlight w:val="none"/>
                <w:u w:val="none"/>
              </w:rPr>
            </w:pP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18"/>
                <w:highlight w:val="none"/>
                <w:u w:val="none"/>
              </w:rPr>
            </w:pP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18"/>
                <w:highlight w:val="none"/>
                <w:u w:val="none"/>
              </w:rPr>
            </w:pPr>
          </w:p>
        </w:tc>
        <w:tc>
          <w:tcPr>
            <w:tcW w:w="14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★缺乏品牌人才</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r>
      <w:tr>
        <w:trPr>
          <w:trHeight w:val="38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 w:val="18"/>
                <w:highlight w:val="none"/>
                <w:u w:val="none"/>
              </w:rPr>
            </w:pPr>
            <w:r>
              <w:rPr>
                <w:rFonts w:ascii="Times New Roman" w:hAnsi="Times New Roman" w:eastAsia="仿宋_GB2312" w:cs="Times New Roman"/>
                <w:color w:val="auto"/>
                <w:kern w:val="0"/>
                <w:sz w:val="18"/>
                <w:highlight w:val="none"/>
                <w:u w:val="none"/>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18"/>
                <w:highlight w:val="none"/>
                <w:u w:val="none"/>
              </w:rPr>
            </w:pPr>
          </w:p>
        </w:tc>
      </w:tr>
      <w:tr>
        <w:trPr>
          <w:trHeight w:val="3698" w:hRule="atLeast"/>
        </w:trPr>
        <w:tc>
          <w:tcPr>
            <w:tcW w:w="14448" w:type="dxa"/>
            <w:gridSpan w:val="10"/>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eastAsia="微软雅黑" w:cs="Times New Roman"/>
                <w:color w:val="auto"/>
                <w:kern w:val="0"/>
                <w:sz w:val="18"/>
                <w:szCs w:val="20"/>
                <w:highlight w:val="none"/>
                <w:u w:val="none"/>
              </w:rPr>
            </w:pPr>
            <w:r>
              <w:rPr>
                <w:rFonts w:ascii="Times New Roman" w:hAnsi="Times New Roman" w:eastAsia="微软雅黑" w:cs="Times New Roman"/>
                <w:color w:val="auto"/>
                <w:kern w:val="0"/>
                <w:sz w:val="18"/>
                <w:szCs w:val="20"/>
                <w:highlight w:val="none"/>
                <w:u w:val="none"/>
              </w:rPr>
              <w:t xml:space="preserve"> 填写说明：</w:t>
            </w:r>
            <w:r>
              <w:rPr>
                <w:rFonts w:ascii="Times New Roman" w:hAnsi="Times New Roman" w:eastAsia="微软雅黑" w:cs="Times New Roman"/>
                <w:color w:val="auto"/>
                <w:kern w:val="0"/>
                <w:sz w:val="18"/>
                <w:szCs w:val="20"/>
                <w:highlight w:val="none"/>
                <w:u w:val="none"/>
              </w:rPr>
              <w:br w:type="textWrapping"/>
            </w:r>
            <w:r>
              <w:rPr>
                <w:rFonts w:ascii="Times New Roman" w:hAnsi="Times New Roman" w:eastAsia="微软雅黑" w:cs="Times New Roman"/>
                <w:color w:val="auto"/>
                <w:kern w:val="0"/>
                <w:sz w:val="18"/>
                <w:szCs w:val="20"/>
                <w:highlight w:val="none"/>
                <w:u w:val="none"/>
              </w:rPr>
              <w:t xml:space="preserve"> 1.质量问题分类:</w:t>
            </w:r>
            <w:r>
              <w:rPr>
                <w:rFonts w:ascii="Times New Roman" w:hAnsi="Times New Roman" w:eastAsia="微软雅黑" w:cs="Times New Roman"/>
                <w:color w:val="auto"/>
                <w:kern w:val="0"/>
                <w:sz w:val="18"/>
                <w:szCs w:val="20"/>
                <w:highlight w:val="none"/>
                <w:u w:val="none"/>
              </w:rPr>
              <w:br w:type="textWrapping"/>
            </w:r>
            <w:r>
              <w:rPr>
                <w:rFonts w:ascii="Times New Roman" w:hAnsi="Times New Roman" w:eastAsia="微软雅黑" w:cs="Times New Roman"/>
                <w:color w:val="auto"/>
                <w:kern w:val="0"/>
                <w:sz w:val="18"/>
                <w:szCs w:val="20"/>
                <w:highlight w:val="none"/>
                <w:u w:val="none"/>
              </w:rPr>
              <w:t xml:space="preserve">  (1)质量技术问题,包括:影响质量适用性、耐用性、可靠性、安全性的基础材料、基础零部件和基础设备的问题和改进;疑难工艺技术问题及攻关;设备、流程和应用软件的自动化、智能化改造和升级;质量攻关资源、人才和能力等。</w:t>
            </w:r>
            <w:r>
              <w:rPr>
                <w:rFonts w:ascii="Times New Roman" w:hAnsi="Times New Roman" w:eastAsia="微软雅黑" w:cs="Times New Roman"/>
                <w:color w:val="auto"/>
                <w:kern w:val="0"/>
                <w:sz w:val="18"/>
                <w:szCs w:val="20"/>
                <w:highlight w:val="none"/>
                <w:u w:val="none"/>
              </w:rPr>
              <w:br w:type="textWrapping"/>
            </w:r>
            <w:r>
              <w:rPr>
                <w:rFonts w:ascii="Times New Roman" w:hAnsi="Times New Roman" w:eastAsia="微软雅黑" w:cs="Times New Roman"/>
                <w:color w:val="auto"/>
                <w:kern w:val="0"/>
                <w:sz w:val="18"/>
                <w:szCs w:val="20"/>
                <w:highlight w:val="none"/>
                <w:u w:val="none"/>
              </w:rPr>
              <w:t xml:space="preserve">  (2)质量管理问题:先进质量管理理念、方法和工具的应用;质量管理体系在产业链上的一致性应用和成熟度提升;质量管理数字化转型;质量文化培育和传播;全员质量能力提升;质量安全风险控制与预警;相关部门质量监管等。</w:t>
            </w:r>
            <w:r>
              <w:rPr>
                <w:rFonts w:ascii="Times New Roman" w:hAnsi="Times New Roman" w:eastAsia="微软雅黑" w:cs="Times New Roman"/>
                <w:color w:val="auto"/>
                <w:kern w:val="0"/>
                <w:sz w:val="18"/>
                <w:szCs w:val="20"/>
                <w:highlight w:val="none"/>
                <w:u w:val="none"/>
              </w:rPr>
              <w:br w:type="textWrapping"/>
            </w:r>
            <w:r>
              <w:rPr>
                <w:rFonts w:ascii="Times New Roman" w:hAnsi="Times New Roman" w:eastAsia="微软雅黑" w:cs="Times New Roman"/>
                <w:color w:val="auto"/>
                <w:kern w:val="0"/>
                <w:sz w:val="18"/>
                <w:szCs w:val="20"/>
                <w:highlight w:val="none"/>
                <w:u w:val="none"/>
              </w:rPr>
              <w:t xml:space="preserve">  (3)质量基础设施问题:产业链质量基础设施资源共享和集成服务;满足产业链需求的关键计量测试技术、技术和质量协同标准需求、引领产业优化升级标准体系、全链条质量认证体系、全生命周期检验测试技术和服务能力;建设国家级产业计量测试中心、国家级质量标准实验室、各级质检中心等平台和人才需求等。</w:t>
            </w:r>
            <w:r>
              <w:rPr>
                <w:rFonts w:ascii="Times New Roman" w:hAnsi="Times New Roman" w:eastAsia="微软雅黑" w:cs="Times New Roman"/>
                <w:color w:val="auto"/>
                <w:kern w:val="0"/>
                <w:sz w:val="18"/>
                <w:szCs w:val="20"/>
                <w:highlight w:val="none"/>
                <w:u w:val="none"/>
              </w:rPr>
              <w:br w:type="textWrapping"/>
            </w:r>
            <w:r>
              <w:rPr>
                <w:rFonts w:ascii="Times New Roman" w:hAnsi="Times New Roman" w:eastAsia="微软雅黑" w:cs="Times New Roman"/>
                <w:color w:val="auto"/>
                <w:kern w:val="0"/>
                <w:sz w:val="18"/>
                <w:szCs w:val="20"/>
                <w:highlight w:val="none"/>
                <w:u w:val="none"/>
              </w:rPr>
              <w:t xml:space="preserve">  (4)质量品牌问题:品牌全生命周期管理运营能力;产业链聚合性品牌培育、知名度和美誉度提升;质量品牌提升示范区创建和区域公共品牌建设;品牌建设人才资源、服务能力和国际标准化水平。</w:t>
            </w:r>
            <w:r>
              <w:rPr>
                <w:rFonts w:ascii="Times New Roman" w:hAnsi="Times New Roman" w:eastAsia="微软雅黑" w:cs="Times New Roman"/>
                <w:color w:val="auto"/>
                <w:kern w:val="0"/>
                <w:sz w:val="18"/>
                <w:szCs w:val="20"/>
                <w:highlight w:val="none"/>
                <w:u w:val="none"/>
              </w:rPr>
              <w:br w:type="textWrapping"/>
            </w:r>
            <w:r>
              <w:rPr>
                <w:rFonts w:ascii="Times New Roman" w:hAnsi="Times New Roman" w:eastAsia="微软雅黑" w:cs="Times New Roman"/>
                <w:color w:val="auto"/>
                <w:kern w:val="0"/>
                <w:sz w:val="18"/>
                <w:szCs w:val="20"/>
                <w:highlight w:val="none"/>
                <w:u w:val="none"/>
              </w:rPr>
              <w:t xml:space="preserve">  (5)其他对质量产生影响的问题。</w:t>
            </w:r>
            <w:r>
              <w:rPr>
                <w:rFonts w:ascii="Times New Roman" w:hAnsi="Times New Roman" w:eastAsia="微软雅黑" w:cs="Times New Roman"/>
                <w:color w:val="auto"/>
                <w:kern w:val="0"/>
                <w:sz w:val="18"/>
                <w:szCs w:val="20"/>
                <w:highlight w:val="none"/>
                <w:u w:val="none"/>
              </w:rPr>
              <w:br w:type="textWrapping"/>
            </w:r>
            <w:r>
              <w:rPr>
                <w:rFonts w:ascii="Times New Roman" w:hAnsi="Times New Roman" w:eastAsia="微软雅黑" w:cs="Times New Roman"/>
                <w:color w:val="auto"/>
                <w:kern w:val="0"/>
                <w:sz w:val="18"/>
                <w:szCs w:val="20"/>
                <w:highlight w:val="none"/>
                <w:u w:val="none"/>
              </w:rPr>
              <w:t xml:space="preserve"> 2.质量问题分级:在质量问题前面用星级标注重要程度，“★★★”为非常重要，“★★”为重要,“★“为一般。</w:t>
            </w:r>
          </w:p>
        </w:tc>
      </w:tr>
    </w:tbl>
    <w:p>
      <w:pPr>
        <w:rPr>
          <w:rFonts w:ascii="Times New Roman" w:hAnsi="Times New Roman" w:eastAsia="黑体" w:cs="Times New Roman"/>
          <w:color w:val="auto"/>
          <w:sz w:val="28"/>
          <w:szCs w:val="28"/>
          <w:highlight w:val="none"/>
          <w:u w:val="none"/>
        </w:rPr>
        <w:sectPr>
          <w:pgSz w:w="16838" w:h="11906" w:orient="landscape"/>
          <w:pgMar w:top="1800" w:right="1440" w:bottom="1800" w:left="1440" w:header="851" w:footer="992" w:gutter="0"/>
          <w:pgNumType w:fmt="numberInDash"/>
          <w:cols w:space="425" w:num="1"/>
          <w:docGrid w:type="lines" w:linePitch="312" w:charSpace="0"/>
        </w:sectPr>
      </w:pPr>
    </w:p>
    <w:p>
      <w:pPr>
        <w:outlineLvl w:val="0"/>
        <w:rPr>
          <w:rFonts w:ascii="Times New Roman" w:hAnsi="Times New Roman" w:eastAsia="黑体" w:cs="Times New Roman"/>
          <w:color w:val="auto"/>
          <w:sz w:val="32"/>
          <w:szCs w:val="32"/>
          <w:highlight w:val="none"/>
          <w:u w:val="none"/>
        </w:rPr>
      </w:pPr>
      <w:r>
        <w:rPr>
          <w:rFonts w:ascii="Times New Roman" w:hAnsi="Times New Roman" w:eastAsia="黑体" w:cs="Times New Roman"/>
          <w:color w:val="auto"/>
          <w:sz w:val="32"/>
          <w:szCs w:val="32"/>
          <w:highlight w:val="none"/>
          <w:u w:val="none"/>
        </w:rPr>
        <w:t>附件5</w:t>
      </w:r>
    </w:p>
    <w:p>
      <w:pPr>
        <w:jc w:val="center"/>
        <w:outlineLvl w:val="1"/>
        <w:rPr>
          <w:rFonts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XX产业链供应链重点攻关项目清单</w:t>
      </w:r>
    </w:p>
    <w:tbl>
      <w:tblPr>
        <w:tblStyle w:val="10"/>
        <w:tblpPr w:leftFromText="180" w:rightFromText="180" w:vertAnchor="text" w:horzAnchor="page" w:tblpX="1798" w:tblpY="6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序号</w:t>
            </w:r>
          </w:p>
        </w:tc>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攻关项目名称</w:t>
            </w:r>
          </w:p>
        </w:tc>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拟解决的产业链质量问题</w:t>
            </w:r>
          </w:p>
        </w:tc>
        <w:tc>
          <w:tcPr>
            <w:tcW w:w="1705"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项目牵头和参与机构</w:t>
            </w:r>
          </w:p>
        </w:tc>
        <w:tc>
          <w:tcPr>
            <w:tcW w:w="1705"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1</w:t>
            </w: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2</w:t>
            </w: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3</w:t>
            </w: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4</w:t>
            </w: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5</w:t>
            </w: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6</w:t>
            </w: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7</w:t>
            </w: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4"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bl>
    <w:p>
      <w:pPr>
        <w:jc w:val="center"/>
        <w:rPr>
          <w:rFonts w:ascii="Times New Roman" w:hAnsi="Times New Roman" w:eastAsia="黑体" w:cs="Times New Roman"/>
          <w:color w:val="auto"/>
          <w:sz w:val="28"/>
          <w:szCs w:val="28"/>
          <w:highlight w:val="none"/>
          <w:u w:val="none"/>
        </w:rPr>
      </w:pPr>
    </w:p>
    <w:p>
      <w:pPr>
        <w:jc w:val="center"/>
        <w:rPr>
          <w:rFonts w:hint="eastAsia" w:ascii="Times New Roman" w:hAnsi="Times New Roman" w:eastAsia="黑体" w:cs="Times New Roman"/>
          <w:color w:val="auto"/>
          <w:sz w:val="28"/>
          <w:szCs w:val="28"/>
          <w:highlight w:val="none"/>
          <w:u w:val="none"/>
        </w:rPr>
      </w:pPr>
    </w:p>
    <w:p>
      <w:pPr>
        <w:pStyle w:val="2"/>
        <w:rPr>
          <w:rFonts w:hint="eastAsia"/>
          <w:color w:val="auto"/>
          <w:highlight w:val="none"/>
          <w:u w:val="none"/>
        </w:rPr>
      </w:pPr>
    </w:p>
    <w:p>
      <w:pPr>
        <w:jc w:val="both"/>
        <w:rPr>
          <w:rFonts w:hint="eastAsia"/>
          <w:color w:val="auto"/>
          <w:highlight w:val="none"/>
          <w:u w:val="none"/>
        </w:rPr>
      </w:pPr>
    </w:p>
    <w:p>
      <w:pPr>
        <w:pStyle w:val="2"/>
        <w:rPr>
          <w:rFonts w:hint="eastAsia"/>
          <w:color w:val="auto"/>
          <w:highlight w:val="none"/>
          <w:u w:val="none"/>
        </w:rPr>
      </w:pPr>
    </w:p>
    <w:p>
      <w:pPr>
        <w:jc w:val="both"/>
        <w:rPr>
          <w:rFonts w:hint="eastAsia"/>
          <w:color w:val="auto"/>
          <w:highlight w:val="none"/>
          <w:u w:val="none"/>
        </w:rPr>
      </w:pPr>
    </w:p>
    <w:p>
      <w:pPr>
        <w:outlineLvl w:val="0"/>
        <w:rPr>
          <w:rFonts w:ascii="Times New Roman" w:hAnsi="Times New Roman" w:eastAsia="黑体" w:cs="Times New Roman"/>
          <w:color w:val="auto"/>
          <w:sz w:val="32"/>
          <w:szCs w:val="32"/>
          <w:highlight w:val="none"/>
          <w:u w:val="none"/>
        </w:rPr>
      </w:pPr>
      <w:r>
        <w:rPr>
          <w:rFonts w:ascii="Times New Roman" w:hAnsi="Times New Roman" w:eastAsia="黑体" w:cs="Times New Roman"/>
          <w:color w:val="auto"/>
          <w:sz w:val="32"/>
          <w:szCs w:val="32"/>
          <w:highlight w:val="none"/>
          <w:u w:val="none"/>
        </w:rPr>
        <w:t>附件6</w:t>
      </w:r>
    </w:p>
    <w:p>
      <w:pPr>
        <w:jc w:val="center"/>
        <w:outlineLvl w:val="1"/>
        <w:rPr>
          <w:rFonts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XX产业链供应链质量政策工具清单</w:t>
      </w:r>
    </w:p>
    <w:tbl>
      <w:tblPr>
        <w:tblStyle w:val="10"/>
        <w:tblpPr w:leftFromText="180" w:rightFromText="180" w:vertAnchor="text" w:horzAnchor="page" w:tblpX="1808" w:tblpY="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831"/>
        <w:gridCol w:w="157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序号</w:t>
            </w:r>
          </w:p>
        </w:tc>
        <w:tc>
          <w:tcPr>
            <w:tcW w:w="1831" w:type="dxa"/>
            <w:vAlign w:val="center"/>
          </w:tcPr>
          <w:p>
            <w:pPr>
              <w:jc w:val="center"/>
              <w:rPr>
                <w:rFonts w:ascii="Times New Roman" w:hAnsi="Times New Roman" w:eastAsia="微软雅黑" w:cs="Times New Roman"/>
                <w:color w:val="auto"/>
                <w:szCs w:val="21"/>
                <w:highlight w:val="none"/>
                <w:u w:val="none"/>
              </w:rPr>
            </w:pPr>
            <w:r>
              <w:rPr>
                <w:rFonts w:hint="eastAsia" w:ascii="Times New Roman" w:hAnsi="Times New Roman" w:eastAsia="微软雅黑" w:cs="Times New Roman"/>
                <w:color w:val="auto"/>
                <w:szCs w:val="21"/>
                <w:highlight w:val="none"/>
                <w:u w:val="none"/>
              </w:rPr>
              <w:t>质量政策工具</w:t>
            </w:r>
          </w:p>
          <w:p>
            <w:pPr>
              <w:jc w:val="center"/>
              <w:rPr>
                <w:rFonts w:ascii="Times New Roman" w:hAnsi="Times New Roman" w:eastAsia="微软雅黑" w:cs="Times New Roman"/>
                <w:color w:val="auto"/>
                <w:szCs w:val="21"/>
                <w:highlight w:val="none"/>
                <w:u w:val="none"/>
              </w:rPr>
            </w:pPr>
            <w:r>
              <w:rPr>
                <w:rFonts w:hint="eastAsia" w:ascii="Times New Roman" w:hAnsi="Times New Roman" w:eastAsia="微软雅黑" w:cs="Times New Roman"/>
                <w:color w:val="auto"/>
                <w:szCs w:val="21"/>
                <w:highlight w:val="none"/>
                <w:u w:val="none"/>
              </w:rPr>
              <w:t>需求</w:t>
            </w:r>
          </w:p>
        </w:tc>
        <w:tc>
          <w:tcPr>
            <w:tcW w:w="1577" w:type="dxa"/>
            <w:vAlign w:val="center"/>
          </w:tcPr>
          <w:p>
            <w:pPr>
              <w:jc w:val="center"/>
              <w:rPr>
                <w:rFonts w:ascii="Times New Roman" w:hAnsi="Times New Roman" w:eastAsia="微软雅黑" w:cs="Times New Roman"/>
                <w:color w:val="auto"/>
                <w:szCs w:val="21"/>
                <w:highlight w:val="none"/>
                <w:u w:val="none"/>
              </w:rPr>
            </w:pPr>
            <w:r>
              <w:rPr>
                <w:rFonts w:hint="eastAsia" w:ascii="Times New Roman" w:hAnsi="Times New Roman" w:eastAsia="微软雅黑" w:cs="Times New Roman"/>
                <w:color w:val="auto"/>
                <w:szCs w:val="21"/>
                <w:highlight w:val="none"/>
                <w:u w:val="none"/>
              </w:rPr>
              <w:t>具体措施</w:t>
            </w:r>
          </w:p>
        </w:tc>
        <w:tc>
          <w:tcPr>
            <w:tcW w:w="1705" w:type="dxa"/>
            <w:vAlign w:val="center"/>
          </w:tcPr>
          <w:p>
            <w:pPr>
              <w:jc w:val="center"/>
              <w:rPr>
                <w:rFonts w:ascii="Times New Roman" w:hAnsi="Times New Roman" w:eastAsia="微软雅黑" w:cs="Times New Roman"/>
                <w:color w:val="auto"/>
                <w:szCs w:val="21"/>
                <w:highlight w:val="none"/>
                <w:u w:val="none"/>
              </w:rPr>
            </w:pPr>
            <w:r>
              <w:rPr>
                <w:rFonts w:hint="eastAsia" w:ascii="Times New Roman" w:hAnsi="Times New Roman" w:eastAsia="微软雅黑" w:cs="Times New Roman"/>
                <w:color w:val="auto"/>
                <w:szCs w:val="21"/>
                <w:highlight w:val="none"/>
                <w:u w:val="none"/>
              </w:rPr>
              <w:t>落实形式</w:t>
            </w:r>
          </w:p>
        </w:tc>
        <w:tc>
          <w:tcPr>
            <w:tcW w:w="1705"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1</w:t>
            </w:r>
          </w:p>
        </w:tc>
        <w:tc>
          <w:tcPr>
            <w:tcW w:w="1831" w:type="dxa"/>
            <w:vAlign w:val="center"/>
          </w:tcPr>
          <w:p>
            <w:pPr>
              <w:jc w:val="center"/>
              <w:rPr>
                <w:rFonts w:ascii="Times New Roman" w:hAnsi="Times New Roman" w:eastAsia="微软雅黑" w:cs="Times New Roman"/>
                <w:color w:val="auto"/>
                <w:szCs w:val="21"/>
                <w:highlight w:val="none"/>
                <w:u w:val="none"/>
              </w:rPr>
            </w:pPr>
          </w:p>
        </w:tc>
        <w:tc>
          <w:tcPr>
            <w:tcW w:w="1577"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2</w:t>
            </w:r>
          </w:p>
        </w:tc>
        <w:tc>
          <w:tcPr>
            <w:tcW w:w="1831" w:type="dxa"/>
            <w:vAlign w:val="center"/>
          </w:tcPr>
          <w:p>
            <w:pPr>
              <w:jc w:val="center"/>
              <w:rPr>
                <w:rFonts w:ascii="Times New Roman" w:hAnsi="Times New Roman" w:eastAsia="微软雅黑" w:cs="Times New Roman"/>
                <w:color w:val="auto"/>
                <w:szCs w:val="21"/>
                <w:highlight w:val="none"/>
                <w:u w:val="none"/>
              </w:rPr>
            </w:pPr>
          </w:p>
        </w:tc>
        <w:tc>
          <w:tcPr>
            <w:tcW w:w="1577"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3</w:t>
            </w:r>
          </w:p>
        </w:tc>
        <w:tc>
          <w:tcPr>
            <w:tcW w:w="1831" w:type="dxa"/>
            <w:vAlign w:val="center"/>
          </w:tcPr>
          <w:p>
            <w:pPr>
              <w:jc w:val="center"/>
              <w:rPr>
                <w:rFonts w:ascii="Times New Roman" w:hAnsi="Times New Roman" w:eastAsia="微软雅黑" w:cs="Times New Roman"/>
                <w:color w:val="auto"/>
                <w:szCs w:val="21"/>
                <w:highlight w:val="none"/>
                <w:u w:val="none"/>
              </w:rPr>
            </w:pPr>
          </w:p>
        </w:tc>
        <w:tc>
          <w:tcPr>
            <w:tcW w:w="1577"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4</w:t>
            </w:r>
          </w:p>
        </w:tc>
        <w:tc>
          <w:tcPr>
            <w:tcW w:w="1831" w:type="dxa"/>
            <w:vAlign w:val="center"/>
          </w:tcPr>
          <w:p>
            <w:pPr>
              <w:jc w:val="center"/>
              <w:rPr>
                <w:rFonts w:ascii="Times New Roman" w:hAnsi="Times New Roman" w:eastAsia="微软雅黑" w:cs="Times New Roman"/>
                <w:color w:val="auto"/>
                <w:szCs w:val="21"/>
                <w:highlight w:val="none"/>
                <w:u w:val="none"/>
              </w:rPr>
            </w:pPr>
          </w:p>
        </w:tc>
        <w:tc>
          <w:tcPr>
            <w:tcW w:w="1577"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5</w:t>
            </w:r>
          </w:p>
        </w:tc>
        <w:tc>
          <w:tcPr>
            <w:tcW w:w="1831" w:type="dxa"/>
            <w:vAlign w:val="center"/>
          </w:tcPr>
          <w:p>
            <w:pPr>
              <w:jc w:val="center"/>
              <w:rPr>
                <w:rFonts w:ascii="Times New Roman" w:hAnsi="Times New Roman" w:eastAsia="微软雅黑" w:cs="Times New Roman"/>
                <w:color w:val="auto"/>
                <w:szCs w:val="21"/>
                <w:highlight w:val="none"/>
                <w:u w:val="none"/>
              </w:rPr>
            </w:pPr>
          </w:p>
        </w:tc>
        <w:tc>
          <w:tcPr>
            <w:tcW w:w="1577"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6</w:t>
            </w:r>
          </w:p>
        </w:tc>
        <w:tc>
          <w:tcPr>
            <w:tcW w:w="1831" w:type="dxa"/>
            <w:vAlign w:val="center"/>
          </w:tcPr>
          <w:p>
            <w:pPr>
              <w:jc w:val="center"/>
              <w:rPr>
                <w:rFonts w:ascii="Times New Roman" w:hAnsi="Times New Roman" w:eastAsia="微软雅黑" w:cs="Times New Roman"/>
                <w:color w:val="auto"/>
                <w:szCs w:val="21"/>
                <w:highlight w:val="none"/>
                <w:u w:val="none"/>
              </w:rPr>
            </w:pPr>
          </w:p>
        </w:tc>
        <w:tc>
          <w:tcPr>
            <w:tcW w:w="1577"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jc w:val="center"/>
              <w:rPr>
                <w:rFonts w:ascii="Times New Roman" w:hAnsi="Times New Roman" w:eastAsia="微软雅黑" w:cs="Times New Roman"/>
                <w:color w:val="auto"/>
                <w:szCs w:val="21"/>
                <w:highlight w:val="none"/>
                <w:u w:val="none"/>
              </w:rPr>
            </w:pPr>
            <w:r>
              <w:rPr>
                <w:rFonts w:ascii="Times New Roman" w:hAnsi="Times New Roman" w:eastAsia="微软雅黑" w:cs="Times New Roman"/>
                <w:color w:val="auto"/>
                <w:szCs w:val="21"/>
                <w:highlight w:val="none"/>
                <w:u w:val="none"/>
              </w:rPr>
              <w:t>7</w:t>
            </w:r>
          </w:p>
        </w:tc>
        <w:tc>
          <w:tcPr>
            <w:tcW w:w="1831" w:type="dxa"/>
            <w:vAlign w:val="center"/>
          </w:tcPr>
          <w:p>
            <w:pPr>
              <w:jc w:val="center"/>
              <w:rPr>
                <w:rFonts w:ascii="Times New Roman" w:hAnsi="Times New Roman" w:eastAsia="微软雅黑" w:cs="Times New Roman"/>
                <w:color w:val="auto"/>
                <w:szCs w:val="21"/>
                <w:highlight w:val="none"/>
                <w:u w:val="none"/>
              </w:rPr>
            </w:pPr>
          </w:p>
        </w:tc>
        <w:tc>
          <w:tcPr>
            <w:tcW w:w="1577"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c>
          <w:tcPr>
            <w:tcW w:w="1705" w:type="dxa"/>
            <w:vAlign w:val="center"/>
          </w:tcPr>
          <w:p>
            <w:pPr>
              <w:jc w:val="center"/>
              <w:rPr>
                <w:rFonts w:ascii="Times New Roman" w:hAnsi="Times New Roman" w:eastAsia="微软雅黑" w:cs="Times New Roman"/>
                <w:color w:val="auto"/>
                <w:szCs w:val="21"/>
                <w:highlight w:val="none"/>
                <w:u w:val="none"/>
              </w:rPr>
            </w:pPr>
          </w:p>
        </w:tc>
      </w:tr>
    </w:tbl>
    <w:p>
      <w:pPr>
        <w:jc w:val="center"/>
        <w:rPr>
          <w:rFonts w:ascii="Times New Roman" w:hAnsi="Times New Roman" w:eastAsia="黑体" w:cs="Times New Roman"/>
          <w:color w:val="auto"/>
          <w:sz w:val="28"/>
          <w:szCs w:val="28"/>
          <w:highlight w:val="none"/>
          <w:u w:val="none"/>
        </w:rPr>
      </w:pPr>
    </w:p>
    <w:p>
      <w:pPr>
        <w:pStyle w:val="2"/>
      </w:pPr>
    </w:p>
    <w:p>
      <w:pPr>
        <w:jc w:val="center"/>
        <w:rPr>
          <w:rFonts w:ascii="Times New Roman" w:hAnsi="Times New Roman" w:eastAsia="黑体" w:cs="Times New Roman"/>
          <w:color w:val="auto"/>
          <w:sz w:val="28"/>
          <w:szCs w:val="28"/>
          <w:highlight w:val="none"/>
          <w:u w:val="none"/>
        </w:rPr>
      </w:pPr>
    </w:p>
    <w:p>
      <w:pPr>
        <w:rPr>
          <w:rFonts w:ascii="Times New Roman" w:hAnsi="Times New Roman" w:eastAsia="黑体" w:cs="Times New Roman"/>
          <w:color w:val="auto"/>
          <w:sz w:val="28"/>
          <w:szCs w:val="28"/>
          <w:highlight w:val="none"/>
          <w:u w:val="none"/>
        </w:rPr>
      </w:pPr>
    </w:p>
    <w:p>
      <w:pPr>
        <w:rPr>
          <w:rFonts w:ascii="Times New Roman" w:hAnsi="Times New Roman" w:eastAsia="黑体" w:cs="Times New Roman"/>
          <w:color w:val="auto"/>
          <w:sz w:val="28"/>
          <w:szCs w:val="28"/>
          <w:highlight w:val="none"/>
          <w:u w:val="none"/>
        </w:rPr>
      </w:pPr>
    </w:p>
    <w:p>
      <w:pPr>
        <w:outlineLvl w:val="0"/>
        <w:rPr>
          <w:rFonts w:ascii="Times New Roman" w:hAnsi="Times New Roman" w:eastAsia="黑体" w:cs="Times New Roman"/>
          <w:color w:val="auto"/>
          <w:sz w:val="32"/>
          <w:szCs w:val="32"/>
          <w:highlight w:val="none"/>
          <w:u w:val="none"/>
        </w:rPr>
      </w:pPr>
      <w:r>
        <w:rPr>
          <w:rFonts w:ascii="Times New Roman" w:hAnsi="Times New Roman" w:eastAsia="黑体" w:cs="Times New Roman"/>
          <w:color w:val="auto"/>
          <w:sz w:val="32"/>
          <w:szCs w:val="32"/>
          <w:highlight w:val="none"/>
          <w:u w:val="none"/>
        </w:rPr>
        <w:t>附件7</w:t>
      </w:r>
    </w:p>
    <w:p>
      <w:pPr>
        <w:pStyle w:val="2"/>
      </w:pPr>
    </w:p>
    <w:p>
      <w:pPr>
        <w:spacing w:line="560" w:lineRule="exact"/>
        <w:jc w:val="center"/>
        <w:outlineLvl w:val="1"/>
        <w:rPr>
          <w:rFonts w:ascii="方正小标宋简体" w:hAnsi="方正小标宋简体" w:eastAsia="方正小标宋简体" w:cs="方正小标宋简体"/>
          <w:color w:val="auto"/>
          <w:sz w:val="44"/>
          <w:szCs w:val="44"/>
          <w:highlight w:val="none"/>
          <w:u w:val="none"/>
        </w:rPr>
      </w:pPr>
      <w:r>
        <w:rPr>
          <w:rFonts w:ascii="方正小标宋简体" w:hAnsi="方正小标宋简体" w:eastAsia="方正小标宋简体" w:cs="方正小标宋简体"/>
          <w:color w:val="auto"/>
          <w:sz w:val="44"/>
          <w:szCs w:val="44"/>
          <w:highlight w:val="none"/>
          <w:u w:val="none"/>
        </w:rPr>
        <w:t>天津市质量基础设施助力</w:t>
      </w:r>
      <w:r>
        <w:rPr>
          <w:rFonts w:hint="eastAsia" w:ascii="方正小标宋简体" w:hAnsi="方正小标宋简体" w:eastAsia="方正小标宋简体" w:cs="方正小标宋简体"/>
          <w:color w:val="auto"/>
          <w:sz w:val="44"/>
          <w:szCs w:val="44"/>
          <w:highlight w:val="none"/>
          <w:u w:val="none"/>
        </w:rPr>
        <w:t>XX</w:t>
      </w:r>
      <w:r>
        <w:rPr>
          <w:rFonts w:ascii="方正小标宋简体" w:hAnsi="方正小标宋简体" w:eastAsia="方正小标宋简体" w:cs="方正小标宋简体"/>
          <w:color w:val="auto"/>
          <w:sz w:val="44"/>
          <w:szCs w:val="44"/>
          <w:highlight w:val="none"/>
          <w:u w:val="none"/>
        </w:rPr>
        <w:t>产业链供应链</w:t>
      </w:r>
    </w:p>
    <w:p>
      <w:pPr>
        <w:spacing w:line="560" w:lineRule="exact"/>
        <w:jc w:val="center"/>
        <w:outlineLvl w:val="1"/>
        <w:rPr>
          <w:rFonts w:ascii="方正小标宋简体" w:hAnsi="方正小标宋简体" w:eastAsia="方正小标宋简体" w:cs="方正小标宋简体"/>
          <w:color w:val="auto"/>
          <w:sz w:val="44"/>
          <w:szCs w:val="44"/>
          <w:highlight w:val="none"/>
          <w:u w:val="none"/>
        </w:rPr>
      </w:pPr>
      <w:r>
        <w:rPr>
          <w:rFonts w:ascii="方正小标宋简体" w:hAnsi="方正小标宋简体" w:eastAsia="方正小标宋简体" w:cs="方正小标宋简体"/>
          <w:color w:val="auto"/>
          <w:sz w:val="44"/>
          <w:szCs w:val="44"/>
          <w:highlight w:val="none"/>
          <w:u w:val="none"/>
        </w:rPr>
        <w:t>质量联动提升总结报告</w:t>
      </w:r>
    </w:p>
    <w:p>
      <w:pPr>
        <w:spacing w:line="560" w:lineRule="exact"/>
        <w:jc w:val="center"/>
        <w:rPr>
          <w:rFonts w:ascii="Times New Roman" w:hAnsi="Times New Roman" w:eastAsia="黑体" w:cs="Times New Roman"/>
          <w:color w:val="auto"/>
          <w:sz w:val="28"/>
          <w:szCs w:val="28"/>
          <w:highlight w:val="none"/>
          <w:u w:val="none"/>
        </w:rPr>
      </w:pPr>
    </w:p>
    <w:p>
      <w:pPr>
        <w:spacing w:line="560" w:lineRule="exact"/>
        <w:ind w:left="420" w:leftChars="200" w:firstLine="640" w:firstLineChars="200"/>
        <w:outlineLvl w:val="1"/>
        <w:rPr>
          <w:rFonts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一、基本情况</w:t>
      </w:r>
    </w:p>
    <w:p>
      <w:pPr>
        <w:spacing w:line="560" w:lineRule="exact"/>
        <w:ind w:left="420" w:leftChars="200"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本地区重点产业链供应链基本情况，主要质量问题和质量提升诉求，质量基础设施助力产业链供应链质量联动提升总体思路、工作任务及推进情况。</w:t>
      </w:r>
    </w:p>
    <w:p>
      <w:pPr>
        <w:spacing w:line="560" w:lineRule="exact"/>
        <w:ind w:left="420" w:leftChars="200" w:firstLine="640" w:firstLineChars="200"/>
        <w:outlineLvl w:val="1"/>
        <w:rPr>
          <w:rFonts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二、主要举措</w:t>
      </w:r>
    </w:p>
    <w:p>
      <w:pPr>
        <w:spacing w:line="560" w:lineRule="exact"/>
        <w:ind w:left="420" w:leftChars="200"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产业链供应链质量联动提升的主要做法。可以结合梳理重点产业链供应链质量问题清单、重点攻关项目清单、质量政策工具清单等，从推动产业链供应链质量点线面提升、提升质量基础设施对建圈强链的适配性、强化质量政策激励约束作用、着力推动联动机制建设等不同维度，对开展的重点工作和主要措施进行说明。</w:t>
      </w:r>
    </w:p>
    <w:p>
      <w:pPr>
        <w:spacing w:line="560" w:lineRule="exact"/>
        <w:ind w:left="420" w:leftChars="200" w:firstLine="640" w:firstLineChars="200"/>
        <w:outlineLvl w:val="1"/>
        <w:rPr>
          <w:rFonts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三、工作成效</w:t>
      </w:r>
    </w:p>
    <w:p>
      <w:pPr>
        <w:spacing w:line="560" w:lineRule="exact"/>
        <w:ind w:left="420" w:leftChars="200"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对照《工作方案》行动目标，总结我市开展质量基础设施助力产业链供应链质量联动提升工作以来取得的实际成效，包括覆盖范围、参与广度、解决质量瓶颈或问题、关键质量指标提升、产业链质量基础设施能力提升、产业竞争力提升以及《工作方案》行动目标中列出的相关指标情况。着重突出社会效益、经济效益及可持续性。注重数据分析和相关方评价反馈，可提供背景资料、信息、图片等附件。</w:t>
      </w:r>
    </w:p>
    <w:p>
      <w:pPr>
        <w:spacing w:line="560" w:lineRule="exact"/>
        <w:ind w:left="420" w:leftChars="200" w:firstLine="640" w:firstLineChars="200"/>
        <w:outlineLvl w:val="1"/>
        <w:rPr>
          <w:rFonts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四、工作亮点</w:t>
      </w:r>
    </w:p>
    <w:p>
      <w:pPr>
        <w:spacing w:line="560" w:lineRule="exact"/>
        <w:ind w:left="420" w:leftChars="200"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包括工作推动过程中的创新点、工作亮点和特色，以及在全国领先的工作。</w:t>
      </w:r>
    </w:p>
    <w:p>
      <w:pPr>
        <w:widowControl/>
        <w:spacing w:line="560" w:lineRule="exact"/>
        <w:jc w:val="left"/>
        <w:rPr>
          <w:rFonts w:ascii="仿宋_GB2312" w:hAnsi="仿宋_GB2312" w:eastAsia="仿宋_GB2312" w:cs="仿宋_GB2312"/>
          <w:color w:val="auto"/>
          <w:sz w:val="32"/>
          <w:szCs w:val="32"/>
          <w:highlight w:val="none"/>
          <w:u w:val="none"/>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32"/>
          <w:highlight w:val="none"/>
          <w:u w:val="none"/>
        </w:rPr>
        <w:br w:type="page"/>
      </w:r>
    </w:p>
    <w:p>
      <w:pPr>
        <w:outlineLvl w:val="0"/>
        <w:rPr>
          <w:rFonts w:ascii="Times New Roman" w:hAnsi="Times New Roman" w:eastAsia="黑体" w:cs="Times New Roman"/>
          <w:color w:val="auto"/>
          <w:sz w:val="32"/>
          <w:szCs w:val="32"/>
          <w:highlight w:val="none"/>
          <w:u w:val="none"/>
        </w:rPr>
      </w:pPr>
      <w:r>
        <w:rPr>
          <w:rFonts w:ascii="Times New Roman" w:hAnsi="Times New Roman" w:eastAsia="黑体" w:cs="Times New Roman"/>
          <w:color w:val="auto"/>
          <w:sz w:val="32"/>
          <w:szCs w:val="32"/>
          <w:highlight w:val="none"/>
          <w:u w:val="none"/>
        </w:rPr>
        <w:t>附件8</w:t>
      </w:r>
    </w:p>
    <w:p>
      <w:pPr>
        <w:jc w:val="center"/>
        <w:outlineLvl w:val="1"/>
        <w:rPr>
          <w:rFonts w:ascii="方正小标宋简体" w:hAnsi="方正小标宋简体" w:eastAsia="方正小标宋简体" w:cs="方正小标宋简体"/>
          <w:color w:val="auto"/>
          <w:sz w:val="44"/>
          <w:szCs w:val="44"/>
          <w:highlight w:val="none"/>
          <w:u w:val="none"/>
        </w:rPr>
      </w:pPr>
      <w:r>
        <w:rPr>
          <w:rFonts w:ascii="方正小标宋简体" w:hAnsi="方正小标宋简体" w:eastAsia="方正小标宋简体" w:cs="方正小标宋简体"/>
          <w:color w:val="auto"/>
          <w:sz w:val="44"/>
          <w:szCs w:val="44"/>
          <w:highlight w:val="none"/>
          <w:u w:val="none"/>
        </w:rPr>
        <w:t>质量基础设施助力产业链供应链</w:t>
      </w:r>
      <w:r>
        <w:rPr>
          <w:rFonts w:hint="eastAsia" w:ascii="方正小标宋简体" w:hAnsi="方正小标宋简体" w:eastAsia="方正小标宋简体" w:cs="方正小标宋简体"/>
          <w:color w:val="auto"/>
          <w:sz w:val="44"/>
          <w:szCs w:val="44"/>
          <w:highlight w:val="none"/>
          <w:u w:val="none"/>
        </w:rPr>
        <w:t>质量</w:t>
      </w:r>
      <w:r>
        <w:rPr>
          <w:rFonts w:ascii="方正小标宋简体" w:hAnsi="方正小标宋简体" w:eastAsia="方正小标宋简体" w:cs="方正小标宋简体"/>
          <w:color w:val="auto"/>
          <w:sz w:val="44"/>
          <w:szCs w:val="44"/>
          <w:highlight w:val="none"/>
          <w:u w:val="none"/>
        </w:rPr>
        <w:t>联动提升实施情况汇总表</w:t>
      </w:r>
    </w:p>
    <w:tbl>
      <w:tblPr>
        <w:tblStyle w:val="10"/>
        <w:tblW w:w="14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396"/>
        <w:gridCol w:w="454"/>
        <w:gridCol w:w="454"/>
        <w:gridCol w:w="454"/>
        <w:gridCol w:w="388"/>
        <w:gridCol w:w="428"/>
        <w:gridCol w:w="429"/>
        <w:gridCol w:w="514"/>
        <w:gridCol w:w="429"/>
        <w:gridCol w:w="471"/>
        <w:gridCol w:w="407"/>
        <w:gridCol w:w="482"/>
        <w:gridCol w:w="440"/>
        <w:gridCol w:w="407"/>
        <w:gridCol w:w="611"/>
        <w:gridCol w:w="385"/>
        <w:gridCol w:w="579"/>
        <w:gridCol w:w="578"/>
        <w:gridCol w:w="397"/>
        <w:gridCol w:w="375"/>
        <w:gridCol w:w="621"/>
        <w:gridCol w:w="397"/>
        <w:gridCol w:w="610"/>
        <w:gridCol w:w="389"/>
        <w:gridCol w:w="482"/>
        <w:gridCol w:w="482"/>
        <w:gridCol w:w="193"/>
        <w:gridCol w:w="461"/>
        <w:gridCol w:w="429"/>
        <w:gridCol w:w="353"/>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96" w:type="dxa"/>
            <w:vMerge w:val="restart"/>
            <w:vAlign w:val="center"/>
          </w:tcPr>
          <w:p>
            <w:pPr>
              <w:widowControl/>
              <w:jc w:val="center"/>
              <w:rPr>
                <w:rFonts w:ascii="Times New Roman" w:hAnsi="Times New Roman" w:eastAsia="微软雅黑" w:cs="Times New Roman"/>
                <w:color w:val="auto"/>
                <w:sz w:val="24"/>
                <w:szCs w:val="24"/>
                <w:highlight w:val="none"/>
                <w:u w:val="none"/>
              </w:rPr>
            </w:pPr>
            <w:r>
              <w:rPr>
                <w:rFonts w:ascii="Times New Roman" w:hAnsi="Times New Roman" w:eastAsia="微软雅黑" w:cs="Times New Roman"/>
                <w:color w:val="auto"/>
                <w:sz w:val="24"/>
                <w:szCs w:val="24"/>
                <w:highlight w:val="none"/>
                <w:u w:val="none"/>
              </w:rPr>
              <w:t>序号</w:t>
            </w:r>
          </w:p>
        </w:tc>
        <w:tc>
          <w:tcPr>
            <w:tcW w:w="396" w:type="dxa"/>
            <w:vMerge w:val="restart"/>
            <w:vAlign w:val="center"/>
          </w:tcPr>
          <w:p>
            <w:pPr>
              <w:widowControl/>
              <w:jc w:val="center"/>
              <w:rPr>
                <w:rFonts w:ascii="Times New Roman" w:hAnsi="Times New Roman" w:eastAsia="微软雅黑" w:cs="Times New Roman"/>
                <w:color w:val="auto"/>
                <w:sz w:val="24"/>
                <w:szCs w:val="24"/>
                <w:highlight w:val="none"/>
                <w:u w:val="none"/>
              </w:rPr>
            </w:pPr>
            <w:r>
              <w:rPr>
                <w:rFonts w:ascii="Times New Roman" w:hAnsi="Times New Roman" w:eastAsia="微软雅黑" w:cs="Times New Roman"/>
                <w:color w:val="auto"/>
                <w:sz w:val="24"/>
                <w:szCs w:val="24"/>
                <w:highlight w:val="none"/>
                <w:u w:val="none"/>
              </w:rPr>
              <w:t>地区</w:t>
            </w:r>
          </w:p>
        </w:tc>
        <w:tc>
          <w:tcPr>
            <w:tcW w:w="1750" w:type="dxa"/>
            <w:gridSpan w:val="4"/>
            <w:vAlign w:val="center"/>
          </w:tcPr>
          <w:p>
            <w:pPr>
              <w:widowControl/>
              <w:jc w:val="center"/>
              <w:rPr>
                <w:rFonts w:ascii="Times New Roman" w:hAnsi="Times New Roman" w:eastAsia="微软雅黑" w:cs="Times New Roman"/>
                <w:color w:val="auto"/>
                <w:sz w:val="24"/>
                <w:szCs w:val="24"/>
                <w:highlight w:val="none"/>
                <w:u w:val="none"/>
              </w:rPr>
            </w:pPr>
            <w:r>
              <w:rPr>
                <w:rFonts w:ascii="Times New Roman" w:hAnsi="Times New Roman" w:eastAsia="微软雅黑" w:cs="Times New Roman"/>
                <w:color w:val="auto"/>
                <w:sz w:val="24"/>
                <w:szCs w:val="24"/>
                <w:highlight w:val="none"/>
                <w:u w:val="none"/>
              </w:rPr>
              <w:t>覆盖范围</w:t>
            </w:r>
          </w:p>
        </w:tc>
        <w:tc>
          <w:tcPr>
            <w:tcW w:w="3600" w:type="dxa"/>
            <w:gridSpan w:val="8"/>
            <w:vAlign w:val="center"/>
          </w:tcPr>
          <w:p>
            <w:pPr>
              <w:widowControl/>
              <w:jc w:val="center"/>
              <w:rPr>
                <w:rFonts w:ascii="Times New Roman" w:hAnsi="Times New Roman" w:eastAsia="微软雅黑" w:cs="Times New Roman"/>
                <w:color w:val="auto"/>
                <w:sz w:val="24"/>
                <w:szCs w:val="24"/>
                <w:highlight w:val="none"/>
                <w:u w:val="none"/>
              </w:rPr>
            </w:pPr>
            <w:r>
              <w:rPr>
                <w:rFonts w:ascii="Times New Roman" w:hAnsi="Times New Roman" w:eastAsia="微软雅黑" w:cs="Times New Roman"/>
                <w:color w:val="auto"/>
                <w:sz w:val="24"/>
                <w:szCs w:val="24"/>
                <w:highlight w:val="none"/>
                <w:u w:val="none"/>
              </w:rPr>
              <w:t>参与情况</w:t>
            </w:r>
          </w:p>
        </w:tc>
        <w:tc>
          <w:tcPr>
            <w:tcW w:w="7396" w:type="dxa"/>
            <w:gridSpan w:val="16"/>
            <w:vAlign w:val="center"/>
          </w:tcPr>
          <w:p>
            <w:pPr>
              <w:widowControl/>
              <w:jc w:val="center"/>
              <w:rPr>
                <w:rFonts w:ascii="Times New Roman" w:hAnsi="Times New Roman" w:eastAsia="微软雅黑" w:cs="Times New Roman"/>
                <w:color w:val="auto"/>
                <w:sz w:val="24"/>
                <w:szCs w:val="24"/>
                <w:highlight w:val="none"/>
                <w:u w:val="none"/>
              </w:rPr>
            </w:pPr>
            <w:r>
              <w:rPr>
                <w:rFonts w:ascii="Times New Roman" w:hAnsi="Times New Roman" w:eastAsia="微软雅黑" w:cs="Times New Roman"/>
                <w:color w:val="auto"/>
                <w:sz w:val="24"/>
                <w:szCs w:val="24"/>
                <w:highlight w:val="none"/>
                <w:u w:val="none"/>
              </w:rPr>
              <w:t>取得成就</w:t>
            </w:r>
          </w:p>
        </w:tc>
        <w:tc>
          <w:tcPr>
            <w:tcW w:w="750" w:type="dxa"/>
            <w:gridSpan w:val="2"/>
            <w:vAlign w:val="center"/>
          </w:tcPr>
          <w:p>
            <w:pPr>
              <w:widowControl/>
              <w:jc w:val="center"/>
              <w:rPr>
                <w:rFonts w:ascii="Times New Roman" w:hAnsi="Times New Roman" w:eastAsia="微软雅黑" w:cs="Times New Roman"/>
                <w:color w:val="auto"/>
                <w:sz w:val="24"/>
                <w:szCs w:val="24"/>
                <w:highlight w:val="none"/>
                <w:u w:val="none"/>
              </w:rPr>
            </w:pPr>
            <w:r>
              <w:rPr>
                <w:rFonts w:ascii="Times New Roman" w:hAnsi="Times New Roman" w:eastAsia="微软雅黑" w:cs="Times New Roman"/>
                <w:color w:val="auto"/>
                <w:sz w:val="24"/>
                <w:szCs w:val="24"/>
                <w:highlight w:val="none"/>
                <w:u w:val="none"/>
              </w:rPr>
              <w:t>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trPr>
        <w:tc>
          <w:tcPr>
            <w:tcW w:w="396" w:type="dxa"/>
            <w:vMerge w:val="continue"/>
          </w:tcPr>
          <w:p>
            <w:pPr>
              <w:widowControl/>
              <w:jc w:val="center"/>
              <w:rPr>
                <w:rFonts w:ascii="Times New Roman" w:hAnsi="Times New Roman" w:eastAsia="微软雅黑" w:cs="Times New Roman"/>
                <w:color w:val="auto"/>
                <w:sz w:val="18"/>
                <w:szCs w:val="18"/>
                <w:highlight w:val="none"/>
                <w:u w:val="none"/>
              </w:rPr>
            </w:pPr>
          </w:p>
        </w:tc>
        <w:tc>
          <w:tcPr>
            <w:tcW w:w="396" w:type="dxa"/>
            <w:vMerge w:val="continue"/>
          </w:tcPr>
          <w:p>
            <w:pPr>
              <w:widowControl/>
              <w:jc w:val="center"/>
              <w:rPr>
                <w:rFonts w:ascii="Times New Roman" w:hAnsi="Times New Roman" w:eastAsia="微软雅黑" w:cs="Times New Roman"/>
                <w:color w:val="auto"/>
                <w:sz w:val="18"/>
                <w:szCs w:val="18"/>
                <w:highlight w:val="none"/>
                <w:u w:val="none"/>
              </w:rPr>
            </w:pPr>
          </w:p>
        </w:tc>
        <w:tc>
          <w:tcPr>
            <w:tcW w:w="454"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产业链</w:t>
            </w:r>
            <w:r>
              <w:rPr>
                <w:rFonts w:hint="eastAsia" w:ascii="Times New Roman" w:hAnsi="Times New Roman" w:eastAsia="宋体" w:cs="Times New Roman"/>
                <w:b/>
                <w:bCs/>
                <w:color w:val="auto"/>
                <w:sz w:val="18"/>
                <w:szCs w:val="18"/>
                <w:highlight w:val="none"/>
                <w:u w:val="none"/>
              </w:rPr>
              <w:t>供应链名称</w:t>
            </w:r>
          </w:p>
        </w:tc>
        <w:tc>
          <w:tcPr>
            <w:tcW w:w="454"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覆盖行业类别（名称）</w:t>
            </w:r>
          </w:p>
        </w:tc>
        <w:tc>
          <w:tcPr>
            <w:tcW w:w="454"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覆盖区数量（个）</w:t>
            </w:r>
          </w:p>
        </w:tc>
        <w:tc>
          <w:tcPr>
            <w:tcW w:w="388"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产业集聚区数量（个）</w:t>
            </w:r>
          </w:p>
        </w:tc>
        <w:tc>
          <w:tcPr>
            <w:tcW w:w="428"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参与企业数量（个）</w:t>
            </w:r>
          </w:p>
        </w:tc>
        <w:tc>
          <w:tcPr>
            <w:tcW w:w="429"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参与中小微企业数量（个）</w:t>
            </w:r>
          </w:p>
        </w:tc>
        <w:tc>
          <w:tcPr>
            <w:tcW w:w="514"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参与技术机构数量（家次）</w:t>
            </w:r>
          </w:p>
        </w:tc>
        <w:tc>
          <w:tcPr>
            <w:tcW w:w="429"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参与技术专家数量（人次）</w:t>
            </w:r>
          </w:p>
        </w:tc>
        <w:tc>
          <w:tcPr>
            <w:tcW w:w="471"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参与研究机构数量（家次）</w:t>
            </w:r>
          </w:p>
        </w:tc>
        <w:tc>
          <w:tcPr>
            <w:tcW w:w="407"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参与高等院校数量（家次）</w:t>
            </w:r>
          </w:p>
        </w:tc>
        <w:tc>
          <w:tcPr>
            <w:tcW w:w="482"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参与行业组织数量（家次）</w:t>
            </w:r>
          </w:p>
        </w:tc>
        <w:tc>
          <w:tcPr>
            <w:tcW w:w="440"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链上外企数量（个）</w:t>
            </w:r>
          </w:p>
        </w:tc>
        <w:tc>
          <w:tcPr>
            <w:tcW w:w="407"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解决质量瓶颈数量（个）</w:t>
            </w:r>
          </w:p>
        </w:tc>
        <w:tc>
          <w:tcPr>
            <w:tcW w:w="611"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关键质量指标提升（百分比，涉及多项指标可分别列出）</w:t>
            </w:r>
          </w:p>
        </w:tc>
        <w:tc>
          <w:tcPr>
            <w:tcW w:w="385"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标准创新性企业数量（个）</w:t>
            </w:r>
          </w:p>
        </w:tc>
        <w:tc>
          <w:tcPr>
            <w:tcW w:w="579"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中小微企业获得质量管理体系认证情况（证书数量增长比例）</w:t>
            </w:r>
          </w:p>
        </w:tc>
        <w:tc>
          <w:tcPr>
            <w:tcW w:w="578"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获得各级政府质量奖励情况（奖励名称、等级与数量）</w:t>
            </w:r>
          </w:p>
        </w:tc>
        <w:tc>
          <w:tcPr>
            <w:tcW w:w="397"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培训基地建设情况</w:t>
            </w:r>
          </w:p>
        </w:tc>
        <w:tc>
          <w:tcPr>
            <w:tcW w:w="375"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质量品牌提升示范区建设情况</w:t>
            </w:r>
          </w:p>
        </w:tc>
        <w:tc>
          <w:tcPr>
            <w:tcW w:w="621"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市场规模或市场占有率提升情况（%）</w:t>
            </w:r>
          </w:p>
        </w:tc>
        <w:tc>
          <w:tcPr>
            <w:tcW w:w="397"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成本节约情况（%）</w:t>
            </w:r>
          </w:p>
        </w:tc>
        <w:tc>
          <w:tcPr>
            <w:tcW w:w="610"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国际标准注册专家数量（人）</w:t>
            </w:r>
          </w:p>
        </w:tc>
        <w:tc>
          <w:tcPr>
            <w:tcW w:w="389"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国际标准化创新团队数量（个）</w:t>
            </w:r>
          </w:p>
        </w:tc>
        <w:tc>
          <w:tcPr>
            <w:tcW w:w="482"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国际性标准组织数量（个）</w:t>
            </w:r>
          </w:p>
        </w:tc>
        <w:tc>
          <w:tcPr>
            <w:tcW w:w="482"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开展对标达标企业数量（个）</w:t>
            </w:r>
          </w:p>
        </w:tc>
        <w:tc>
          <w:tcPr>
            <w:tcW w:w="654" w:type="dxa"/>
            <w:gridSpan w:val="2"/>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获得标准领跑企业数量和标准数量</w:t>
            </w:r>
          </w:p>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（个/项）</w:t>
            </w:r>
          </w:p>
        </w:tc>
        <w:tc>
          <w:tcPr>
            <w:tcW w:w="429"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国家标准验证点数量（个）</w:t>
            </w:r>
          </w:p>
        </w:tc>
        <w:tc>
          <w:tcPr>
            <w:tcW w:w="353"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投入经费情况（万元）</w:t>
            </w:r>
          </w:p>
        </w:tc>
        <w:tc>
          <w:tcPr>
            <w:tcW w:w="397" w:type="dxa"/>
          </w:tcPr>
          <w:p>
            <w:pPr>
              <w:widowControl/>
              <w:jc w:val="center"/>
              <w:rPr>
                <w:rFonts w:ascii="Times New Roman" w:hAnsi="Times New Roman" w:eastAsia="宋体" w:cs="Times New Roman"/>
                <w:b/>
                <w:bCs/>
                <w:color w:val="auto"/>
                <w:sz w:val="18"/>
                <w:szCs w:val="18"/>
                <w:highlight w:val="none"/>
                <w:u w:val="none"/>
              </w:rPr>
            </w:pPr>
            <w:r>
              <w:rPr>
                <w:rFonts w:ascii="Times New Roman" w:hAnsi="Times New Roman" w:eastAsia="宋体" w:cs="Times New Roman"/>
                <w:b/>
                <w:bCs/>
                <w:color w:val="auto"/>
                <w:sz w:val="18"/>
                <w:szCs w:val="18"/>
                <w:highlight w:val="none"/>
                <w:u w:val="none"/>
              </w:rPr>
              <w:t>是否列入财政质量提升专项科目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96" w:type="dxa"/>
          </w:tcPr>
          <w:p>
            <w:pPr>
              <w:widowControl/>
              <w:jc w:val="center"/>
              <w:rPr>
                <w:rFonts w:ascii="Times New Roman" w:hAnsi="Times New Roman" w:eastAsia="微软雅黑" w:cs="Times New Roman"/>
                <w:color w:val="auto"/>
                <w:sz w:val="18"/>
                <w:szCs w:val="18"/>
                <w:highlight w:val="none"/>
                <w:u w:val="none"/>
              </w:rPr>
            </w:pPr>
            <w:r>
              <w:rPr>
                <w:rFonts w:ascii="Times New Roman" w:hAnsi="Times New Roman" w:eastAsia="微软雅黑" w:cs="Times New Roman"/>
                <w:color w:val="auto"/>
                <w:sz w:val="18"/>
                <w:szCs w:val="18"/>
                <w:highlight w:val="none"/>
                <w:u w:val="none"/>
              </w:rPr>
              <w:t>1</w:t>
            </w:r>
          </w:p>
        </w:tc>
        <w:tc>
          <w:tcPr>
            <w:tcW w:w="396" w:type="dxa"/>
          </w:tcPr>
          <w:p>
            <w:pPr>
              <w:widowControl/>
              <w:jc w:val="center"/>
              <w:rPr>
                <w:rFonts w:ascii="Times New Roman" w:hAnsi="Times New Roman" w:eastAsia="微软雅黑" w:cs="Times New Roman"/>
                <w:color w:val="auto"/>
                <w:sz w:val="18"/>
                <w:szCs w:val="18"/>
                <w:highlight w:val="none"/>
                <w:u w:val="none"/>
              </w:rPr>
            </w:pPr>
            <w:r>
              <w:rPr>
                <w:rFonts w:ascii="Times New Roman" w:hAnsi="Times New Roman" w:eastAsia="微软雅黑" w:cs="Times New Roman"/>
                <w:color w:val="auto"/>
                <w:sz w:val="18"/>
                <w:szCs w:val="18"/>
                <w:highlight w:val="none"/>
                <w:u w:val="none"/>
              </w:rPr>
              <w:t>天津</w:t>
            </w:r>
          </w:p>
        </w:tc>
        <w:tc>
          <w:tcPr>
            <w:tcW w:w="454" w:type="dxa"/>
          </w:tcPr>
          <w:p>
            <w:pPr>
              <w:widowControl/>
              <w:jc w:val="center"/>
              <w:rPr>
                <w:rFonts w:ascii="Times New Roman" w:hAnsi="Times New Roman" w:eastAsia="宋体" w:cs="Times New Roman"/>
                <w:color w:val="auto"/>
                <w:sz w:val="18"/>
                <w:szCs w:val="18"/>
                <w:highlight w:val="none"/>
                <w:u w:val="none"/>
              </w:rPr>
            </w:pPr>
          </w:p>
        </w:tc>
        <w:tc>
          <w:tcPr>
            <w:tcW w:w="454" w:type="dxa"/>
          </w:tcPr>
          <w:p>
            <w:pPr>
              <w:widowControl/>
              <w:jc w:val="center"/>
              <w:rPr>
                <w:rFonts w:ascii="Times New Roman" w:hAnsi="Times New Roman" w:eastAsia="宋体" w:cs="Times New Roman"/>
                <w:color w:val="auto"/>
                <w:sz w:val="18"/>
                <w:szCs w:val="18"/>
                <w:highlight w:val="none"/>
                <w:u w:val="none"/>
              </w:rPr>
            </w:pPr>
          </w:p>
        </w:tc>
        <w:tc>
          <w:tcPr>
            <w:tcW w:w="454" w:type="dxa"/>
          </w:tcPr>
          <w:p>
            <w:pPr>
              <w:widowControl/>
              <w:jc w:val="center"/>
              <w:rPr>
                <w:rFonts w:ascii="Times New Roman" w:hAnsi="Times New Roman" w:eastAsia="宋体" w:cs="Times New Roman"/>
                <w:color w:val="auto"/>
                <w:sz w:val="18"/>
                <w:szCs w:val="18"/>
                <w:highlight w:val="none"/>
                <w:u w:val="none"/>
              </w:rPr>
            </w:pPr>
          </w:p>
        </w:tc>
        <w:tc>
          <w:tcPr>
            <w:tcW w:w="388" w:type="dxa"/>
          </w:tcPr>
          <w:p>
            <w:pPr>
              <w:widowControl/>
              <w:jc w:val="center"/>
              <w:rPr>
                <w:rFonts w:ascii="Times New Roman" w:hAnsi="Times New Roman" w:eastAsia="宋体" w:cs="Times New Roman"/>
                <w:color w:val="auto"/>
                <w:sz w:val="18"/>
                <w:szCs w:val="18"/>
                <w:highlight w:val="none"/>
                <w:u w:val="none"/>
              </w:rPr>
            </w:pPr>
          </w:p>
        </w:tc>
        <w:tc>
          <w:tcPr>
            <w:tcW w:w="428" w:type="dxa"/>
          </w:tcPr>
          <w:p>
            <w:pPr>
              <w:widowControl/>
              <w:jc w:val="center"/>
              <w:rPr>
                <w:rFonts w:ascii="Times New Roman" w:hAnsi="Times New Roman" w:eastAsia="宋体" w:cs="Times New Roman"/>
                <w:color w:val="auto"/>
                <w:sz w:val="18"/>
                <w:szCs w:val="18"/>
                <w:highlight w:val="none"/>
                <w:u w:val="none"/>
              </w:rPr>
            </w:pPr>
          </w:p>
        </w:tc>
        <w:tc>
          <w:tcPr>
            <w:tcW w:w="429" w:type="dxa"/>
          </w:tcPr>
          <w:p>
            <w:pPr>
              <w:widowControl/>
              <w:jc w:val="center"/>
              <w:rPr>
                <w:rFonts w:ascii="Times New Roman" w:hAnsi="Times New Roman" w:eastAsia="宋体" w:cs="Times New Roman"/>
                <w:color w:val="auto"/>
                <w:sz w:val="18"/>
                <w:szCs w:val="18"/>
                <w:highlight w:val="none"/>
                <w:u w:val="none"/>
              </w:rPr>
            </w:pPr>
          </w:p>
        </w:tc>
        <w:tc>
          <w:tcPr>
            <w:tcW w:w="514" w:type="dxa"/>
          </w:tcPr>
          <w:p>
            <w:pPr>
              <w:widowControl/>
              <w:jc w:val="center"/>
              <w:rPr>
                <w:rFonts w:ascii="Times New Roman" w:hAnsi="Times New Roman" w:eastAsia="宋体" w:cs="Times New Roman"/>
                <w:color w:val="auto"/>
                <w:sz w:val="18"/>
                <w:szCs w:val="18"/>
                <w:highlight w:val="none"/>
                <w:u w:val="none"/>
              </w:rPr>
            </w:pPr>
          </w:p>
        </w:tc>
        <w:tc>
          <w:tcPr>
            <w:tcW w:w="429" w:type="dxa"/>
          </w:tcPr>
          <w:p>
            <w:pPr>
              <w:widowControl/>
              <w:jc w:val="center"/>
              <w:rPr>
                <w:rFonts w:ascii="Times New Roman" w:hAnsi="Times New Roman" w:eastAsia="宋体" w:cs="Times New Roman"/>
                <w:color w:val="auto"/>
                <w:sz w:val="18"/>
                <w:szCs w:val="18"/>
                <w:highlight w:val="none"/>
                <w:u w:val="none"/>
              </w:rPr>
            </w:pPr>
          </w:p>
        </w:tc>
        <w:tc>
          <w:tcPr>
            <w:tcW w:w="471" w:type="dxa"/>
          </w:tcPr>
          <w:p>
            <w:pPr>
              <w:widowControl/>
              <w:jc w:val="center"/>
              <w:rPr>
                <w:rFonts w:ascii="Times New Roman" w:hAnsi="Times New Roman" w:eastAsia="宋体" w:cs="Times New Roman"/>
                <w:color w:val="auto"/>
                <w:sz w:val="18"/>
                <w:szCs w:val="18"/>
                <w:highlight w:val="none"/>
                <w:u w:val="none"/>
              </w:rPr>
            </w:pPr>
          </w:p>
        </w:tc>
        <w:tc>
          <w:tcPr>
            <w:tcW w:w="407" w:type="dxa"/>
          </w:tcPr>
          <w:p>
            <w:pPr>
              <w:widowControl/>
              <w:jc w:val="center"/>
              <w:rPr>
                <w:rFonts w:ascii="Times New Roman" w:hAnsi="Times New Roman" w:eastAsia="宋体" w:cs="Times New Roman"/>
                <w:color w:val="auto"/>
                <w:sz w:val="18"/>
                <w:szCs w:val="18"/>
                <w:highlight w:val="none"/>
                <w:u w:val="none"/>
              </w:rPr>
            </w:pPr>
          </w:p>
        </w:tc>
        <w:tc>
          <w:tcPr>
            <w:tcW w:w="482" w:type="dxa"/>
          </w:tcPr>
          <w:p>
            <w:pPr>
              <w:widowControl/>
              <w:jc w:val="center"/>
              <w:rPr>
                <w:rFonts w:ascii="Times New Roman" w:hAnsi="Times New Roman" w:eastAsia="宋体" w:cs="Times New Roman"/>
                <w:color w:val="auto"/>
                <w:sz w:val="18"/>
                <w:szCs w:val="18"/>
                <w:highlight w:val="none"/>
                <w:u w:val="none"/>
              </w:rPr>
            </w:pPr>
          </w:p>
        </w:tc>
        <w:tc>
          <w:tcPr>
            <w:tcW w:w="440" w:type="dxa"/>
          </w:tcPr>
          <w:p>
            <w:pPr>
              <w:widowControl/>
              <w:jc w:val="center"/>
              <w:rPr>
                <w:rFonts w:ascii="Times New Roman" w:hAnsi="Times New Roman" w:eastAsia="宋体" w:cs="Times New Roman"/>
                <w:color w:val="auto"/>
                <w:sz w:val="18"/>
                <w:szCs w:val="18"/>
                <w:highlight w:val="none"/>
                <w:u w:val="none"/>
              </w:rPr>
            </w:pPr>
          </w:p>
        </w:tc>
        <w:tc>
          <w:tcPr>
            <w:tcW w:w="407" w:type="dxa"/>
          </w:tcPr>
          <w:p>
            <w:pPr>
              <w:widowControl/>
              <w:jc w:val="center"/>
              <w:rPr>
                <w:rFonts w:ascii="Times New Roman" w:hAnsi="Times New Roman" w:eastAsia="宋体" w:cs="Times New Roman"/>
                <w:color w:val="auto"/>
                <w:sz w:val="18"/>
                <w:szCs w:val="18"/>
                <w:highlight w:val="none"/>
                <w:u w:val="none"/>
              </w:rPr>
            </w:pPr>
          </w:p>
        </w:tc>
        <w:tc>
          <w:tcPr>
            <w:tcW w:w="611" w:type="dxa"/>
          </w:tcPr>
          <w:p>
            <w:pPr>
              <w:widowControl/>
              <w:jc w:val="center"/>
              <w:rPr>
                <w:rFonts w:ascii="Times New Roman" w:hAnsi="Times New Roman" w:eastAsia="宋体" w:cs="Times New Roman"/>
                <w:color w:val="auto"/>
                <w:sz w:val="18"/>
                <w:szCs w:val="18"/>
                <w:highlight w:val="none"/>
                <w:u w:val="none"/>
              </w:rPr>
            </w:pPr>
          </w:p>
        </w:tc>
        <w:tc>
          <w:tcPr>
            <w:tcW w:w="385" w:type="dxa"/>
          </w:tcPr>
          <w:p>
            <w:pPr>
              <w:widowControl/>
              <w:jc w:val="center"/>
              <w:rPr>
                <w:rFonts w:ascii="Times New Roman" w:hAnsi="Times New Roman" w:eastAsia="宋体" w:cs="Times New Roman"/>
                <w:color w:val="auto"/>
                <w:sz w:val="18"/>
                <w:szCs w:val="18"/>
                <w:highlight w:val="none"/>
                <w:u w:val="none"/>
              </w:rPr>
            </w:pPr>
          </w:p>
        </w:tc>
        <w:tc>
          <w:tcPr>
            <w:tcW w:w="579" w:type="dxa"/>
          </w:tcPr>
          <w:p>
            <w:pPr>
              <w:widowControl/>
              <w:jc w:val="center"/>
              <w:rPr>
                <w:rFonts w:ascii="Times New Roman" w:hAnsi="Times New Roman" w:eastAsia="宋体" w:cs="Times New Roman"/>
                <w:color w:val="auto"/>
                <w:sz w:val="18"/>
                <w:szCs w:val="18"/>
                <w:highlight w:val="none"/>
                <w:u w:val="none"/>
              </w:rPr>
            </w:pPr>
          </w:p>
        </w:tc>
        <w:tc>
          <w:tcPr>
            <w:tcW w:w="578" w:type="dxa"/>
          </w:tcPr>
          <w:p>
            <w:pPr>
              <w:widowControl/>
              <w:jc w:val="center"/>
              <w:rPr>
                <w:rFonts w:ascii="Times New Roman" w:hAnsi="Times New Roman" w:eastAsia="宋体" w:cs="Times New Roman"/>
                <w:color w:val="auto"/>
                <w:sz w:val="18"/>
                <w:szCs w:val="18"/>
                <w:highlight w:val="none"/>
                <w:u w:val="none"/>
              </w:rPr>
            </w:pPr>
          </w:p>
        </w:tc>
        <w:tc>
          <w:tcPr>
            <w:tcW w:w="397" w:type="dxa"/>
          </w:tcPr>
          <w:p>
            <w:pPr>
              <w:widowControl/>
              <w:jc w:val="center"/>
              <w:rPr>
                <w:rFonts w:ascii="Times New Roman" w:hAnsi="Times New Roman" w:eastAsia="宋体" w:cs="Times New Roman"/>
                <w:color w:val="auto"/>
                <w:sz w:val="18"/>
                <w:szCs w:val="18"/>
                <w:highlight w:val="none"/>
                <w:u w:val="none"/>
              </w:rPr>
            </w:pPr>
          </w:p>
        </w:tc>
        <w:tc>
          <w:tcPr>
            <w:tcW w:w="375" w:type="dxa"/>
          </w:tcPr>
          <w:p>
            <w:pPr>
              <w:widowControl/>
              <w:jc w:val="center"/>
              <w:rPr>
                <w:rFonts w:ascii="Times New Roman" w:hAnsi="Times New Roman" w:eastAsia="宋体" w:cs="Times New Roman"/>
                <w:color w:val="auto"/>
                <w:sz w:val="18"/>
                <w:szCs w:val="18"/>
                <w:highlight w:val="none"/>
                <w:u w:val="none"/>
              </w:rPr>
            </w:pPr>
          </w:p>
        </w:tc>
        <w:tc>
          <w:tcPr>
            <w:tcW w:w="621" w:type="dxa"/>
          </w:tcPr>
          <w:p>
            <w:pPr>
              <w:widowControl/>
              <w:jc w:val="center"/>
              <w:rPr>
                <w:rFonts w:ascii="Times New Roman" w:hAnsi="Times New Roman" w:eastAsia="宋体" w:cs="Times New Roman"/>
                <w:color w:val="auto"/>
                <w:sz w:val="18"/>
                <w:szCs w:val="18"/>
                <w:highlight w:val="none"/>
                <w:u w:val="none"/>
              </w:rPr>
            </w:pPr>
          </w:p>
        </w:tc>
        <w:tc>
          <w:tcPr>
            <w:tcW w:w="397" w:type="dxa"/>
          </w:tcPr>
          <w:p>
            <w:pPr>
              <w:widowControl/>
              <w:jc w:val="center"/>
              <w:rPr>
                <w:rFonts w:ascii="Times New Roman" w:hAnsi="Times New Roman" w:eastAsia="宋体" w:cs="Times New Roman"/>
                <w:color w:val="auto"/>
                <w:sz w:val="18"/>
                <w:szCs w:val="18"/>
                <w:highlight w:val="none"/>
                <w:u w:val="none"/>
              </w:rPr>
            </w:pPr>
          </w:p>
        </w:tc>
        <w:tc>
          <w:tcPr>
            <w:tcW w:w="610" w:type="dxa"/>
          </w:tcPr>
          <w:p>
            <w:pPr>
              <w:widowControl/>
              <w:jc w:val="center"/>
              <w:rPr>
                <w:rFonts w:ascii="Times New Roman" w:hAnsi="Times New Roman" w:eastAsia="宋体" w:cs="Times New Roman"/>
                <w:color w:val="auto"/>
                <w:sz w:val="18"/>
                <w:szCs w:val="18"/>
                <w:highlight w:val="none"/>
                <w:u w:val="none"/>
              </w:rPr>
            </w:pPr>
          </w:p>
        </w:tc>
        <w:tc>
          <w:tcPr>
            <w:tcW w:w="389" w:type="dxa"/>
          </w:tcPr>
          <w:p>
            <w:pPr>
              <w:widowControl/>
              <w:jc w:val="center"/>
              <w:rPr>
                <w:rFonts w:ascii="Times New Roman" w:hAnsi="Times New Roman" w:eastAsia="宋体" w:cs="Times New Roman"/>
                <w:color w:val="auto"/>
                <w:sz w:val="18"/>
                <w:szCs w:val="18"/>
                <w:highlight w:val="none"/>
                <w:u w:val="none"/>
              </w:rPr>
            </w:pPr>
          </w:p>
        </w:tc>
        <w:tc>
          <w:tcPr>
            <w:tcW w:w="482" w:type="dxa"/>
          </w:tcPr>
          <w:p>
            <w:pPr>
              <w:widowControl/>
              <w:jc w:val="center"/>
              <w:rPr>
                <w:rFonts w:ascii="Times New Roman" w:hAnsi="Times New Roman" w:eastAsia="宋体" w:cs="Times New Roman"/>
                <w:color w:val="auto"/>
                <w:sz w:val="18"/>
                <w:szCs w:val="18"/>
                <w:highlight w:val="none"/>
                <w:u w:val="none"/>
              </w:rPr>
            </w:pPr>
          </w:p>
        </w:tc>
        <w:tc>
          <w:tcPr>
            <w:tcW w:w="675" w:type="dxa"/>
            <w:gridSpan w:val="2"/>
          </w:tcPr>
          <w:p>
            <w:pPr>
              <w:widowControl/>
              <w:jc w:val="center"/>
              <w:rPr>
                <w:rFonts w:ascii="Times New Roman" w:hAnsi="Times New Roman" w:eastAsia="宋体" w:cs="Times New Roman"/>
                <w:color w:val="auto"/>
                <w:sz w:val="18"/>
                <w:szCs w:val="18"/>
                <w:highlight w:val="none"/>
                <w:u w:val="none"/>
              </w:rPr>
            </w:pPr>
          </w:p>
        </w:tc>
        <w:tc>
          <w:tcPr>
            <w:tcW w:w="461" w:type="dxa"/>
          </w:tcPr>
          <w:p>
            <w:pPr>
              <w:widowControl/>
              <w:jc w:val="center"/>
              <w:rPr>
                <w:rFonts w:ascii="Times New Roman" w:hAnsi="Times New Roman" w:eastAsia="宋体" w:cs="Times New Roman"/>
                <w:color w:val="auto"/>
                <w:sz w:val="18"/>
                <w:szCs w:val="18"/>
                <w:highlight w:val="none"/>
                <w:u w:val="none"/>
              </w:rPr>
            </w:pPr>
          </w:p>
        </w:tc>
        <w:tc>
          <w:tcPr>
            <w:tcW w:w="429" w:type="dxa"/>
          </w:tcPr>
          <w:p>
            <w:pPr>
              <w:widowControl/>
              <w:jc w:val="center"/>
              <w:rPr>
                <w:rFonts w:ascii="Times New Roman" w:hAnsi="Times New Roman" w:eastAsia="宋体" w:cs="Times New Roman"/>
                <w:color w:val="auto"/>
                <w:sz w:val="18"/>
                <w:szCs w:val="18"/>
                <w:highlight w:val="none"/>
                <w:u w:val="none"/>
              </w:rPr>
            </w:pPr>
          </w:p>
        </w:tc>
        <w:tc>
          <w:tcPr>
            <w:tcW w:w="353" w:type="dxa"/>
          </w:tcPr>
          <w:p>
            <w:pPr>
              <w:widowControl/>
              <w:jc w:val="center"/>
              <w:rPr>
                <w:rFonts w:ascii="Times New Roman" w:hAnsi="Times New Roman" w:eastAsia="宋体" w:cs="Times New Roman"/>
                <w:color w:val="auto"/>
                <w:sz w:val="18"/>
                <w:szCs w:val="18"/>
                <w:highlight w:val="none"/>
                <w:u w:val="none"/>
              </w:rPr>
            </w:pPr>
          </w:p>
        </w:tc>
        <w:tc>
          <w:tcPr>
            <w:tcW w:w="397" w:type="dxa"/>
          </w:tcPr>
          <w:p>
            <w:pPr>
              <w:widowControl/>
              <w:jc w:val="center"/>
              <w:rPr>
                <w:rFonts w:ascii="Times New Roman" w:hAnsi="Times New Roman" w:eastAsia="宋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396" w:type="dxa"/>
          </w:tcPr>
          <w:p>
            <w:pPr>
              <w:widowControl/>
              <w:jc w:val="center"/>
              <w:rPr>
                <w:rFonts w:ascii="Times New Roman" w:hAnsi="Times New Roman" w:eastAsia="微软雅黑" w:cs="Times New Roman"/>
                <w:color w:val="auto"/>
                <w:sz w:val="18"/>
                <w:szCs w:val="18"/>
                <w:highlight w:val="none"/>
                <w:u w:val="none"/>
              </w:rPr>
            </w:pPr>
          </w:p>
        </w:tc>
        <w:tc>
          <w:tcPr>
            <w:tcW w:w="396" w:type="dxa"/>
          </w:tcPr>
          <w:p>
            <w:pPr>
              <w:widowControl/>
              <w:jc w:val="center"/>
              <w:rPr>
                <w:rFonts w:ascii="Times New Roman" w:hAnsi="Times New Roman" w:eastAsia="微软雅黑" w:cs="Times New Roman"/>
                <w:color w:val="auto"/>
                <w:sz w:val="18"/>
                <w:szCs w:val="18"/>
                <w:highlight w:val="none"/>
                <w:u w:val="none"/>
              </w:rPr>
            </w:pPr>
          </w:p>
        </w:tc>
        <w:tc>
          <w:tcPr>
            <w:tcW w:w="454" w:type="dxa"/>
          </w:tcPr>
          <w:p>
            <w:pPr>
              <w:widowControl/>
              <w:jc w:val="center"/>
              <w:rPr>
                <w:rFonts w:ascii="Times New Roman" w:hAnsi="Times New Roman" w:eastAsia="宋体" w:cs="Times New Roman"/>
                <w:color w:val="auto"/>
                <w:sz w:val="18"/>
                <w:szCs w:val="18"/>
                <w:highlight w:val="none"/>
                <w:u w:val="none"/>
              </w:rPr>
            </w:pPr>
          </w:p>
        </w:tc>
        <w:tc>
          <w:tcPr>
            <w:tcW w:w="454" w:type="dxa"/>
          </w:tcPr>
          <w:p>
            <w:pPr>
              <w:widowControl/>
              <w:jc w:val="center"/>
              <w:rPr>
                <w:rFonts w:ascii="Times New Roman" w:hAnsi="Times New Roman" w:eastAsia="宋体" w:cs="Times New Roman"/>
                <w:color w:val="auto"/>
                <w:sz w:val="18"/>
                <w:szCs w:val="18"/>
                <w:highlight w:val="none"/>
                <w:u w:val="none"/>
              </w:rPr>
            </w:pPr>
          </w:p>
        </w:tc>
        <w:tc>
          <w:tcPr>
            <w:tcW w:w="454" w:type="dxa"/>
          </w:tcPr>
          <w:p>
            <w:pPr>
              <w:widowControl/>
              <w:jc w:val="center"/>
              <w:rPr>
                <w:rFonts w:ascii="Times New Roman" w:hAnsi="Times New Roman" w:eastAsia="宋体" w:cs="Times New Roman"/>
                <w:color w:val="auto"/>
                <w:sz w:val="18"/>
                <w:szCs w:val="18"/>
                <w:highlight w:val="none"/>
                <w:u w:val="none"/>
              </w:rPr>
            </w:pPr>
          </w:p>
        </w:tc>
        <w:tc>
          <w:tcPr>
            <w:tcW w:w="388" w:type="dxa"/>
          </w:tcPr>
          <w:p>
            <w:pPr>
              <w:widowControl/>
              <w:jc w:val="center"/>
              <w:rPr>
                <w:rFonts w:ascii="Times New Roman" w:hAnsi="Times New Roman" w:eastAsia="宋体" w:cs="Times New Roman"/>
                <w:color w:val="auto"/>
                <w:sz w:val="18"/>
                <w:szCs w:val="18"/>
                <w:highlight w:val="none"/>
                <w:u w:val="none"/>
              </w:rPr>
            </w:pPr>
          </w:p>
        </w:tc>
        <w:tc>
          <w:tcPr>
            <w:tcW w:w="428" w:type="dxa"/>
          </w:tcPr>
          <w:p>
            <w:pPr>
              <w:widowControl/>
              <w:jc w:val="center"/>
              <w:rPr>
                <w:rFonts w:ascii="Times New Roman" w:hAnsi="Times New Roman" w:eastAsia="宋体" w:cs="Times New Roman"/>
                <w:color w:val="auto"/>
                <w:sz w:val="18"/>
                <w:szCs w:val="18"/>
                <w:highlight w:val="none"/>
                <w:u w:val="none"/>
              </w:rPr>
            </w:pPr>
          </w:p>
        </w:tc>
        <w:tc>
          <w:tcPr>
            <w:tcW w:w="429" w:type="dxa"/>
          </w:tcPr>
          <w:p>
            <w:pPr>
              <w:widowControl/>
              <w:jc w:val="center"/>
              <w:rPr>
                <w:rFonts w:ascii="Times New Roman" w:hAnsi="Times New Roman" w:eastAsia="宋体" w:cs="Times New Roman"/>
                <w:color w:val="auto"/>
                <w:sz w:val="18"/>
                <w:szCs w:val="18"/>
                <w:highlight w:val="none"/>
                <w:u w:val="none"/>
              </w:rPr>
            </w:pPr>
          </w:p>
        </w:tc>
        <w:tc>
          <w:tcPr>
            <w:tcW w:w="514" w:type="dxa"/>
          </w:tcPr>
          <w:p>
            <w:pPr>
              <w:widowControl/>
              <w:jc w:val="center"/>
              <w:rPr>
                <w:rFonts w:ascii="Times New Roman" w:hAnsi="Times New Roman" w:eastAsia="宋体" w:cs="Times New Roman"/>
                <w:color w:val="auto"/>
                <w:sz w:val="18"/>
                <w:szCs w:val="18"/>
                <w:highlight w:val="none"/>
                <w:u w:val="none"/>
              </w:rPr>
            </w:pPr>
          </w:p>
        </w:tc>
        <w:tc>
          <w:tcPr>
            <w:tcW w:w="429" w:type="dxa"/>
          </w:tcPr>
          <w:p>
            <w:pPr>
              <w:widowControl/>
              <w:jc w:val="center"/>
              <w:rPr>
                <w:rFonts w:ascii="Times New Roman" w:hAnsi="Times New Roman" w:eastAsia="宋体" w:cs="Times New Roman"/>
                <w:color w:val="auto"/>
                <w:sz w:val="18"/>
                <w:szCs w:val="18"/>
                <w:highlight w:val="none"/>
                <w:u w:val="none"/>
              </w:rPr>
            </w:pPr>
          </w:p>
        </w:tc>
        <w:tc>
          <w:tcPr>
            <w:tcW w:w="471" w:type="dxa"/>
          </w:tcPr>
          <w:p>
            <w:pPr>
              <w:widowControl/>
              <w:jc w:val="center"/>
              <w:rPr>
                <w:rFonts w:ascii="Times New Roman" w:hAnsi="Times New Roman" w:eastAsia="宋体" w:cs="Times New Roman"/>
                <w:color w:val="auto"/>
                <w:sz w:val="18"/>
                <w:szCs w:val="18"/>
                <w:highlight w:val="none"/>
                <w:u w:val="none"/>
              </w:rPr>
            </w:pPr>
          </w:p>
        </w:tc>
        <w:tc>
          <w:tcPr>
            <w:tcW w:w="407" w:type="dxa"/>
          </w:tcPr>
          <w:p>
            <w:pPr>
              <w:widowControl/>
              <w:jc w:val="center"/>
              <w:rPr>
                <w:rFonts w:ascii="Times New Roman" w:hAnsi="Times New Roman" w:eastAsia="宋体" w:cs="Times New Roman"/>
                <w:color w:val="auto"/>
                <w:sz w:val="18"/>
                <w:szCs w:val="18"/>
                <w:highlight w:val="none"/>
                <w:u w:val="none"/>
              </w:rPr>
            </w:pPr>
          </w:p>
        </w:tc>
        <w:tc>
          <w:tcPr>
            <w:tcW w:w="482" w:type="dxa"/>
          </w:tcPr>
          <w:p>
            <w:pPr>
              <w:widowControl/>
              <w:jc w:val="center"/>
              <w:rPr>
                <w:rFonts w:ascii="Times New Roman" w:hAnsi="Times New Roman" w:eastAsia="宋体" w:cs="Times New Roman"/>
                <w:color w:val="auto"/>
                <w:sz w:val="18"/>
                <w:szCs w:val="18"/>
                <w:highlight w:val="none"/>
                <w:u w:val="none"/>
              </w:rPr>
            </w:pPr>
          </w:p>
        </w:tc>
        <w:tc>
          <w:tcPr>
            <w:tcW w:w="440" w:type="dxa"/>
          </w:tcPr>
          <w:p>
            <w:pPr>
              <w:widowControl/>
              <w:jc w:val="center"/>
              <w:rPr>
                <w:rFonts w:ascii="Times New Roman" w:hAnsi="Times New Roman" w:eastAsia="宋体" w:cs="Times New Roman"/>
                <w:color w:val="auto"/>
                <w:sz w:val="18"/>
                <w:szCs w:val="18"/>
                <w:highlight w:val="none"/>
                <w:u w:val="none"/>
              </w:rPr>
            </w:pPr>
          </w:p>
        </w:tc>
        <w:tc>
          <w:tcPr>
            <w:tcW w:w="407" w:type="dxa"/>
          </w:tcPr>
          <w:p>
            <w:pPr>
              <w:widowControl/>
              <w:jc w:val="center"/>
              <w:rPr>
                <w:rFonts w:ascii="Times New Roman" w:hAnsi="Times New Roman" w:eastAsia="宋体" w:cs="Times New Roman"/>
                <w:color w:val="auto"/>
                <w:sz w:val="18"/>
                <w:szCs w:val="18"/>
                <w:highlight w:val="none"/>
                <w:u w:val="none"/>
              </w:rPr>
            </w:pPr>
          </w:p>
        </w:tc>
        <w:tc>
          <w:tcPr>
            <w:tcW w:w="611" w:type="dxa"/>
          </w:tcPr>
          <w:p>
            <w:pPr>
              <w:widowControl/>
              <w:jc w:val="center"/>
              <w:rPr>
                <w:rFonts w:ascii="Times New Roman" w:hAnsi="Times New Roman" w:eastAsia="宋体" w:cs="Times New Roman"/>
                <w:color w:val="auto"/>
                <w:sz w:val="18"/>
                <w:szCs w:val="18"/>
                <w:highlight w:val="none"/>
                <w:u w:val="none"/>
              </w:rPr>
            </w:pPr>
          </w:p>
        </w:tc>
        <w:tc>
          <w:tcPr>
            <w:tcW w:w="385" w:type="dxa"/>
          </w:tcPr>
          <w:p>
            <w:pPr>
              <w:widowControl/>
              <w:jc w:val="center"/>
              <w:rPr>
                <w:rFonts w:ascii="Times New Roman" w:hAnsi="Times New Roman" w:eastAsia="宋体" w:cs="Times New Roman"/>
                <w:color w:val="auto"/>
                <w:sz w:val="18"/>
                <w:szCs w:val="18"/>
                <w:highlight w:val="none"/>
                <w:u w:val="none"/>
              </w:rPr>
            </w:pPr>
          </w:p>
        </w:tc>
        <w:tc>
          <w:tcPr>
            <w:tcW w:w="579" w:type="dxa"/>
          </w:tcPr>
          <w:p>
            <w:pPr>
              <w:widowControl/>
              <w:jc w:val="center"/>
              <w:rPr>
                <w:rFonts w:ascii="Times New Roman" w:hAnsi="Times New Roman" w:eastAsia="宋体" w:cs="Times New Roman"/>
                <w:color w:val="auto"/>
                <w:sz w:val="18"/>
                <w:szCs w:val="18"/>
                <w:highlight w:val="none"/>
                <w:u w:val="none"/>
              </w:rPr>
            </w:pPr>
          </w:p>
        </w:tc>
        <w:tc>
          <w:tcPr>
            <w:tcW w:w="578" w:type="dxa"/>
          </w:tcPr>
          <w:p>
            <w:pPr>
              <w:widowControl/>
              <w:jc w:val="center"/>
              <w:rPr>
                <w:rFonts w:ascii="Times New Roman" w:hAnsi="Times New Roman" w:eastAsia="宋体" w:cs="Times New Roman"/>
                <w:color w:val="auto"/>
                <w:sz w:val="18"/>
                <w:szCs w:val="18"/>
                <w:highlight w:val="none"/>
                <w:u w:val="none"/>
              </w:rPr>
            </w:pPr>
          </w:p>
        </w:tc>
        <w:tc>
          <w:tcPr>
            <w:tcW w:w="397" w:type="dxa"/>
          </w:tcPr>
          <w:p>
            <w:pPr>
              <w:widowControl/>
              <w:jc w:val="center"/>
              <w:rPr>
                <w:rFonts w:ascii="Times New Roman" w:hAnsi="Times New Roman" w:eastAsia="宋体" w:cs="Times New Roman"/>
                <w:color w:val="auto"/>
                <w:sz w:val="18"/>
                <w:szCs w:val="18"/>
                <w:highlight w:val="none"/>
                <w:u w:val="none"/>
              </w:rPr>
            </w:pPr>
          </w:p>
        </w:tc>
        <w:tc>
          <w:tcPr>
            <w:tcW w:w="375" w:type="dxa"/>
          </w:tcPr>
          <w:p>
            <w:pPr>
              <w:widowControl/>
              <w:jc w:val="center"/>
              <w:rPr>
                <w:rFonts w:ascii="Times New Roman" w:hAnsi="Times New Roman" w:eastAsia="宋体" w:cs="Times New Roman"/>
                <w:color w:val="auto"/>
                <w:sz w:val="18"/>
                <w:szCs w:val="18"/>
                <w:highlight w:val="none"/>
                <w:u w:val="none"/>
              </w:rPr>
            </w:pPr>
          </w:p>
        </w:tc>
        <w:tc>
          <w:tcPr>
            <w:tcW w:w="621" w:type="dxa"/>
          </w:tcPr>
          <w:p>
            <w:pPr>
              <w:widowControl/>
              <w:jc w:val="center"/>
              <w:rPr>
                <w:rFonts w:ascii="Times New Roman" w:hAnsi="Times New Roman" w:eastAsia="宋体" w:cs="Times New Roman"/>
                <w:color w:val="auto"/>
                <w:sz w:val="18"/>
                <w:szCs w:val="18"/>
                <w:highlight w:val="none"/>
                <w:u w:val="none"/>
              </w:rPr>
            </w:pPr>
          </w:p>
        </w:tc>
        <w:tc>
          <w:tcPr>
            <w:tcW w:w="397" w:type="dxa"/>
          </w:tcPr>
          <w:p>
            <w:pPr>
              <w:widowControl/>
              <w:jc w:val="center"/>
              <w:rPr>
                <w:rFonts w:ascii="Times New Roman" w:hAnsi="Times New Roman" w:eastAsia="宋体" w:cs="Times New Roman"/>
                <w:color w:val="auto"/>
                <w:sz w:val="18"/>
                <w:szCs w:val="18"/>
                <w:highlight w:val="none"/>
                <w:u w:val="none"/>
              </w:rPr>
            </w:pPr>
          </w:p>
        </w:tc>
        <w:tc>
          <w:tcPr>
            <w:tcW w:w="610" w:type="dxa"/>
          </w:tcPr>
          <w:p>
            <w:pPr>
              <w:widowControl/>
              <w:jc w:val="center"/>
              <w:rPr>
                <w:rFonts w:ascii="Times New Roman" w:hAnsi="Times New Roman" w:eastAsia="宋体" w:cs="Times New Roman"/>
                <w:color w:val="auto"/>
                <w:sz w:val="18"/>
                <w:szCs w:val="18"/>
                <w:highlight w:val="none"/>
                <w:u w:val="none"/>
              </w:rPr>
            </w:pPr>
          </w:p>
        </w:tc>
        <w:tc>
          <w:tcPr>
            <w:tcW w:w="389" w:type="dxa"/>
          </w:tcPr>
          <w:p>
            <w:pPr>
              <w:widowControl/>
              <w:jc w:val="center"/>
              <w:rPr>
                <w:rFonts w:ascii="Times New Roman" w:hAnsi="Times New Roman" w:eastAsia="宋体" w:cs="Times New Roman"/>
                <w:color w:val="auto"/>
                <w:sz w:val="18"/>
                <w:szCs w:val="18"/>
                <w:highlight w:val="none"/>
                <w:u w:val="none"/>
              </w:rPr>
            </w:pPr>
          </w:p>
        </w:tc>
        <w:tc>
          <w:tcPr>
            <w:tcW w:w="482" w:type="dxa"/>
          </w:tcPr>
          <w:p>
            <w:pPr>
              <w:widowControl/>
              <w:jc w:val="center"/>
              <w:rPr>
                <w:rFonts w:ascii="Times New Roman" w:hAnsi="Times New Roman" w:eastAsia="宋体" w:cs="Times New Roman"/>
                <w:color w:val="auto"/>
                <w:sz w:val="18"/>
                <w:szCs w:val="18"/>
                <w:highlight w:val="none"/>
                <w:u w:val="none"/>
              </w:rPr>
            </w:pPr>
          </w:p>
        </w:tc>
        <w:tc>
          <w:tcPr>
            <w:tcW w:w="675" w:type="dxa"/>
            <w:gridSpan w:val="2"/>
          </w:tcPr>
          <w:p>
            <w:pPr>
              <w:widowControl/>
              <w:jc w:val="center"/>
              <w:rPr>
                <w:rFonts w:ascii="Times New Roman" w:hAnsi="Times New Roman" w:eastAsia="宋体" w:cs="Times New Roman"/>
                <w:color w:val="auto"/>
                <w:sz w:val="18"/>
                <w:szCs w:val="18"/>
                <w:highlight w:val="none"/>
                <w:u w:val="none"/>
              </w:rPr>
            </w:pPr>
          </w:p>
        </w:tc>
        <w:tc>
          <w:tcPr>
            <w:tcW w:w="461" w:type="dxa"/>
          </w:tcPr>
          <w:p>
            <w:pPr>
              <w:widowControl/>
              <w:jc w:val="center"/>
              <w:rPr>
                <w:rFonts w:ascii="Times New Roman" w:hAnsi="Times New Roman" w:eastAsia="宋体" w:cs="Times New Roman"/>
                <w:color w:val="auto"/>
                <w:sz w:val="18"/>
                <w:szCs w:val="18"/>
                <w:highlight w:val="none"/>
                <w:u w:val="none"/>
              </w:rPr>
            </w:pPr>
          </w:p>
        </w:tc>
        <w:tc>
          <w:tcPr>
            <w:tcW w:w="429" w:type="dxa"/>
          </w:tcPr>
          <w:p>
            <w:pPr>
              <w:widowControl/>
              <w:jc w:val="center"/>
              <w:rPr>
                <w:rFonts w:ascii="Times New Roman" w:hAnsi="Times New Roman" w:eastAsia="宋体" w:cs="Times New Roman"/>
                <w:color w:val="auto"/>
                <w:sz w:val="18"/>
                <w:szCs w:val="18"/>
                <w:highlight w:val="none"/>
                <w:u w:val="none"/>
              </w:rPr>
            </w:pPr>
          </w:p>
        </w:tc>
        <w:tc>
          <w:tcPr>
            <w:tcW w:w="353" w:type="dxa"/>
          </w:tcPr>
          <w:p>
            <w:pPr>
              <w:widowControl/>
              <w:jc w:val="center"/>
              <w:rPr>
                <w:rFonts w:ascii="Times New Roman" w:hAnsi="Times New Roman" w:eastAsia="宋体" w:cs="Times New Roman"/>
                <w:color w:val="auto"/>
                <w:sz w:val="18"/>
                <w:szCs w:val="18"/>
                <w:highlight w:val="none"/>
                <w:u w:val="none"/>
              </w:rPr>
            </w:pPr>
          </w:p>
        </w:tc>
        <w:tc>
          <w:tcPr>
            <w:tcW w:w="397" w:type="dxa"/>
          </w:tcPr>
          <w:p>
            <w:pPr>
              <w:widowControl/>
              <w:jc w:val="center"/>
              <w:rPr>
                <w:rFonts w:ascii="Times New Roman" w:hAnsi="Times New Roman" w:eastAsia="宋体" w:cs="Times New Roman"/>
                <w:color w:val="auto"/>
                <w:sz w:val="18"/>
                <w:szCs w:val="18"/>
                <w:highlight w:val="none"/>
                <w:u w:val="none"/>
              </w:rPr>
            </w:pPr>
          </w:p>
        </w:tc>
      </w:tr>
    </w:tbl>
    <w:p>
      <w:pPr>
        <w:widowControl/>
        <w:spacing w:line="20" w:lineRule="exact"/>
        <w:rPr>
          <w:rFonts w:ascii="Times New Roman" w:hAnsi="Times New Roman" w:cs="Times New Roman"/>
          <w:color w:val="auto"/>
          <w:sz w:val="28"/>
          <w:szCs w:val="28"/>
          <w:highlight w:val="none"/>
          <w:u w:val="none"/>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仿宋">
    <w:altName w:val="方正仿宋_GBK"/>
    <w:panose1 w:val="00000000000000000000"/>
    <w:charset w:val="00"/>
    <w:family w:val="auto"/>
    <w:pitch w:val="default"/>
    <w:sig w:usb0="00000000" w:usb1="00000000" w:usb2="0000001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00"/>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- 18 -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- 18 -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D9"/>
    <w:rsid w:val="0020767C"/>
    <w:rsid w:val="00252A74"/>
    <w:rsid w:val="002942ED"/>
    <w:rsid w:val="002B106F"/>
    <w:rsid w:val="002C2123"/>
    <w:rsid w:val="002C3E57"/>
    <w:rsid w:val="002F2799"/>
    <w:rsid w:val="003041D9"/>
    <w:rsid w:val="0033434A"/>
    <w:rsid w:val="00394E3F"/>
    <w:rsid w:val="004B0B87"/>
    <w:rsid w:val="00543058"/>
    <w:rsid w:val="00543950"/>
    <w:rsid w:val="005D46FA"/>
    <w:rsid w:val="005D4B1F"/>
    <w:rsid w:val="00630E79"/>
    <w:rsid w:val="00690C34"/>
    <w:rsid w:val="00692C29"/>
    <w:rsid w:val="007148CA"/>
    <w:rsid w:val="007755F5"/>
    <w:rsid w:val="00792ADF"/>
    <w:rsid w:val="007970C2"/>
    <w:rsid w:val="0082449E"/>
    <w:rsid w:val="00854A9A"/>
    <w:rsid w:val="008E1335"/>
    <w:rsid w:val="008E7598"/>
    <w:rsid w:val="0097262D"/>
    <w:rsid w:val="00BF3016"/>
    <w:rsid w:val="00C2068E"/>
    <w:rsid w:val="00C40E21"/>
    <w:rsid w:val="00C44BC1"/>
    <w:rsid w:val="00D0671E"/>
    <w:rsid w:val="00D32737"/>
    <w:rsid w:val="00D64CE1"/>
    <w:rsid w:val="00E330D8"/>
    <w:rsid w:val="00EE4BC3"/>
    <w:rsid w:val="00F06F4C"/>
    <w:rsid w:val="00F517B1"/>
    <w:rsid w:val="00F852B4"/>
    <w:rsid w:val="1BBF9164"/>
    <w:rsid w:val="1CB7F5FF"/>
    <w:rsid w:val="1FB457E6"/>
    <w:rsid w:val="1FB81869"/>
    <w:rsid w:val="1FEB9C32"/>
    <w:rsid w:val="2638C4A6"/>
    <w:rsid w:val="2A3F6258"/>
    <w:rsid w:val="2B56441E"/>
    <w:rsid w:val="2FE7A94C"/>
    <w:rsid w:val="326FA145"/>
    <w:rsid w:val="34DF85DA"/>
    <w:rsid w:val="36217EF6"/>
    <w:rsid w:val="37F15930"/>
    <w:rsid w:val="3EFF8239"/>
    <w:rsid w:val="3FFDBC26"/>
    <w:rsid w:val="3FFFEBA2"/>
    <w:rsid w:val="4BDE6C06"/>
    <w:rsid w:val="4C8113F1"/>
    <w:rsid w:val="4DFF09F3"/>
    <w:rsid w:val="4EFC83D2"/>
    <w:rsid w:val="54CFEE97"/>
    <w:rsid w:val="553F9559"/>
    <w:rsid w:val="57CE2F8C"/>
    <w:rsid w:val="57EBD0D0"/>
    <w:rsid w:val="59074B11"/>
    <w:rsid w:val="5BB551F2"/>
    <w:rsid w:val="5C560DEF"/>
    <w:rsid w:val="5D77DA0C"/>
    <w:rsid w:val="5DDB9804"/>
    <w:rsid w:val="5EBE80CB"/>
    <w:rsid w:val="5FBD6409"/>
    <w:rsid w:val="62E3859F"/>
    <w:rsid w:val="6359C513"/>
    <w:rsid w:val="64F72E42"/>
    <w:rsid w:val="6B6B0407"/>
    <w:rsid w:val="6BDBF1C7"/>
    <w:rsid w:val="6BEE62CE"/>
    <w:rsid w:val="6DD6A510"/>
    <w:rsid w:val="6DFACCA3"/>
    <w:rsid w:val="6E2FF3FF"/>
    <w:rsid w:val="6EEF3ABE"/>
    <w:rsid w:val="6EF7EB1C"/>
    <w:rsid w:val="6EFB3CDD"/>
    <w:rsid w:val="6F6E88CD"/>
    <w:rsid w:val="6F6EC6FA"/>
    <w:rsid w:val="6F6F3E73"/>
    <w:rsid w:val="6FF18244"/>
    <w:rsid w:val="6FFF5AEB"/>
    <w:rsid w:val="737FD204"/>
    <w:rsid w:val="73BDF133"/>
    <w:rsid w:val="73DB0B7D"/>
    <w:rsid w:val="746E0523"/>
    <w:rsid w:val="74FF8CE0"/>
    <w:rsid w:val="75FFE5B7"/>
    <w:rsid w:val="76EB3A4C"/>
    <w:rsid w:val="76EFA527"/>
    <w:rsid w:val="778A5491"/>
    <w:rsid w:val="77BB6777"/>
    <w:rsid w:val="77BD0FC2"/>
    <w:rsid w:val="77CB4955"/>
    <w:rsid w:val="77EF4DA7"/>
    <w:rsid w:val="77FB991A"/>
    <w:rsid w:val="77FDECA4"/>
    <w:rsid w:val="77FE5BCB"/>
    <w:rsid w:val="77FFC8D2"/>
    <w:rsid w:val="78EE6AD3"/>
    <w:rsid w:val="78EFCA0E"/>
    <w:rsid w:val="78F53A4A"/>
    <w:rsid w:val="79ED3F22"/>
    <w:rsid w:val="7AD6E7E6"/>
    <w:rsid w:val="7BEE70AD"/>
    <w:rsid w:val="7BF3EB4C"/>
    <w:rsid w:val="7BFDF132"/>
    <w:rsid w:val="7CFFD6DE"/>
    <w:rsid w:val="7D754B38"/>
    <w:rsid w:val="7D7F9E78"/>
    <w:rsid w:val="7DB019C5"/>
    <w:rsid w:val="7DB2E52E"/>
    <w:rsid w:val="7DBF2FD2"/>
    <w:rsid w:val="7DD9739C"/>
    <w:rsid w:val="7DF7DF1A"/>
    <w:rsid w:val="7DFB04F6"/>
    <w:rsid w:val="7DFC06E4"/>
    <w:rsid w:val="7DFF33DA"/>
    <w:rsid w:val="7EBCE725"/>
    <w:rsid w:val="7EDC72BD"/>
    <w:rsid w:val="7EFFDE36"/>
    <w:rsid w:val="7F3729C4"/>
    <w:rsid w:val="7F6ED6D2"/>
    <w:rsid w:val="7F723E97"/>
    <w:rsid w:val="7F7A04EB"/>
    <w:rsid w:val="7F7C725A"/>
    <w:rsid w:val="7FB53ECE"/>
    <w:rsid w:val="7FB5B903"/>
    <w:rsid w:val="7FBEC555"/>
    <w:rsid w:val="7FBF2B9F"/>
    <w:rsid w:val="7FD7A975"/>
    <w:rsid w:val="7FDD43F1"/>
    <w:rsid w:val="7FDE22E3"/>
    <w:rsid w:val="7FEFDEAF"/>
    <w:rsid w:val="7FF7495A"/>
    <w:rsid w:val="7FF77B63"/>
    <w:rsid w:val="7FF7F4D3"/>
    <w:rsid w:val="7FFBC274"/>
    <w:rsid w:val="7FFD236C"/>
    <w:rsid w:val="7FFF5590"/>
    <w:rsid w:val="7FFF8BBE"/>
    <w:rsid w:val="7FFF9A9A"/>
    <w:rsid w:val="7FFFF3A0"/>
    <w:rsid w:val="8DBFD4D5"/>
    <w:rsid w:val="8FAF4363"/>
    <w:rsid w:val="95F7AC7C"/>
    <w:rsid w:val="97BF99A0"/>
    <w:rsid w:val="97FA2C5B"/>
    <w:rsid w:val="9BBFB6CE"/>
    <w:rsid w:val="9DC7277C"/>
    <w:rsid w:val="9FDB8F06"/>
    <w:rsid w:val="9FEFB27B"/>
    <w:rsid w:val="ADC94388"/>
    <w:rsid w:val="AF9F9DA8"/>
    <w:rsid w:val="B3E3F051"/>
    <w:rsid w:val="B77C649B"/>
    <w:rsid w:val="B7FAE94D"/>
    <w:rsid w:val="B8FAF162"/>
    <w:rsid w:val="B939A33E"/>
    <w:rsid w:val="BAEE7B14"/>
    <w:rsid w:val="BBAFDBCB"/>
    <w:rsid w:val="BBD73FF7"/>
    <w:rsid w:val="BBF2FDA0"/>
    <w:rsid w:val="BDA77C4C"/>
    <w:rsid w:val="BED2ADD1"/>
    <w:rsid w:val="BEF5F211"/>
    <w:rsid w:val="BF4BC16A"/>
    <w:rsid w:val="BF9F5CE2"/>
    <w:rsid w:val="C54B620B"/>
    <w:rsid w:val="CB9D6F42"/>
    <w:rsid w:val="CC3EDC0F"/>
    <w:rsid w:val="CD7D5D43"/>
    <w:rsid w:val="D3D67823"/>
    <w:rsid w:val="D78FF255"/>
    <w:rsid w:val="D7DF67A6"/>
    <w:rsid w:val="D7FDC3FB"/>
    <w:rsid w:val="DAE94ACC"/>
    <w:rsid w:val="DB5F4AF0"/>
    <w:rsid w:val="DEBF3BC2"/>
    <w:rsid w:val="DF3E20D7"/>
    <w:rsid w:val="DF3F45EA"/>
    <w:rsid w:val="DFBFF4B0"/>
    <w:rsid w:val="DFF7BE0A"/>
    <w:rsid w:val="DFFCDB43"/>
    <w:rsid w:val="E8F1026C"/>
    <w:rsid w:val="E9FF576E"/>
    <w:rsid w:val="EBFF36EC"/>
    <w:rsid w:val="EF5694FA"/>
    <w:rsid w:val="EFCE7564"/>
    <w:rsid w:val="EFDB9DDD"/>
    <w:rsid w:val="EFDE8AA4"/>
    <w:rsid w:val="F3E908F4"/>
    <w:rsid w:val="F77BA419"/>
    <w:rsid w:val="F7F79299"/>
    <w:rsid w:val="F7FF9012"/>
    <w:rsid w:val="F8DDC9ED"/>
    <w:rsid w:val="F9DFF868"/>
    <w:rsid w:val="F9FEDD67"/>
    <w:rsid w:val="FADF638F"/>
    <w:rsid w:val="FB7F875E"/>
    <w:rsid w:val="FBC8077D"/>
    <w:rsid w:val="FBE5E247"/>
    <w:rsid w:val="FBEED043"/>
    <w:rsid w:val="FBFBB804"/>
    <w:rsid w:val="FD321044"/>
    <w:rsid w:val="FD3F5B16"/>
    <w:rsid w:val="FD7E1A5F"/>
    <w:rsid w:val="FD7F13BD"/>
    <w:rsid w:val="FD7FE7AD"/>
    <w:rsid w:val="FDAB5A53"/>
    <w:rsid w:val="FDBE24E2"/>
    <w:rsid w:val="FDF6E99C"/>
    <w:rsid w:val="FDFF3FE9"/>
    <w:rsid w:val="FEA7A112"/>
    <w:rsid w:val="FEDBCC73"/>
    <w:rsid w:val="FEFDEDEF"/>
    <w:rsid w:val="FF2710F7"/>
    <w:rsid w:val="FF57275C"/>
    <w:rsid w:val="FF675CAF"/>
    <w:rsid w:val="FF6E2384"/>
    <w:rsid w:val="FF7D887A"/>
    <w:rsid w:val="FFB3E98A"/>
    <w:rsid w:val="FFBEA25C"/>
    <w:rsid w:val="FFCE9192"/>
    <w:rsid w:val="FFD36510"/>
    <w:rsid w:val="FFD80E6A"/>
    <w:rsid w:val="FFDCDE91"/>
    <w:rsid w:val="FFEC825F"/>
    <w:rsid w:val="FFEF99C2"/>
    <w:rsid w:val="FFF5DF7A"/>
    <w:rsid w:val="FFF7BBC9"/>
    <w:rsid w:val="FFF7BD10"/>
    <w:rsid w:val="FFFB750E"/>
    <w:rsid w:val="FFFE5D01"/>
    <w:rsid w:val="FFFF839C"/>
    <w:rsid w:val="FFFFCC0E"/>
    <w:rsid w:val="FFFFCEC1"/>
    <w:rsid w:val="FFFFD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szCs w:val="24"/>
    </w:rPr>
  </w:style>
  <w:style w:type="paragraph" w:styleId="3">
    <w:name w:val="annotation text"/>
    <w:basedOn w:val="1"/>
    <w:semiHidden/>
    <w:unhideWhenUsed/>
    <w:qFormat/>
    <w:uiPriority w:val="99"/>
    <w:pPr>
      <w:jc w:val="left"/>
    </w:pPr>
  </w:style>
  <w:style w:type="paragraph" w:styleId="4">
    <w:name w:val="Body Text Indent"/>
    <w:basedOn w:val="1"/>
    <w:next w:val="1"/>
    <w:qFormat/>
    <w:uiPriority w:val="0"/>
    <w:pPr>
      <w:spacing w:line="150" w:lineRule="atLeast"/>
      <w:ind w:firstLine="420" w:firstLineChars="200"/>
      <w:textAlignment w:val="baseline"/>
    </w:pPr>
    <w:rPr>
      <w:szCs w:val="24"/>
    </w:rPr>
  </w:style>
  <w:style w:type="paragraph" w:styleId="5">
    <w:name w:val="Balloon Text"/>
    <w:basedOn w:val="1"/>
    <w:link w:val="17"/>
    <w:semiHidden/>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4"/>
    <w:qFormat/>
    <w:uiPriority w:val="0"/>
    <w:pPr>
      <w:spacing w:before="120" w:after="120"/>
      <w:jc w:val="center"/>
      <w:outlineLvl w:val="0"/>
    </w:pPr>
    <w:rPr>
      <w:rFonts w:ascii="等线 Light" w:hAnsi="等线 Light" w:eastAsia="等线 Light" w:cs="等线 Light"/>
      <w:color w:val="000000"/>
      <w:sz w:val="44"/>
      <w:szCs w:val="4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customStyle="1" w:styleId="13">
    <w:name w:val="font41"/>
    <w:basedOn w:val="11"/>
    <w:qFormat/>
    <w:uiPriority w:val="0"/>
    <w:rPr>
      <w:rFonts w:hint="eastAsia" w:ascii="微软雅黑" w:hAnsi="微软雅黑" w:eastAsia="微软雅黑"/>
      <w:color w:val="000000"/>
      <w:sz w:val="28"/>
      <w:szCs w:val="28"/>
      <w:u w:val="single"/>
    </w:rPr>
  </w:style>
  <w:style w:type="character" w:customStyle="1" w:styleId="14">
    <w:name w:val="font11"/>
    <w:basedOn w:val="11"/>
    <w:qFormat/>
    <w:uiPriority w:val="0"/>
    <w:rPr>
      <w:rFonts w:hint="eastAsia" w:ascii="微软雅黑" w:hAnsi="微软雅黑" w:eastAsia="微软雅黑"/>
      <w:color w:val="000000"/>
      <w:sz w:val="28"/>
      <w:szCs w:val="28"/>
      <w:u w:val="none"/>
    </w:rPr>
  </w:style>
  <w:style w:type="character" w:customStyle="1" w:styleId="15">
    <w:name w:val="font21"/>
    <w:basedOn w:val="11"/>
    <w:qFormat/>
    <w:uiPriority w:val="0"/>
    <w:rPr>
      <w:rFonts w:hint="eastAsia" w:ascii="微软雅黑" w:hAnsi="微软雅黑" w:eastAsia="微软雅黑"/>
      <w:color w:val="000000"/>
      <w:sz w:val="22"/>
      <w:szCs w:val="22"/>
      <w:u w:val="none"/>
    </w:rPr>
  </w:style>
  <w:style w:type="character" w:customStyle="1" w:styleId="16">
    <w:name w:val="font51"/>
    <w:basedOn w:val="11"/>
    <w:qFormat/>
    <w:uiPriority w:val="0"/>
    <w:rPr>
      <w:rFonts w:hint="eastAsia" w:ascii="微软雅黑" w:hAnsi="微软雅黑" w:eastAsia="微软雅黑"/>
      <w:i/>
      <w:iCs/>
      <w:color w:val="000000"/>
      <w:sz w:val="22"/>
      <w:szCs w:val="22"/>
      <w:u w:val="none"/>
    </w:rPr>
  </w:style>
  <w:style w:type="character" w:customStyle="1" w:styleId="17">
    <w:name w:val="批注框文本 Char"/>
    <w:basedOn w:val="11"/>
    <w:link w:val="5"/>
    <w:semiHidden/>
    <w:qFormat/>
    <w:uiPriority w:val="99"/>
    <w:rPr>
      <w:sz w:val="18"/>
      <w:szCs w:val="18"/>
    </w:rPr>
  </w:style>
  <w:style w:type="paragraph" w:customStyle="1" w:styleId="18">
    <w:name w:val="正文文本缩进1"/>
    <w:basedOn w:val="1"/>
    <w:qFormat/>
    <w:uiPriority w:val="0"/>
    <w:pPr>
      <w:ind w:firstLine="720" w:firstLineChars="225"/>
    </w:pPr>
    <w:rPr>
      <w:sz w:val="32"/>
      <w:szCs w:val="32"/>
    </w:rPr>
  </w:style>
  <w:style w:type="paragraph" w:customStyle="1" w:styleId="19">
    <w:name w:val="正文文本缩进2"/>
    <w:basedOn w:val="1"/>
    <w:qFormat/>
    <w:uiPriority w:val="0"/>
    <w:pPr>
      <w:ind w:firstLine="720" w:firstLineChars="225"/>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1304</Words>
  <Characters>7439</Characters>
  <Lines>61</Lines>
  <Paragraphs>17</Paragraphs>
  <TotalTime>0</TotalTime>
  <ScaleCrop>false</ScaleCrop>
  <LinksUpToDate>false</LinksUpToDate>
  <CharactersWithSpaces>8726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2024-04-10T17:28:00Z</dcterms:created>
  <dc:creator>金德宝</dc:creator>
  <cp:lastModifiedBy>scw</cp:lastModifiedBy>
  <dcterms:modified xsi:type="dcterms:W3CDTF">2024-05-14T16:04:54Z</dcterms:modified>
  <dc:title>天津市质量基础设施助力产业链供应链</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