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仿宋_GB2312" w:cs="Times New Roman"/>
          <w:b/>
          <w:bCs w:val="0"/>
          <w:kern w:val="2"/>
          <w:sz w:val="32"/>
          <w:szCs w:val="32"/>
          <w:lang w:val="en-US" w:eastAsia="zh-CN" w:bidi="ar-SA"/>
        </w:rPr>
      </w:pPr>
      <w:r>
        <w:rPr>
          <w:rFonts w:hint="eastAsia" w:ascii="Times New Roman" w:hAnsi="Times New Roman" w:eastAsia="仿宋_GB2312" w:cs="Times New Roman"/>
          <w:b/>
          <w:bCs w:val="0"/>
          <w:kern w:val="2"/>
          <w:sz w:val="32"/>
          <w:szCs w:val="32"/>
          <w:lang w:val="en-US" w:eastAsia="zh-CN" w:bidi="ar-SA"/>
        </w:rPr>
        <w:t>指导案例1</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Times New Roman" w:hAnsi="Times New Roman" w:eastAsia="方正小标宋简体" w:cs="Times New Roman"/>
          <w:sz w:val="44"/>
          <w:szCs w:val="44"/>
          <w:lang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微软雅黑" w:cs="Times New Roman"/>
          <w:color w:val="auto"/>
          <w:kern w:val="0"/>
          <w:sz w:val="32"/>
          <w:szCs w:val="32"/>
          <w:lang w:eastAsia="zh-CN"/>
        </w:rPr>
      </w:pPr>
      <w:r>
        <w:rPr>
          <w:rFonts w:hint="eastAsia" w:ascii="Times New Roman" w:hAnsi="Times New Roman" w:eastAsia="方正小标宋简体" w:cs="Times New Roman"/>
          <w:sz w:val="44"/>
          <w:szCs w:val="44"/>
          <w:lang w:eastAsia="zh-CN"/>
        </w:rPr>
        <w:t>行政执法指导</w:t>
      </w:r>
      <w:r>
        <w:rPr>
          <w:rFonts w:hint="default" w:ascii="Times New Roman" w:hAnsi="Times New Roman" w:eastAsia="方正小标宋简体" w:cs="Times New Roman"/>
          <w:sz w:val="44"/>
          <w:szCs w:val="44"/>
        </w:rPr>
        <w:t>案例</w:t>
      </w:r>
    </w:p>
    <w:p>
      <w:pPr>
        <w:pStyle w:val="5"/>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hint="eastAsia" w:ascii="Times New Roman" w:hAnsi="Times New Roman" w:eastAsia="仿宋_GB2312" w:cs="Times New Roman"/>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val="0"/>
        <w:snapToGrid/>
        <w:spacing w:line="520" w:lineRule="exact"/>
        <w:ind w:left="0" w:firstLine="640" w:firstLineChars="200"/>
        <w:jc w:val="both"/>
        <w:textAlignment w:val="auto"/>
        <w:rPr>
          <w:rFonts w:hint="eastAsia" w:ascii="仿宋_GB2312" w:hAnsi="仿宋_GB2312" w:eastAsia="仿宋_GB2312" w:cs="仿宋_GB2312"/>
          <w:bCs/>
          <w:color w:val="000000"/>
          <w:kern w:val="2"/>
          <w:sz w:val="32"/>
          <w:szCs w:val="32"/>
          <w:highlight w:val="none"/>
          <w:lang w:val="en-US" w:eastAsia="zh-CN"/>
        </w:rPr>
      </w:pPr>
      <w:r>
        <w:rPr>
          <w:rFonts w:hint="eastAsia" w:ascii="仿宋_GB2312" w:hAnsi="仿宋_GB2312" w:eastAsia="仿宋_GB2312" w:cs="仿宋_GB2312"/>
          <w:bCs/>
          <w:color w:val="000000"/>
          <w:kern w:val="2"/>
          <w:sz w:val="32"/>
          <w:szCs w:val="32"/>
          <w:highlight w:val="none"/>
          <w:lang w:val="en-US" w:eastAsia="zh-CN"/>
        </w:rPr>
        <w:t>行政机关：天津市和平区市场监督管理局</w:t>
      </w:r>
    </w:p>
    <w:p>
      <w:pPr>
        <w:keepNext w:val="0"/>
        <w:keepLines w:val="0"/>
        <w:pageBreakBefore w:val="0"/>
        <w:widowControl w:val="0"/>
        <w:kinsoku/>
        <w:wordWrap/>
        <w:overflowPunct/>
        <w:topLinePunct w:val="0"/>
        <w:autoSpaceDE/>
        <w:autoSpaceDN/>
        <w:bidi w:val="0"/>
        <w:adjustRightInd w:val="0"/>
        <w:snapToGrid/>
        <w:spacing w:line="520" w:lineRule="exact"/>
        <w:ind w:left="0" w:firstLine="640" w:firstLineChars="200"/>
        <w:jc w:val="both"/>
        <w:textAlignment w:val="auto"/>
        <w:rPr>
          <w:rFonts w:hint="eastAsia" w:ascii="仿宋_GB2312" w:hAnsi="仿宋_GB2312" w:eastAsia="仿宋_GB2312" w:cs="仿宋_GB2312"/>
          <w:bCs/>
          <w:color w:val="000000"/>
          <w:kern w:val="2"/>
          <w:sz w:val="32"/>
          <w:szCs w:val="32"/>
          <w:highlight w:val="none"/>
          <w:lang w:val="en-US" w:eastAsia="zh-CN"/>
        </w:rPr>
      </w:pPr>
      <w:r>
        <w:rPr>
          <w:rFonts w:hint="eastAsia" w:ascii="仿宋_GB2312" w:hAnsi="仿宋_GB2312" w:eastAsia="仿宋_GB2312" w:cs="仿宋_GB2312"/>
          <w:bCs/>
          <w:color w:val="000000"/>
          <w:kern w:val="2"/>
          <w:sz w:val="32"/>
          <w:szCs w:val="32"/>
          <w:highlight w:val="none"/>
          <w:lang w:val="en-US" w:eastAsia="zh-CN"/>
        </w:rPr>
        <w:t>当事人：天津XX书画有限公司</w:t>
      </w:r>
    </w:p>
    <w:p>
      <w:pPr>
        <w:keepNext w:val="0"/>
        <w:keepLines w:val="0"/>
        <w:pageBreakBefore w:val="0"/>
        <w:widowControl w:val="0"/>
        <w:kinsoku/>
        <w:wordWrap/>
        <w:overflowPunct/>
        <w:topLinePunct w:val="0"/>
        <w:autoSpaceDE/>
        <w:autoSpaceDN/>
        <w:bidi w:val="0"/>
        <w:adjustRightInd w:val="0"/>
        <w:snapToGrid/>
        <w:spacing w:line="520" w:lineRule="exact"/>
        <w:ind w:left="0" w:firstLine="642" w:firstLineChars="200"/>
        <w:jc w:val="both"/>
        <w:textAlignment w:val="auto"/>
        <w:rPr>
          <w:rFonts w:hint="eastAsia" w:ascii="仿宋_GB2312" w:hAnsi="仿宋_GB2312" w:eastAsia="仿宋_GB2312" w:cs="仿宋_GB2312"/>
          <w:b/>
          <w:bCs w:val="0"/>
          <w:color w:val="000000"/>
          <w:kern w:val="2"/>
          <w:sz w:val="32"/>
          <w:szCs w:val="32"/>
          <w:highlight w:val="none"/>
          <w:lang w:val="en-US" w:eastAsia="zh-CN"/>
        </w:rPr>
      </w:pPr>
      <w:r>
        <w:rPr>
          <w:rFonts w:hint="eastAsia" w:ascii="仿宋_GB2312" w:hAnsi="仿宋_GB2312" w:eastAsia="仿宋_GB2312" w:cs="仿宋_GB2312"/>
          <w:b/>
          <w:bCs w:val="0"/>
          <w:color w:val="000000"/>
          <w:kern w:val="2"/>
          <w:sz w:val="32"/>
          <w:szCs w:val="32"/>
          <w:highlight w:val="none"/>
          <w:lang w:val="en-US" w:eastAsia="zh-CN"/>
        </w:rPr>
        <w:t>一、案件名称</w:t>
      </w:r>
    </w:p>
    <w:p>
      <w:pPr>
        <w:keepNext w:val="0"/>
        <w:keepLines w:val="0"/>
        <w:pageBreakBefore w:val="0"/>
        <w:widowControl w:val="0"/>
        <w:kinsoku/>
        <w:wordWrap/>
        <w:overflowPunct/>
        <w:topLinePunct w:val="0"/>
        <w:autoSpaceDE/>
        <w:autoSpaceDN/>
        <w:bidi w:val="0"/>
        <w:adjustRightInd w:val="0"/>
        <w:snapToGrid/>
        <w:spacing w:line="520" w:lineRule="exact"/>
        <w:ind w:left="0" w:firstLine="640" w:firstLineChars="200"/>
        <w:jc w:val="both"/>
        <w:textAlignment w:val="auto"/>
        <w:rPr>
          <w:rFonts w:hint="eastAsia" w:ascii="仿宋_GB2312" w:hAnsi="仿宋_GB2312" w:eastAsia="仿宋_GB2312" w:cs="仿宋_GB2312"/>
          <w:bCs/>
          <w:color w:val="000000"/>
          <w:kern w:val="2"/>
          <w:sz w:val="32"/>
          <w:szCs w:val="32"/>
          <w:highlight w:val="none"/>
          <w:lang w:val="en-US" w:eastAsia="zh-CN"/>
        </w:rPr>
      </w:pPr>
      <w:r>
        <w:rPr>
          <w:rFonts w:hint="eastAsia" w:ascii="仿宋_GB2312" w:hAnsi="仿宋_GB2312" w:eastAsia="仿宋_GB2312" w:cs="仿宋_GB2312"/>
          <w:bCs/>
          <w:color w:val="000000"/>
          <w:kern w:val="2"/>
          <w:sz w:val="32"/>
          <w:szCs w:val="32"/>
          <w:highlight w:val="none"/>
          <w:lang w:val="en-US" w:eastAsia="zh-CN"/>
        </w:rPr>
        <w:t>案件名称:天津XX书画有限公司非法买卖流通人民币及对商品作虚假的商业宣传案</w:t>
      </w:r>
    </w:p>
    <w:p>
      <w:pPr>
        <w:keepNext w:val="0"/>
        <w:keepLines w:val="0"/>
        <w:pageBreakBefore w:val="0"/>
        <w:widowControl w:val="0"/>
        <w:kinsoku/>
        <w:wordWrap/>
        <w:overflowPunct/>
        <w:topLinePunct w:val="0"/>
        <w:autoSpaceDE/>
        <w:autoSpaceDN/>
        <w:bidi w:val="0"/>
        <w:adjustRightInd w:val="0"/>
        <w:snapToGrid/>
        <w:spacing w:line="520" w:lineRule="exact"/>
        <w:ind w:left="0" w:firstLine="642" w:firstLineChars="200"/>
        <w:jc w:val="both"/>
        <w:textAlignment w:val="auto"/>
        <w:rPr>
          <w:rFonts w:hint="eastAsia" w:ascii="仿宋_GB2312" w:hAnsi="仿宋_GB2312" w:eastAsia="仿宋_GB2312" w:cs="仿宋_GB2312"/>
          <w:b/>
          <w:bCs w:val="0"/>
          <w:color w:val="000000"/>
          <w:kern w:val="2"/>
          <w:sz w:val="32"/>
          <w:szCs w:val="32"/>
          <w:highlight w:val="none"/>
          <w:lang w:val="en-US" w:eastAsia="zh-CN"/>
        </w:rPr>
      </w:pPr>
      <w:r>
        <w:rPr>
          <w:rFonts w:hint="eastAsia" w:ascii="仿宋_GB2312" w:hAnsi="仿宋_GB2312" w:eastAsia="仿宋_GB2312" w:cs="仿宋_GB2312"/>
          <w:b/>
          <w:bCs w:val="0"/>
          <w:color w:val="000000"/>
          <w:kern w:val="2"/>
          <w:sz w:val="32"/>
          <w:szCs w:val="32"/>
          <w:highlight w:val="none"/>
          <w:lang w:val="en-US" w:eastAsia="zh-CN"/>
        </w:rPr>
        <w:t>二、基本案情</w:t>
      </w:r>
    </w:p>
    <w:p>
      <w:pPr>
        <w:keepNext w:val="0"/>
        <w:keepLines w:val="0"/>
        <w:pageBreakBefore w:val="0"/>
        <w:widowControl w:val="0"/>
        <w:kinsoku/>
        <w:wordWrap/>
        <w:overflowPunct/>
        <w:topLinePunct w:val="0"/>
        <w:autoSpaceDE/>
        <w:autoSpaceDN/>
        <w:bidi w:val="0"/>
        <w:adjustRightInd w:val="0"/>
        <w:snapToGrid/>
        <w:spacing w:line="520" w:lineRule="exact"/>
        <w:ind w:left="0" w:firstLine="640" w:firstLineChars="200"/>
        <w:jc w:val="both"/>
        <w:textAlignment w:val="auto"/>
        <w:rPr>
          <w:rFonts w:hint="eastAsia" w:ascii="仿宋_GB2312" w:hAnsi="仿宋_GB2312" w:eastAsia="仿宋_GB2312" w:cs="仿宋_GB2312"/>
          <w:bCs/>
          <w:color w:val="000000"/>
          <w:kern w:val="2"/>
          <w:sz w:val="32"/>
          <w:szCs w:val="32"/>
          <w:highlight w:val="none"/>
          <w:lang w:val="en-US" w:eastAsia="zh-CN"/>
        </w:rPr>
      </w:pPr>
      <w:r>
        <w:rPr>
          <w:rFonts w:hint="eastAsia" w:ascii="仿宋_GB2312" w:hAnsi="仿宋_GB2312" w:eastAsia="仿宋_GB2312" w:cs="仿宋_GB2312"/>
          <w:bCs/>
          <w:color w:val="000000"/>
          <w:kern w:val="2"/>
          <w:sz w:val="32"/>
          <w:szCs w:val="32"/>
          <w:highlight w:val="none"/>
          <w:lang w:val="en-US" w:eastAsia="zh-CN"/>
        </w:rPr>
        <w:t>2024年12月12日，天津市和平区市场监管局执法人员对当事人天津XX书画有限公司的经营场所进行了现场检查。经查，在当事人经营场所内发现有4套“华夏幸福”中华人民共和国第五套人民币同号钞（</w:t>
      </w:r>
      <w:r>
        <w:rPr>
          <w:rFonts w:hint="eastAsia" w:ascii="Times New Roman" w:hAnsi="Times New Roman" w:eastAsia="仿宋_GB2312" w:cs="Times New Roman"/>
          <w:kern w:val="2"/>
          <w:sz w:val="32"/>
          <w:szCs w:val="32"/>
          <w:lang w:val="en-US" w:eastAsia="zh-CN" w:bidi="ar-SA"/>
        </w:rPr>
        <w:t>以下简称“华夏幸福”同号钞）、2套“盛世财富”中华人民共和国第五套人民币吉祥号珍藏册（以下简称“盛世财富”珍藏册）以及当事人销售上述流通人民币的定金票据。在当事人经营场所办公区域内发现有“李净弘（画家销售框架）”，上面写有“李净弘的作品现在能带来巨大的利润变化。为什么？因为他的画现在就跟茅台的股票一样”、“涨了整整500多倍”等字样。当事人的上述行为，涉嫌违反了《中华人民共和国人民币管理条例》第二十五条第一款和《中华人</w:t>
      </w:r>
      <w:r>
        <w:rPr>
          <w:rFonts w:hint="eastAsia" w:ascii="仿宋_GB2312" w:hAnsi="仿宋_GB2312" w:eastAsia="仿宋_GB2312" w:cs="仿宋_GB2312"/>
          <w:bCs/>
          <w:color w:val="000000"/>
          <w:kern w:val="2"/>
          <w:sz w:val="32"/>
          <w:szCs w:val="32"/>
          <w:highlight w:val="none"/>
          <w:lang w:val="en-US" w:eastAsia="zh-CN"/>
        </w:rPr>
        <w:t>民共和国反不正当竞争法》第八条第一款的规定，构成了非法销售流通人民币和对商品作虚假的商业宣传的违法行为。</w:t>
      </w:r>
    </w:p>
    <w:p>
      <w:pPr>
        <w:keepNext w:val="0"/>
        <w:keepLines w:val="0"/>
        <w:pageBreakBefore w:val="0"/>
        <w:widowControl w:val="0"/>
        <w:kinsoku/>
        <w:wordWrap/>
        <w:overflowPunct/>
        <w:topLinePunct w:val="0"/>
        <w:autoSpaceDE/>
        <w:autoSpaceDN/>
        <w:bidi w:val="0"/>
        <w:adjustRightInd w:val="0"/>
        <w:snapToGrid/>
        <w:spacing w:line="520" w:lineRule="exact"/>
        <w:ind w:left="0" w:firstLine="640" w:firstLineChars="200"/>
        <w:jc w:val="both"/>
        <w:textAlignment w:val="auto"/>
        <w:rPr>
          <w:rFonts w:hint="eastAsia" w:ascii="Times New Roman" w:hAnsi="Times New Roman" w:eastAsia="仿宋_GB2312" w:cs="Times New Roman"/>
          <w:kern w:val="2"/>
          <w:sz w:val="32"/>
          <w:szCs w:val="32"/>
          <w:lang w:val="en-US" w:eastAsia="zh-CN" w:bidi="ar-SA"/>
        </w:rPr>
      </w:pPr>
      <w:r>
        <w:rPr>
          <w:rFonts w:hint="eastAsia" w:ascii="仿宋_GB2312" w:hAnsi="仿宋_GB2312" w:eastAsia="仿宋_GB2312" w:cs="仿宋_GB2312"/>
          <w:bCs/>
          <w:color w:val="000000"/>
          <w:kern w:val="2"/>
          <w:sz w:val="32"/>
          <w:szCs w:val="32"/>
          <w:highlight w:val="none"/>
          <w:lang w:val="en-US" w:eastAsia="zh-CN"/>
        </w:rPr>
        <w:t>经调查核实，当事人未持有经营流通人民币的相关许可，营场所内放有4套“华</w:t>
      </w:r>
      <w:r>
        <w:rPr>
          <w:rFonts w:hint="eastAsia" w:ascii="Times New Roman" w:hAnsi="Times New Roman" w:eastAsia="仿宋_GB2312" w:cs="Times New Roman"/>
          <w:kern w:val="2"/>
          <w:sz w:val="32"/>
          <w:szCs w:val="32"/>
          <w:lang w:val="en-US" w:eastAsia="zh-CN" w:bidi="ar-SA"/>
        </w:rPr>
        <w:t>夏幸福”同号钞（每套面额100元、50元、20元、10元、5元、1元各1张，面额共计186元）、2套“盛世财富”珍藏册（每套面额100元、50元、20元、10元、5元、1元各10张，每套共计1860元）。当事人销售上述流通人民币的定金票据显示其共销售了33套“盛世财富”珍藏册（每套珍藏册包含的流通人民币面额共计1860元），因“盛世财富”珍藏册的售价为每套1860元，与该珍藏册内包含的流通人民币面额相同，故未产生违法所得。经中国人民银行天津市分行鉴定，上述6套流通人民币均为真币。</w:t>
      </w:r>
    </w:p>
    <w:p>
      <w:pPr>
        <w:keepNext w:val="0"/>
        <w:keepLines w:val="0"/>
        <w:pageBreakBefore w:val="0"/>
        <w:widowControl w:val="0"/>
        <w:kinsoku/>
        <w:wordWrap/>
        <w:overflowPunct/>
        <w:topLinePunct w:val="0"/>
        <w:autoSpaceDE/>
        <w:autoSpaceDN/>
        <w:bidi w:val="0"/>
        <w:adjustRightInd w:val="0"/>
        <w:snapToGrid/>
        <w:spacing w:line="520" w:lineRule="exact"/>
        <w:ind w:left="0" w:firstLine="640" w:firstLineChars="200"/>
        <w:jc w:val="both"/>
        <w:textAlignment w:val="auto"/>
        <w:rPr>
          <w:rFonts w:hint="eastAsia" w:ascii="仿宋_GB2312" w:hAnsi="仿宋_GB2312" w:eastAsia="仿宋_GB2312" w:cs="仿宋_GB2312"/>
          <w:bCs/>
          <w:color w:val="000000"/>
          <w:kern w:val="2"/>
          <w:sz w:val="32"/>
          <w:szCs w:val="32"/>
          <w:highlight w:val="none"/>
          <w:lang w:val="en-US" w:eastAsia="zh-CN"/>
        </w:rPr>
      </w:pPr>
      <w:r>
        <w:rPr>
          <w:rFonts w:hint="eastAsia" w:ascii="Times New Roman" w:hAnsi="Times New Roman" w:eastAsia="仿宋_GB2312" w:cs="Times New Roman"/>
          <w:kern w:val="2"/>
          <w:sz w:val="32"/>
          <w:szCs w:val="32"/>
          <w:lang w:val="en-US" w:eastAsia="zh-CN" w:bidi="ar-SA"/>
        </w:rPr>
        <w:t>当事人在销售李净弘作品时，向消费者宣传“李净弘的作品现在能带来巨大的利润变化。为什么？因为他的画现在就跟茅台的股票一样”“涨了整整500多倍”，其无法提供相关宣传</w:t>
      </w:r>
      <w:r>
        <w:rPr>
          <w:rFonts w:hint="eastAsia" w:ascii="仿宋_GB2312" w:hAnsi="仿宋_GB2312" w:eastAsia="仿宋_GB2312" w:cs="仿宋_GB2312"/>
          <w:bCs/>
          <w:color w:val="000000"/>
          <w:kern w:val="2"/>
          <w:sz w:val="32"/>
          <w:szCs w:val="32"/>
          <w:highlight w:val="none"/>
          <w:lang w:val="en-US" w:eastAsia="zh-CN"/>
        </w:rPr>
        <w:t>依据。当事人已改正，不再对李净弘作品作上述宣传。</w:t>
      </w:r>
    </w:p>
    <w:p>
      <w:pPr>
        <w:keepNext w:val="0"/>
        <w:keepLines w:val="0"/>
        <w:pageBreakBefore w:val="0"/>
        <w:widowControl w:val="0"/>
        <w:kinsoku/>
        <w:wordWrap/>
        <w:overflowPunct/>
        <w:topLinePunct w:val="0"/>
        <w:autoSpaceDE/>
        <w:autoSpaceDN/>
        <w:bidi w:val="0"/>
        <w:adjustRightInd w:val="0"/>
        <w:snapToGrid/>
        <w:spacing w:line="520" w:lineRule="exact"/>
        <w:ind w:left="0" w:firstLine="642" w:firstLineChars="200"/>
        <w:jc w:val="both"/>
        <w:textAlignment w:val="auto"/>
        <w:rPr>
          <w:rFonts w:hint="eastAsia" w:ascii="仿宋_GB2312" w:hAnsi="仿宋_GB2312" w:eastAsia="仿宋_GB2312" w:cs="仿宋_GB2312"/>
          <w:b/>
          <w:bCs w:val="0"/>
          <w:color w:val="000000"/>
          <w:kern w:val="2"/>
          <w:sz w:val="32"/>
          <w:szCs w:val="32"/>
          <w:highlight w:val="none"/>
          <w:lang w:val="en-US" w:eastAsia="zh-CN"/>
        </w:rPr>
      </w:pPr>
      <w:r>
        <w:rPr>
          <w:rFonts w:hint="eastAsia" w:ascii="仿宋_GB2312" w:hAnsi="仿宋_GB2312" w:eastAsia="仿宋_GB2312" w:cs="仿宋_GB2312"/>
          <w:b/>
          <w:bCs w:val="0"/>
          <w:color w:val="000000"/>
          <w:kern w:val="2"/>
          <w:sz w:val="32"/>
          <w:szCs w:val="32"/>
          <w:highlight w:val="none"/>
          <w:lang w:val="en-US" w:eastAsia="zh-CN"/>
        </w:rPr>
        <w:t>三、法律适用及决定结果</w:t>
      </w:r>
    </w:p>
    <w:p>
      <w:pPr>
        <w:keepNext w:val="0"/>
        <w:keepLines w:val="0"/>
        <w:pageBreakBefore w:val="0"/>
        <w:widowControl w:val="0"/>
        <w:kinsoku/>
        <w:wordWrap/>
        <w:overflowPunct/>
        <w:topLinePunct w:val="0"/>
        <w:autoSpaceDE/>
        <w:autoSpaceDN/>
        <w:bidi w:val="0"/>
        <w:adjustRightInd w:val="0"/>
        <w:snapToGrid/>
        <w:spacing w:line="520" w:lineRule="exact"/>
        <w:ind w:left="0" w:firstLine="640" w:firstLineChars="200"/>
        <w:jc w:val="both"/>
        <w:textAlignment w:val="auto"/>
        <w:rPr>
          <w:rFonts w:hint="eastAsia" w:ascii="仿宋_GB2312" w:hAnsi="仿宋_GB2312" w:eastAsia="仿宋_GB2312" w:cs="仿宋_GB2312"/>
          <w:b w:val="0"/>
          <w:bCs/>
          <w:color w:val="000000"/>
          <w:kern w:val="2"/>
          <w:sz w:val="32"/>
          <w:szCs w:val="32"/>
          <w:highlight w:val="none"/>
          <w:lang w:val="en-US" w:eastAsia="zh-CN"/>
        </w:rPr>
      </w:pPr>
      <w:r>
        <w:rPr>
          <w:rFonts w:hint="eastAsia" w:ascii="仿宋_GB2312" w:hAnsi="仿宋_GB2312" w:eastAsia="仿宋_GB2312" w:cs="仿宋_GB2312"/>
          <w:bCs/>
          <w:color w:val="000000"/>
          <w:kern w:val="2"/>
          <w:sz w:val="32"/>
          <w:szCs w:val="32"/>
          <w:highlight w:val="none"/>
          <w:lang w:val="en-US" w:eastAsia="zh-CN"/>
        </w:rPr>
        <w:t>当事人在未持有经营流通人民币相关许可的情况下买卖流通人民币，在没有依据的情况下对销售的“李净弘作品”做出虚假的商业宣传，违反</w:t>
      </w:r>
      <w:r>
        <w:rPr>
          <w:rFonts w:hint="eastAsia" w:ascii="Times New Roman" w:hAnsi="Times New Roman" w:eastAsia="仿宋_GB2312" w:cs="Times New Roman"/>
          <w:kern w:val="2"/>
          <w:sz w:val="32"/>
          <w:szCs w:val="32"/>
          <w:lang w:val="en-US" w:eastAsia="zh-CN" w:bidi="ar-SA"/>
        </w:rPr>
        <w:t>了《中华人民共和国人民币管理条例》第二十五条第一款和《中华人民共和国反不正当竞争法》第八条第一款的规定，构成了非法买卖流通人民币及对当事人对商品作虚假的商业宣传的违法行为。依据《中华人民共和国人民币管理条例》第四十三条和《中华人民共和国反不正当竞争法》</w:t>
      </w:r>
      <w:r>
        <w:rPr>
          <w:rFonts w:hint="eastAsia" w:ascii="仿宋_GB2312" w:hAnsi="仿宋_GB2312" w:eastAsia="仿宋_GB2312" w:cs="仿宋_GB2312"/>
          <w:b w:val="0"/>
          <w:bCs/>
          <w:color w:val="000000"/>
          <w:kern w:val="2"/>
          <w:sz w:val="32"/>
          <w:szCs w:val="32"/>
          <w:highlight w:val="none"/>
          <w:lang w:val="en-US" w:eastAsia="zh-CN"/>
        </w:rPr>
        <w:t>第二十条第一款的规定，结合当事人具体情节，对当事人处罚如下：</w:t>
      </w:r>
    </w:p>
    <w:p>
      <w:pPr>
        <w:keepNext w:val="0"/>
        <w:keepLines w:val="0"/>
        <w:pageBreakBefore w:val="0"/>
        <w:widowControl w:val="0"/>
        <w:kinsoku/>
        <w:wordWrap/>
        <w:overflowPunct/>
        <w:topLinePunct w:val="0"/>
        <w:autoSpaceDE/>
        <w:autoSpaceDN/>
        <w:bidi w:val="0"/>
        <w:adjustRightInd w:val="0"/>
        <w:snapToGrid/>
        <w:spacing w:line="520" w:lineRule="exact"/>
        <w:ind w:left="0" w:firstLine="640" w:firstLineChars="200"/>
        <w:jc w:val="both"/>
        <w:textAlignment w:val="auto"/>
        <w:rPr>
          <w:rFonts w:hint="eastAsia" w:ascii="仿宋_GB2312" w:hAnsi="仿宋_GB2312" w:eastAsia="仿宋_GB2312" w:cs="仿宋_GB2312"/>
          <w:b w:val="0"/>
          <w:bCs/>
          <w:color w:val="000000"/>
          <w:kern w:val="2"/>
          <w:sz w:val="32"/>
          <w:szCs w:val="32"/>
          <w:highlight w:val="none"/>
          <w:lang w:val="en-US" w:eastAsia="zh-CN"/>
        </w:rPr>
      </w:pPr>
      <w:r>
        <w:rPr>
          <w:rFonts w:hint="eastAsia" w:ascii="仿宋_GB2312" w:hAnsi="仿宋_GB2312" w:eastAsia="仿宋_GB2312" w:cs="仿宋_GB2312"/>
          <w:b w:val="0"/>
          <w:bCs/>
          <w:color w:val="000000"/>
          <w:kern w:val="2"/>
          <w:sz w:val="32"/>
          <w:szCs w:val="32"/>
          <w:highlight w:val="none"/>
          <w:lang w:val="en-US" w:eastAsia="zh-CN"/>
        </w:rPr>
        <w:t>1.警告；</w:t>
      </w:r>
    </w:p>
    <w:p>
      <w:pPr>
        <w:keepNext w:val="0"/>
        <w:keepLines w:val="0"/>
        <w:pageBreakBefore w:val="0"/>
        <w:widowControl w:val="0"/>
        <w:kinsoku/>
        <w:wordWrap/>
        <w:overflowPunct/>
        <w:topLinePunct w:val="0"/>
        <w:autoSpaceDE/>
        <w:autoSpaceDN/>
        <w:bidi w:val="0"/>
        <w:adjustRightInd w:val="0"/>
        <w:snapToGrid/>
        <w:spacing w:line="520" w:lineRule="exact"/>
        <w:ind w:left="0" w:firstLine="640" w:firstLineChars="200"/>
        <w:jc w:val="both"/>
        <w:textAlignment w:val="auto"/>
        <w:rPr>
          <w:rFonts w:hint="eastAsia" w:ascii="仿宋_GB2312" w:hAnsi="仿宋_GB2312" w:eastAsia="仿宋_GB2312" w:cs="仿宋_GB2312"/>
          <w:b w:val="0"/>
          <w:bCs/>
          <w:color w:val="000000"/>
          <w:kern w:val="2"/>
          <w:sz w:val="32"/>
          <w:szCs w:val="32"/>
          <w:highlight w:val="none"/>
          <w:lang w:val="en-US" w:eastAsia="zh-CN"/>
        </w:rPr>
      </w:pPr>
      <w:r>
        <w:rPr>
          <w:rFonts w:hint="eastAsia" w:ascii="仿宋_GB2312" w:hAnsi="仿宋_GB2312" w:eastAsia="仿宋_GB2312" w:cs="仿宋_GB2312"/>
          <w:b w:val="0"/>
          <w:bCs/>
          <w:color w:val="000000"/>
          <w:kern w:val="2"/>
          <w:sz w:val="32"/>
          <w:szCs w:val="32"/>
          <w:highlight w:val="none"/>
          <w:lang w:val="en-US" w:eastAsia="zh-CN"/>
        </w:rPr>
        <w:t>2.没收4套“华夏幸福”中华人民共和国第五套人民币同号钞和2套“盛世财富”中华人民共和国第五套人民币吉祥号珍藏册（面额共计4464元）；</w:t>
      </w:r>
    </w:p>
    <w:p>
      <w:pPr>
        <w:keepNext w:val="0"/>
        <w:keepLines w:val="0"/>
        <w:pageBreakBefore w:val="0"/>
        <w:widowControl w:val="0"/>
        <w:kinsoku/>
        <w:wordWrap/>
        <w:overflowPunct/>
        <w:topLinePunct w:val="0"/>
        <w:autoSpaceDE/>
        <w:autoSpaceDN/>
        <w:bidi w:val="0"/>
        <w:adjustRightInd w:val="0"/>
        <w:snapToGrid/>
        <w:spacing w:line="520" w:lineRule="exact"/>
        <w:ind w:left="0" w:firstLine="640" w:firstLineChars="200"/>
        <w:jc w:val="both"/>
        <w:textAlignment w:val="auto"/>
        <w:rPr>
          <w:rFonts w:hint="eastAsia" w:ascii="仿宋_GB2312" w:hAnsi="仿宋_GB2312" w:eastAsia="仿宋_GB2312" w:cs="仿宋_GB2312"/>
          <w:b w:val="0"/>
          <w:bCs/>
          <w:color w:val="000000"/>
          <w:kern w:val="2"/>
          <w:sz w:val="32"/>
          <w:szCs w:val="32"/>
          <w:highlight w:val="none"/>
          <w:lang w:val="en-US" w:eastAsia="zh-CN"/>
        </w:rPr>
      </w:pPr>
      <w:r>
        <w:rPr>
          <w:rFonts w:hint="eastAsia" w:ascii="仿宋_GB2312" w:hAnsi="仿宋_GB2312" w:eastAsia="仿宋_GB2312" w:cs="仿宋_GB2312"/>
          <w:b w:val="0"/>
          <w:bCs/>
          <w:color w:val="000000"/>
          <w:kern w:val="2"/>
          <w:sz w:val="32"/>
          <w:szCs w:val="32"/>
          <w:highlight w:val="none"/>
          <w:lang w:val="en-US" w:eastAsia="zh-CN"/>
        </w:rPr>
        <w:t>3.对当事人非法买卖流通人民币的违法行为处罚款5000元；</w:t>
      </w:r>
    </w:p>
    <w:p>
      <w:pPr>
        <w:keepNext w:val="0"/>
        <w:keepLines w:val="0"/>
        <w:pageBreakBefore w:val="0"/>
        <w:widowControl w:val="0"/>
        <w:kinsoku/>
        <w:wordWrap/>
        <w:overflowPunct/>
        <w:topLinePunct w:val="0"/>
        <w:autoSpaceDE/>
        <w:autoSpaceDN/>
        <w:bidi w:val="0"/>
        <w:adjustRightInd w:val="0"/>
        <w:snapToGrid/>
        <w:spacing w:line="520" w:lineRule="exact"/>
        <w:ind w:left="0" w:firstLine="640" w:firstLineChars="200"/>
        <w:jc w:val="both"/>
        <w:textAlignment w:val="auto"/>
        <w:rPr>
          <w:rFonts w:hint="eastAsia" w:ascii="仿宋_GB2312" w:hAnsi="仿宋_GB2312" w:eastAsia="仿宋_GB2312" w:cs="仿宋_GB2312"/>
          <w:b w:val="0"/>
          <w:bCs/>
          <w:color w:val="000000"/>
          <w:kern w:val="2"/>
          <w:sz w:val="32"/>
          <w:szCs w:val="32"/>
          <w:highlight w:val="none"/>
          <w:lang w:val="en-US" w:eastAsia="zh-CN"/>
        </w:rPr>
      </w:pPr>
      <w:r>
        <w:rPr>
          <w:rFonts w:hint="eastAsia" w:ascii="仿宋_GB2312" w:hAnsi="仿宋_GB2312" w:eastAsia="仿宋_GB2312" w:cs="仿宋_GB2312"/>
          <w:b w:val="0"/>
          <w:bCs/>
          <w:color w:val="000000"/>
          <w:kern w:val="2"/>
          <w:sz w:val="32"/>
          <w:szCs w:val="32"/>
          <w:highlight w:val="none"/>
          <w:lang w:val="en-US" w:eastAsia="zh-CN"/>
        </w:rPr>
        <w:t>4.对当事人对商品作虚假的商业宣传的违法行为处罚款90000元。罚没款共计95000元，上缴财政。</w:t>
      </w:r>
    </w:p>
    <w:p>
      <w:pPr>
        <w:keepNext w:val="0"/>
        <w:keepLines w:val="0"/>
        <w:pageBreakBefore w:val="0"/>
        <w:widowControl w:val="0"/>
        <w:kinsoku/>
        <w:wordWrap/>
        <w:overflowPunct/>
        <w:topLinePunct w:val="0"/>
        <w:autoSpaceDE/>
        <w:autoSpaceDN/>
        <w:bidi w:val="0"/>
        <w:adjustRightInd w:val="0"/>
        <w:snapToGrid/>
        <w:spacing w:line="520" w:lineRule="exact"/>
        <w:ind w:left="0" w:firstLine="642" w:firstLineChars="200"/>
        <w:jc w:val="both"/>
        <w:textAlignment w:val="auto"/>
        <w:rPr>
          <w:rFonts w:hint="eastAsia" w:ascii="仿宋_GB2312" w:hAnsi="仿宋_GB2312" w:eastAsia="仿宋_GB2312" w:cs="仿宋_GB2312"/>
          <w:b w:val="0"/>
          <w:bCs/>
          <w:color w:val="000000"/>
          <w:kern w:val="2"/>
          <w:sz w:val="32"/>
          <w:szCs w:val="32"/>
          <w:highlight w:val="none"/>
          <w:lang w:val="en-US" w:eastAsia="zh-CN"/>
        </w:rPr>
      </w:pPr>
      <w:r>
        <w:rPr>
          <w:rFonts w:hint="eastAsia" w:ascii="仿宋_GB2312" w:hAnsi="仿宋_GB2312" w:eastAsia="仿宋_GB2312" w:cs="仿宋_GB2312"/>
          <w:b/>
          <w:bCs w:val="0"/>
          <w:color w:val="000000"/>
          <w:kern w:val="2"/>
          <w:sz w:val="32"/>
          <w:szCs w:val="32"/>
          <w:highlight w:val="none"/>
          <w:lang w:val="en-US" w:eastAsia="zh-CN"/>
        </w:rPr>
        <w:t xml:space="preserve">四、说明理由  </w:t>
      </w:r>
      <w:r>
        <w:rPr>
          <w:rFonts w:hint="eastAsia" w:ascii="仿宋_GB2312" w:hAnsi="仿宋_GB2312" w:eastAsia="仿宋_GB2312" w:cs="仿宋_GB2312"/>
          <w:b w:val="0"/>
          <w:bCs/>
          <w:color w:val="000000"/>
          <w:kern w:val="2"/>
          <w:sz w:val="32"/>
          <w:szCs w:val="32"/>
          <w:highlight w:val="none"/>
          <w:lang w:val="en-US" w:eastAsia="zh-CN"/>
        </w:rPr>
        <w:t xml:space="preserve"> </w:t>
      </w:r>
    </w:p>
    <w:p>
      <w:pPr>
        <w:keepNext w:val="0"/>
        <w:keepLines w:val="0"/>
        <w:pageBreakBefore w:val="0"/>
        <w:widowControl w:val="0"/>
        <w:kinsoku/>
        <w:wordWrap/>
        <w:overflowPunct/>
        <w:topLinePunct w:val="0"/>
        <w:autoSpaceDE/>
        <w:autoSpaceDN/>
        <w:bidi w:val="0"/>
        <w:adjustRightInd w:val="0"/>
        <w:snapToGrid/>
        <w:spacing w:line="520" w:lineRule="exact"/>
        <w:ind w:left="0" w:firstLine="640" w:firstLineChars="200"/>
        <w:jc w:val="both"/>
        <w:textAlignment w:val="auto"/>
        <w:rPr>
          <w:rFonts w:hint="eastAsia" w:ascii="仿宋_GB2312" w:hAnsi="仿宋_GB2312" w:eastAsia="仿宋_GB2312" w:cs="仿宋_GB2312"/>
          <w:b w:val="0"/>
          <w:bCs/>
          <w:color w:val="000000"/>
          <w:kern w:val="2"/>
          <w:sz w:val="32"/>
          <w:szCs w:val="32"/>
          <w:highlight w:val="none"/>
          <w:lang w:val="en-US" w:eastAsia="zh-CN"/>
        </w:rPr>
      </w:pPr>
      <w:r>
        <w:rPr>
          <w:rFonts w:hint="eastAsia" w:ascii="仿宋_GB2312" w:hAnsi="仿宋_GB2312" w:eastAsia="仿宋_GB2312" w:cs="仿宋_GB2312"/>
          <w:b w:val="0"/>
          <w:bCs/>
          <w:color w:val="000000"/>
          <w:kern w:val="2"/>
          <w:sz w:val="32"/>
          <w:szCs w:val="32"/>
          <w:highlight w:val="none"/>
          <w:lang w:val="en-US" w:eastAsia="zh-CN"/>
        </w:rPr>
        <w:t>鉴于本案当事人虚假宣传之行为，不仅对消费者造成了误导，还对古玩字画行业其他合法经营的主体造成了影响，形成了劣币驱逐良币的情形，因此本案针对当事人对商品作虚假的商业宣传的违法行为优先适用《中华人民共和国反不正当竞争法》。</w:t>
      </w:r>
    </w:p>
    <w:p>
      <w:pPr>
        <w:keepNext w:val="0"/>
        <w:keepLines w:val="0"/>
        <w:pageBreakBefore w:val="0"/>
        <w:widowControl w:val="0"/>
        <w:kinsoku/>
        <w:wordWrap/>
        <w:overflowPunct/>
        <w:topLinePunct w:val="0"/>
        <w:autoSpaceDE/>
        <w:autoSpaceDN/>
        <w:bidi w:val="0"/>
        <w:adjustRightInd w:val="0"/>
        <w:snapToGrid/>
        <w:spacing w:line="520" w:lineRule="exact"/>
        <w:ind w:left="0" w:firstLine="640" w:firstLineChars="200"/>
        <w:jc w:val="both"/>
        <w:textAlignment w:val="auto"/>
        <w:rPr>
          <w:rFonts w:hint="eastAsia" w:ascii="仿宋_GB2312" w:hAnsi="仿宋_GB2312" w:eastAsia="仿宋_GB2312" w:cs="仿宋_GB2312"/>
          <w:bCs/>
          <w:color w:val="000000"/>
          <w:kern w:val="2"/>
          <w:sz w:val="32"/>
          <w:szCs w:val="32"/>
          <w:highlight w:val="none"/>
          <w:lang w:val="en-US" w:eastAsia="zh-CN"/>
        </w:rPr>
      </w:pPr>
      <w:r>
        <w:rPr>
          <w:rFonts w:hint="eastAsia" w:ascii="仿宋_GB2312" w:hAnsi="仿宋_GB2312" w:eastAsia="仿宋_GB2312" w:cs="仿宋_GB2312"/>
          <w:b w:val="0"/>
          <w:bCs/>
          <w:color w:val="000000"/>
          <w:kern w:val="2"/>
          <w:sz w:val="32"/>
          <w:szCs w:val="32"/>
          <w:highlight w:val="none"/>
          <w:lang w:val="en-US" w:eastAsia="zh-CN"/>
        </w:rPr>
        <w:t>鉴于当事人在本案调查过程中，能够积极配合执法人员调查处理案情，主动提供相关材料，如实陈述违法事实，积极改</w:t>
      </w:r>
      <w:r>
        <w:rPr>
          <w:rFonts w:hint="eastAsia" w:ascii="Times New Roman" w:hAnsi="Times New Roman" w:eastAsia="仿宋_GB2312" w:cs="Times New Roman"/>
          <w:kern w:val="2"/>
          <w:sz w:val="32"/>
          <w:szCs w:val="32"/>
          <w:lang w:val="en-US" w:eastAsia="zh-CN" w:bidi="ar-SA"/>
        </w:rPr>
        <w:t>正违法行为，符合市场监管总局《关于规范市场监督管理行政处罚裁量权的指导意见》（国市监法规〔2022〕2号）第十三条第（二）项：“有下列情形之一的，应当依法从轻或者减轻行政处罚：（二）主动消除或者减轻违法行为危害后果的；”、第十四条第（二）项：“有下列情形之一的，可以依法从轻或者减轻行政处罚：（二）积极配合市场监管部门调查并主动提供证据材料的”所述的情形。依据《中华人民共和国行政处罚法》第三十二条第（一）项：“当事人有下列情形之一，应当从轻或者减轻行政处罚：（一）主动消除或者减轻违法行为危害后果的；”及 《中华人民共和国反不正当竞争法》第二十五条：“经营者违反本法规定从事不正当竞争，有主动消除或者减轻违法行为危害后果等法定情形的，依法从轻或者减轻行政处罚；违法行为轻微并及时纠正，没有造成危害后果的，不予行政处罚。”的规定，对</w:t>
      </w:r>
      <w:r>
        <w:rPr>
          <w:rFonts w:hint="eastAsia" w:ascii="仿宋_GB2312" w:hAnsi="仿宋_GB2312" w:eastAsia="仿宋_GB2312" w:cs="仿宋_GB2312"/>
          <w:bCs/>
          <w:color w:val="000000"/>
          <w:kern w:val="2"/>
          <w:sz w:val="32"/>
          <w:szCs w:val="32"/>
          <w:highlight w:val="none"/>
          <w:lang w:val="en-US" w:eastAsia="zh-CN"/>
        </w:rPr>
        <w:t>当事人非法买卖流通人民币的违法行为予以从轻处罚，对当事人对商品作虚假的商业宣传的违法行为予以减轻处罚。</w:t>
      </w:r>
    </w:p>
    <w:p>
      <w:pPr>
        <w:keepNext w:val="0"/>
        <w:keepLines w:val="0"/>
        <w:pageBreakBefore w:val="0"/>
        <w:widowControl w:val="0"/>
        <w:kinsoku/>
        <w:wordWrap/>
        <w:overflowPunct/>
        <w:topLinePunct w:val="0"/>
        <w:autoSpaceDE/>
        <w:autoSpaceDN/>
        <w:bidi w:val="0"/>
        <w:adjustRightInd w:val="0"/>
        <w:snapToGrid/>
        <w:spacing w:line="520" w:lineRule="exact"/>
        <w:ind w:left="0" w:firstLine="642" w:firstLineChars="200"/>
        <w:jc w:val="both"/>
        <w:textAlignment w:val="auto"/>
        <w:rPr>
          <w:rFonts w:hint="eastAsia" w:ascii="仿宋_GB2312" w:hAnsi="仿宋_GB2312" w:eastAsia="仿宋_GB2312" w:cs="仿宋_GB2312"/>
          <w:b/>
          <w:bCs w:val="0"/>
          <w:color w:val="000000"/>
          <w:kern w:val="2"/>
          <w:sz w:val="32"/>
          <w:szCs w:val="32"/>
          <w:highlight w:val="none"/>
          <w:lang w:val="en-US" w:eastAsia="zh-CN"/>
        </w:rPr>
      </w:pPr>
      <w:r>
        <w:rPr>
          <w:rFonts w:hint="eastAsia" w:ascii="仿宋_GB2312" w:hAnsi="仿宋_GB2312" w:eastAsia="仿宋_GB2312" w:cs="仿宋_GB2312"/>
          <w:b/>
          <w:bCs w:val="0"/>
          <w:color w:val="000000"/>
          <w:kern w:val="2"/>
          <w:sz w:val="32"/>
          <w:szCs w:val="32"/>
          <w:highlight w:val="none"/>
          <w:lang w:val="en-US" w:eastAsia="zh-CN"/>
        </w:rPr>
        <w:t>五、典型意义</w:t>
      </w:r>
    </w:p>
    <w:p>
      <w:pPr>
        <w:keepNext w:val="0"/>
        <w:keepLines w:val="0"/>
        <w:pageBreakBefore w:val="0"/>
        <w:widowControl w:val="0"/>
        <w:kinsoku/>
        <w:wordWrap/>
        <w:overflowPunct/>
        <w:topLinePunct w:val="0"/>
        <w:autoSpaceDE/>
        <w:autoSpaceDN/>
        <w:bidi w:val="0"/>
        <w:adjustRightInd w:val="0"/>
        <w:snapToGrid/>
        <w:spacing w:line="520" w:lineRule="exact"/>
        <w:ind w:left="0" w:firstLine="640" w:firstLineChars="200"/>
        <w:jc w:val="both"/>
        <w:textAlignment w:val="auto"/>
        <w:rPr>
          <w:rFonts w:hint="eastAsia" w:ascii="仿宋_GB2312" w:hAnsi="仿宋_GB2312" w:eastAsia="仿宋_GB2312" w:cs="仿宋_GB2312"/>
          <w:bCs/>
          <w:color w:val="000000"/>
          <w:kern w:val="2"/>
          <w:sz w:val="32"/>
          <w:szCs w:val="32"/>
          <w:highlight w:val="none"/>
          <w:lang w:val="en-US" w:eastAsia="zh-CN"/>
        </w:rPr>
      </w:pPr>
      <w:r>
        <w:rPr>
          <w:rFonts w:hint="eastAsia" w:ascii="仿宋_GB2312" w:hAnsi="仿宋_GB2312" w:eastAsia="仿宋_GB2312" w:cs="仿宋_GB2312"/>
          <w:bCs/>
          <w:color w:val="000000"/>
          <w:kern w:val="2"/>
          <w:sz w:val="32"/>
          <w:szCs w:val="32"/>
          <w:highlight w:val="none"/>
          <w:lang w:val="en-US" w:eastAsia="zh-CN"/>
        </w:rPr>
        <w:t>目前全国多地市场监管部门都发起了守护“银发”钱袋子</w:t>
      </w:r>
      <w:r>
        <w:rPr>
          <w:rFonts w:hint="eastAsia" w:ascii="Times New Roman" w:hAnsi="Times New Roman" w:eastAsia="仿宋_GB2312" w:cs="Times New Roman"/>
          <w:kern w:val="2"/>
          <w:sz w:val="32"/>
          <w:szCs w:val="32"/>
          <w:lang w:val="en-US" w:eastAsia="zh-CN" w:bidi="ar-SA"/>
        </w:rPr>
        <w:t>的专项行动。现阶段古玩字画收藏市场陷阱重重，虚假拍卖、捆绑销售、线上杀猪盘、赝品调包屡见不鲜，加之许多违法向老年人群体销售保健食品的市场主体“产业转型”进入古玩字画收藏领域，将古董字画包装成“养老产品”的趋势愈演愈烈。很多老年人对收藏品市场和金融理财知识了解有限，也不熟悉收藏品市场的价格波动规律。古玩市场尽管存在机会，“捡漏”的可能性却非常低，大多数情况下，真正的珍稀古玩都已经被专</w:t>
      </w:r>
      <w:r>
        <w:rPr>
          <w:rFonts w:hint="eastAsia" w:ascii="仿宋_GB2312" w:hAnsi="仿宋_GB2312" w:eastAsia="仿宋_GB2312" w:cs="仿宋_GB2312"/>
          <w:bCs/>
          <w:color w:val="000000"/>
          <w:kern w:val="2"/>
          <w:sz w:val="32"/>
          <w:szCs w:val="32"/>
          <w:highlight w:val="none"/>
          <w:lang w:val="en-US" w:eastAsia="zh-CN"/>
        </w:rPr>
        <w:t>业收藏家或博物馆所拥有。古董字画不仅未能成为“养老产品”，反而成为了掏空家底“无底洞”。</w:t>
      </w:r>
    </w:p>
    <w:p>
      <w:pPr>
        <w:keepNext w:val="0"/>
        <w:keepLines w:val="0"/>
        <w:pageBreakBefore w:val="0"/>
        <w:widowControl w:val="0"/>
        <w:kinsoku/>
        <w:wordWrap/>
        <w:overflowPunct/>
        <w:topLinePunct w:val="0"/>
        <w:autoSpaceDE/>
        <w:autoSpaceDN/>
        <w:bidi w:val="0"/>
        <w:adjustRightInd w:val="0"/>
        <w:snapToGrid/>
        <w:spacing w:line="520" w:lineRule="exact"/>
        <w:ind w:left="0" w:firstLine="640" w:firstLineChars="200"/>
        <w:jc w:val="both"/>
        <w:textAlignment w:val="auto"/>
        <w:rPr>
          <w:rFonts w:hint="eastAsia" w:ascii="Times New Roman" w:hAnsi="Times New Roman" w:eastAsia="仿宋_GB2312" w:cs="Times New Roman"/>
          <w:kern w:val="2"/>
          <w:sz w:val="32"/>
          <w:szCs w:val="32"/>
          <w:lang w:val="en-US" w:eastAsia="zh-CN" w:bidi="ar-SA"/>
        </w:rPr>
      </w:pPr>
      <w:r>
        <w:rPr>
          <w:rFonts w:hint="eastAsia" w:ascii="仿宋_GB2312" w:hAnsi="仿宋_GB2312" w:eastAsia="仿宋_GB2312" w:cs="仿宋_GB2312"/>
          <w:bCs/>
          <w:color w:val="000000"/>
          <w:kern w:val="2"/>
          <w:sz w:val="32"/>
          <w:szCs w:val="32"/>
          <w:highlight w:val="none"/>
          <w:lang w:val="en-US" w:eastAsia="zh-CN"/>
        </w:rPr>
        <w:t>本案为执法人员在投诉调解过程中发现的案源线索，经过会商研判、全面搜证、联合公安部门和中国人民银行共同执法等方式，有效固定</w:t>
      </w:r>
      <w:r>
        <w:rPr>
          <w:rFonts w:hint="eastAsia" w:ascii="Times New Roman" w:hAnsi="Times New Roman" w:eastAsia="仿宋_GB2312" w:cs="Times New Roman"/>
          <w:kern w:val="2"/>
          <w:sz w:val="32"/>
          <w:szCs w:val="32"/>
          <w:lang w:val="en-US" w:eastAsia="zh-CN" w:bidi="ar-SA"/>
        </w:rPr>
        <w:t>当事人的违法证据，充分打击当事人的违法行为，和平区市场监管局以实际行动回应老年人群体呼声。</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jc w:val="both"/>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尊老敬老是中华民族的传统美德，爱老助老是全社会的共同责任。我国历来高度重视涉老权益的保护，注重提升政府服务的适老化水平，着力提高老年人风险防范水平，让老年人感受到更多行政温暖，确保老年人的财产权益得到充分保障。这不仅关系到老年人的获得感、幸福感、安全感，而且关系到社会稳定和国家发展的大局。</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Times New Roman" w:hAnsi="Times New Roman" w:eastAsia="仿宋_GB2312" w:cs="Times New Roman"/>
          <w:kern w:val="2"/>
          <w:sz w:val="32"/>
          <w:szCs w:val="32"/>
          <w:lang w:val="en-US" w:eastAsia="zh-CN" w:bidi="ar-SA"/>
        </w:rPr>
      </w:pPr>
    </w:p>
    <w:p>
      <w:pPr>
        <w:keepNext w:val="0"/>
        <w:keepLines w:val="0"/>
        <w:pageBreakBefore w:val="0"/>
        <w:widowControl w:val="0"/>
        <w:tabs>
          <w:tab w:val="left" w:pos="7513"/>
        </w:tabs>
        <w:kinsoku/>
        <w:wordWrap/>
        <w:overflowPunct/>
        <w:topLinePunct w:val="0"/>
        <w:autoSpaceDE/>
        <w:autoSpaceDN/>
        <w:bidi w:val="0"/>
        <w:adjustRightInd/>
        <w:snapToGrid/>
        <w:spacing w:line="560" w:lineRule="exact"/>
        <w:ind w:firstLine="645"/>
        <w:jc w:val="both"/>
        <w:textAlignment w:val="auto"/>
        <w:rPr>
          <w:rFonts w:ascii="Times New Roman" w:hAnsi="Times New Roman"/>
        </w:rPr>
      </w:pPr>
      <w:r>
        <w:rPr>
          <w:rFonts w:hint="eastAsia" w:ascii="Times New Roman" w:hAnsi="Times New Roman" w:eastAsia="仿宋_GB2312" w:cs="Times New Roman"/>
          <w:kern w:val="2"/>
          <w:sz w:val="32"/>
          <w:szCs w:val="32"/>
          <w:lang w:val="en-US" w:eastAsia="zh-CN" w:bidi="ar-SA"/>
        </w:rPr>
        <w:t xml:space="preserve">                         </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pPr>
      <w:bookmarkStart w:id="0" w:name="_GoBack"/>
      <w:bookmarkEnd w:id="0"/>
    </w:p>
    <w:sectPr>
      <w:footerReference r:id="rId3" w:type="default"/>
      <w:footerReference r:id="rId4" w:type="even"/>
      <w:pgSz w:w="11906" w:h="16838"/>
      <w:pgMar w:top="2098" w:right="1559" w:bottom="1985" w:left="1559" w:header="851" w:footer="1588"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微软雅黑">
    <w:altName w:val="黑体"/>
    <w:panose1 w:val="020B0503020204020204"/>
    <w:charset w:val="00"/>
    <w:family w:val="swiss"/>
    <w:pitch w:val="default"/>
    <w:sig w:usb0="00000000" w:usb1="0000000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FreeSerif">
    <w:panose1 w:val="02020603050405020304"/>
    <w:charset w:val="00"/>
    <w:family w:val="auto"/>
    <w:pitch w:val="default"/>
    <w:sig w:usb0="E59FAFFF" w:usb1="C200FDFF" w:usb2="43501B29" w:usb3="04000043" w:csb0="6001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right="360" w:firstLine="360"/>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7"/>
                          </w:pPr>
                          <w:r>
                            <w:fldChar w:fldCharType="begin"/>
                          </w:r>
                          <w:r>
                            <w:instrText xml:space="preserve"> PAGE  \* MERGEFORMAT </w:instrText>
                          </w:r>
                          <w:r>
                            <w:fldChar w:fldCharType="separate"/>
                          </w:r>
                          <w:r>
                            <w:t>- 1 -</w:t>
                          </w:r>
                          <w:r>
                            <w:fldChar w:fldCharType="end"/>
                          </w:r>
                        </w:p>
                      </w:txbxContent>
                    </wps:txbx>
                    <wps:bodyPr wrap="none" lIns="0" tIns="0" rIns="0" bIns="0" upright="fals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BYAAABkcnMvUEsB&#10;AhQAFAAAAAgAh07iQM6pebnPAAAABQEAAA8AAAAAAAAAAQAgAAAAOAAAAGRycy9kb3ducmV2Lnht&#10;bFBLAQIUABQAAAAIAIdO4kCqizKUswEAAFIDAAAOAAAAAAAAAAEAIAAAADQBAABkcnMvZTJvRG9j&#10;LnhtbFBLBQYAAAAABgAGAFkBAABZBQAAAAA=&#10;">
              <v:fill on="f" focussize="0,0"/>
              <v:stroke on="f"/>
              <v:imagedata o:title=""/>
              <o:lock v:ext="edit" aspectratio="f"/>
              <v:textbox inset="0mm,0mm,0mm,0mm" style="mso-fit-shape-to-text:t;">
                <w:txbxContent>
                  <w:p>
                    <w:pPr>
                      <w:pStyle w:val="7"/>
                    </w:pPr>
                    <w:r>
                      <w:fldChar w:fldCharType="begin"/>
                    </w:r>
                    <w:r>
                      <w:instrText xml:space="preserve"> PAGE  \* MERGEFORMAT </w:instrText>
                    </w:r>
                    <w:r>
                      <w:fldChar w:fldCharType="separate"/>
                    </w:r>
                    <w:r>
                      <w:t>- 1 -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outside" w:y="1"/>
      <w:rPr>
        <w:rStyle w:val="11"/>
      </w:rPr>
    </w:pPr>
    <w:r>
      <w:fldChar w:fldCharType="begin"/>
    </w:r>
    <w:r>
      <w:rPr>
        <w:rStyle w:val="11"/>
      </w:rPr>
      <w:instrText xml:space="preserve">PAGE  </w:instrText>
    </w:r>
    <w:r>
      <w:fldChar w:fldCharType="end"/>
    </w:r>
  </w:p>
  <w:p>
    <w:pPr>
      <w:pStyle w:val="7"/>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true"/>
  <w:bordersDoNotSurroundFooter w:val="true"/>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C6FF5EAD"/>
    <w:rsid w:val="1957AD06"/>
    <w:rsid w:val="2BE72655"/>
    <w:rsid w:val="2FEF8AE3"/>
    <w:rsid w:val="34DD9854"/>
    <w:rsid w:val="36773ED8"/>
    <w:rsid w:val="3DD689EA"/>
    <w:rsid w:val="3EE763FD"/>
    <w:rsid w:val="3EF65D68"/>
    <w:rsid w:val="3F73BA7D"/>
    <w:rsid w:val="4F7E3F75"/>
    <w:rsid w:val="59F58C49"/>
    <w:rsid w:val="5FF57356"/>
    <w:rsid w:val="5FFFFD85"/>
    <w:rsid w:val="63DD24DC"/>
    <w:rsid w:val="6DFD7CCA"/>
    <w:rsid w:val="6F77040B"/>
    <w:rsid w:val="72AA3B32"/>
    <w:rsid w:val="773FAC7E"/>
    <w:rsid w:val="774F2B31"/>
    <w:rsid w:val="77CFEC2F"/>
    <w:rsid w:val="79F3230D"/>
    <w:rsid w:val="7BF8AB15"/>
    <w:rsid w:val="7C718DE6"/>
    <w:rsid w:val="7DEE5A5B"/>
    <w:rsid w:val="9AFFACFC"/>
    <w:rsid w:val="9E7CA402"/>
    <w:rsid w:val="9FBFFD3E"/>
    <w:rsid w:val="9FEBE241"/>
    <w:rsid w:val="ABDFF352"/>
    <w:rsid w:val="B753A82F"/>
    <w:rsid w:val="BC3F9E3D"/>
    <w:rsid w:val="BF5610D5"/>
    <w:rsid w:val="BF7F1649"/>
    <w:rsid w:val="BFEF2A8E"/>
    <w:rsid w:val="C6FF5EAD"/>
    <w:rsid w:val="CEFFE45C"/>
    <w:rsid w:val="DEFFC96B"/>
    <w:rsid w:val="DFCEC739"/>
    <w:rsid w:val="E3FC9174"/>
    <w:rsid w:val="E995C839"/>
    <w:rsid w:val="EEDB54E6"/>
    <w:rsid w:val="EFFBCA27"/>
    <w:rsid w:val="EFFFC4DD"/>
    <w:rsid w:val="F3F6C165"/>
    <w:rsid w:val="F62FAA12"/>
    <w:rsid w:val="F6AE04A2"/>
    <w:rsid w:val="F73EB376"/>
    <w:rsid w:val="FB7B1B54"/>
    <w:rsid w:val="FD57667C"/>
    <w:rsid w:val="FD7B885E"/>
    <w:rsid w:val="FD7BF224"/>
    <w:rsid w:val="FDB45D6C"/>
    <w:rsid w:val="FDBDDF26"/>
    <w:rsid w:val="FE4FE2B3"/>
    <w:rsid w:val="FEEFB069"/>
    <w:rsid w:val="FFD013F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bCs/>
      <w:kern w:val="2"/>
      <w:sz w:val="32"/>
      <w:szCs w:val="32"/>
      <w:lang w:val="en-US" w:eastAsia="zh-CN" w:bidi="ar-SA"/>
    </w:rPr>
  </w:style>
  <w:style w:type="paragraph" w:styleId="3">
    <w:name w:val="heading 6"/>
    <w:basedOn w:val="1"/>
    <w:next w:val="1"/>
    <w:unhideWhenUsed/>
    <w:qFormat/>
    <w:uiPriority w:val="0"/>
    <w:pPr>
      <w:keepNext/>
      <w:keepLines/>
      <w:tabs>
        <w:tab w:val="left" w:pos="1151"/>
      </w:tabs>
      <w:spacing w:before="240" w:after="64" w:line="320" w:lineRule="auto"/>
      <w:ind w:left="1151" w:hanging="1151"/>
      <w:outlineLvl w:val="5"/>
    </w:pPr>
    <w:rPr>
      <w:rFonts w:ascii="Cambria" w:hAnsi="Cambria"/>
      <w:b/>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2"/>
    <w:next w:val="1"/>
    <w:qFormat/>
    <w:uiPriority w:val="0"/>
    <w:pPr>
      <w:widowControl w:val="0"/>
      <w:spacing w:after="120"/>
      <w:ind w:left="420" w:leftChars="200" w:firstLine="420" w:firstLineChars="200"/>
      <w:jc w:val="both"/>
    </w:pPr>
    <w:rPr>
      <w:rFonts w:ascii="Times New Roman" w:hAnsi="Times New Roman" w:eastAsia="宋体" w:cs="Times New Roman"/>
      <w:kern w:val="2"/>
      <w:sz w:val="21"/>
      <w:lang w:val="en-US" w:eastAsia="zh-CN" w:bidi="ar-SA"/>
    </w:rPr>
  </w:style>
  <w:style w:type="paragraph" w:styleId="4">
    <w:name w:val="Normal Indent"/>
    <w:basedOn w:val="1"/>
    <w:qFormat/>
    <w:uiPriority w:val="0"/>
    <w:pPr>
      <w:ind w:firstLine="420" w:firstLineChars="200"/>
    </w:pPr>
  </w:style>
  <w:style w:type="paragraph" w:styleId="5">
    <w:name w:val="Body Text"/>
    <w:basedOn w:val="1"/>
    <w:unhideWhenUsed/>
    <w:qFormat/>
    <w:uiPriority w:val="0"/>
    <w:pPr>
      <w:spacing w:after="120"/>
    </w:pPr>
    <w:rPr>
      <w:kern w:val="0"/>
      <w:sz w:val="20"/>
      <w:szCs w:val="20"/>
    </w:rPr>
  </w:style>
  <w:style w:type="paragraph" w:styleId="6">
    <w:name w:val="Body Text Indent"/>
    <w:qFormat/>
    <w:uiPriority w:val="0"/>
    <w:pPr>
      <w:widowControl w:val="0"/>
      <w:spacing w:after="120"/>
      <w:ind w:left="420" w:leftChars="200"/>
      <w:jc w:val="both"/>
    </w:pPr>
    <w:rPr>
      <w:rFonts w:ascii="Times New Roman" w:hAnsi="Times New Roman" w:eastAsia="宋体" w:cs="Times New Roman"/>
      <w:kern w:val="2"/>
      <w:sz w:val="21"/>
      <w:lang w:val="en-US" w:eastAsia="zh-CN" w:bidi="ar-SA"/>
    </w:rPr>
  </w:style>
  <w:style w:type="paragraph" w:styleId="7">
    <w:name w:val="footer"/>
    <w:basedOn w:val="1"/>
    <w:qFormat/>
    <w:uiPriority w:val="0"/>
    <w:pPr>
      <w:tabs>
        <w:tab w:val="center" w:pos="4153"/>
        <w:tab w:val="right" w:pos="8306"/>
      </w:tabs>
      <w:snapToGrid w:val="0"/>
      <w:jc w:val="left"/>
    </w:pPr>
    <w:rPr>
      <w:rFonts w:ascii="Times New Roman" w:hAnsi="Times New Roman"/>
      <w:sz w:val="18"/>
      <w:szCs w:val="18"/>
    </w:rPr>
  </w:style>
  <w:style w:type="paragraph" w:styleId="8">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11">
    <w:name w:val="page number"/>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12</TotalTime>
  <ScaleCrop>false</ScaleCrop>
  <LinksUpToDate>false</LinksUpToDate>
  <CharactersWithSpaces>0</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2025-12-19T17:38:00Z</dcterms:created>
  <dc:creator>scw</dc:creator>
  <cp:lastModifiedBy>scw</cp:lastModifiedBy>
  <dcterms:modified xsi:type="dcterms:W3CDTF">2026-01-14T14:20:40Z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B47CAC77BAA01A1CB91A5269E464A6FD_42</vt:lpwstr>
  </property>
</Properties>
</file>