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20" w:lineRule="exact"/>
        <w:jc w:val="both"/>
        <w:textAlignment w:val="auto"/>
        <w:rPr>
          <w:rFonts w:hint="eastAsia" w:ascii="Times New Roman" w:hAnsi="Times New Roman" w:eastAsia="仿宋_GB2312" w:cs="Times New Roman"/>
          <w:b/>
          <w:bCs w:val="0"/>
          <w:kern w:val="2"/>
          <w:sz w:val="32"/>
          <w:szCs w:val="32"/>
          <w:lang w:val="en-US" w:eastAsia="zh-CN" w:bidi="ar-SA"/>
        </w:rPr>
      </w:pPr>
      <w:r>
        <w:rPr>
          <w:rFonts w:hint="eastAsia" w:ascii="Times New Roman" w:hAnsi="Times New Roman" w:eastAsia="仿宋_GB2312" w:cs="Times New Roman"/>
          <w:b/>
          <w:bCs w:val="0"/>
          <w:kern w:val="2"/>
          <w:sz w:val="32"/>
          <w:szCs w:val="32"/>
          <w:lang w:val="en-US" w:eastAsia="zh-CN" w:bidi="ar-SA"/>
        </w:rPr>
        <w:t>指导案例6</w:t>
      </w:r>
    </w:p>
    <w:p>
      <w:pPr>
        <w:keepNext w:val="0"/>
        <w:keepLines w:val="0"/>
        <w:pageBreakBefore w:val="0"/>
        <w:kinsoku/>
        <w:wordWrap/>
        <w:overflowPunct/>
        <w:topLinePunct w:val="0"/>
        <w:autoSpaceDE/>
        <w:autoSpaceDN/>
        <w:bidi w:val="0"/>
        <w:adjustRightInd/>
        <w:snapToGrid/>
        <w:spacing w:line="520" w:lineRule="exact"/>
        <w:jc w:val="center"/>
        <w:textAlignment w:val="auto"/>
        <w:rPr>
          <w:rFonts w:hint="eastAsia" w:ascii="Times New Roman" w:hAnsi="Times New Roman" w:eastAsia="方正小标宋简体" w:cs="Times New Roman"/>
          <w:sz w:val="44"/>
          <w:szCs w:val="44"/>
          <w:lang w:eastAsia="zh-CN"/>
        </w:rPr>
      </w:pPr>
    </w:p>
    <w:p>
      <w:pPr>
        <w:keepNext w:val="0"/>
        <w:keepLines w:val="0"/>
        <w:pageBreakBefore w:val="0"/>
        <w:kinsoku/>
        <w:wordWrap/>
        <w:overflowPunct/>
        <w:topLinePunct w:val="0"/>
        <w:autoSpaceDE/>
        <w:autoSpaceDN/>
        <w:bidi w:val="0"/>
        <w:adjustRightInd/>
        <w:snapToGrid/>
        <w:spacing w:line="520" w:lineRule="exact"/>
        <w:jc w:val="center"/>
        <w:textAlignment w:val="auto"/>
        <w:rPr>
          <w:rFonts w:hint="default" w:ascii="Times New Roman" w:hAnsi="Times New Roman" w:eastAsia="微软雅黑" w:cs="Times New Roman"/>
          <w:color w:val="auto"/>
          <w:kern w:val="0"/>
          <w:sz w:val="32"/>
          <w:szCs w:val="32"/>
          <w:lang w:eastAsia="zh-CN"/>
        </w:rPr>
      </w:pPr>
      <w:r>
        <w:rPr>
          <w:rFonts w:hint="eastAsia" w:ascii="Times New Roman" w:hAnsi="Times New Roman" w:eastAsia="方正小标宋简体" w:cs="Times New Roman"/>
          <w:sz w:val="44"/>
          <w:szCs w:val="44"/>
          <w:lang w:eastAsia="zh-CN"/>
        </w:rPr>
        <w:t>行政执法指导</w:t>
      </w:r>
      <w:r>
        <w:rPr>
          <w:rFonts w:hint="default" w:ascii="Times New Roman" w:hAnsi="Times New Roman" w:eastAsia="方正小标宋简体" w:cs="Times New Roman"/>
          <w:sz w:val="44"/>
          <w:szCs w:val="44"/>
        </w:rPr>
        <w:t>案例</w:t>
      </w:r>
    </w:p>
    <w:p>
      <w:pPr>
        <w:pStyle w:val="4"/>
        <w:keepNext w:val="0"/>
        <w:keepLines w:val="0"/>
        <w:pageBreakBefore w:val="0"/>
        <w:kinsoku/>
        <w:wordWrap/>
        <w:overflowPunct/>
        <w:topLinePunct w:val="0"/>
        <w:autoSpaceDE/>
        <w:autoSpaceDN/>
        <w:bidi w:val="0"/>
        <w:adjustRightInd/>
        <w:snapToGrid/>
        <w:spacing w:line="520" w:lineRule="exact"/>
        <w:ind w:firstLine="640"/>
        <w:jc w:val="both"/>
        <w:textAlignment w:val="auto"/>
        <w:rPr>
          <w:rFonts w:hint="eastAsia" w:ascii="Times New Roman" w:hAnsi="Times New Roman" w:eastAsia="仿宋_GB2312" w:cs="Times New Roman"/>
          <w:kern w:val="2"/>
          <w:sz w:val="32"/>
          <w:szCs w:val="32"/>
          <w:lang w:val="en-US" w:eastAsia="zh-CN" w:bidi="ar-SA"/>
        </w:rPr>
      </w:pPr>
    </w:p>
    <w:p>
      <w:pPr>
        <w:pStyle w:val="4"/>
        <w:keepNext w:val="0"/>
        <w:keepLines w:val="0"/>
        <w:pageBreakBefore w:val="0"/>
        <w:kinsoku/>
        <w:wordWrap/>
        <w:overflowPunct/>
        <w:topLinePunct w:val="0"/>
        <w:autoSpaceDE/>
        <w:autoSpaceDN/>
        <w:bidi w:val="0"/>
        <w:adjustRightInd w:val="0"/>
        <w:snapToGrid w:val="0"/>
        <w:spacing w:after="0" w:line="560" w:lineRule="exact"/>
        <w:ind w:left="0" w:firstLine="640"/>
        <w:jc w:val="left"/>
        <w:textAlignment w:val="auto"/>
        <w:rPr>
          <w:rFonts w:hint="eastAsia" w:ascii="仿宋_GB2312" w:hAnsi="仿宋_GB2312" w:eastAsia="仿宋_GB2312" w:cs="仿宋_GB2312"/>
          <w:kern w:val="2"/>
          <w:sz w:val="32"/>
          <w:szCs w:val="32"/>
          <w:lang w:val="en" w:eastAsia="zh-CN" w:bidi="ar-SA"/>
        </w:rPr>
      </w:pPr>
      <w:r>
        <w:rPr>
          <w:rFonts w:hint="eastAsia" w:ascii="仿宋_GB2312" w:hAnsi="仿宋_GB2312" w:eastAsia="仿宋_GB2312" w:cs="仿宋_GB2312"/>
          <w:kern w:val="2"/>
          <w:sz w:val="32"/>
          <w:szCs w:val="32"/>
          <w:lang w:val="en-US" w:eastAsia="zh-CN" w:bidi="ar-SA"/>
        </w:rPr>
        <w:t>行政机关：天津市静海区市场监督管理局</w:t>
      </w:r>
    </w:p>
    <w:p>
      <w:pPr>
        <w:pStyle w:val="4"/>
        <w:keepNext w:val="0"/>
        <w:keepLines w:val="0"/>
        <w:pageBreakBefore w:val="0"/>
        <w:kinsoku/>
        <w:wordWrap/>
        <w:overflowPunct/>
        <w:topLinePunct w:val="0"/>
        <w:autoSpaceDE/>
        <w:autoSpaceDN/>
        <w:bidi w:val="0"/>
        <w:adjustRightInd w:val="0"/>
        <w:snapToGrid w:val="0"/>
        <w:spacing w:after="0" w:line="560" w:lineRule="exact"/>
        <w:ind w:left="0"/>
        <w:jc w:val="left"/>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 xml:space="preserve">    当事人：卢XX</w:t>
      </w:r>
    </w:p>
    <w:p>
      <w:pPr>
        <w:keepNext w:val="0"/>
        <w:keepLines w:val="0"/>
        <w:pageBreakBefore w:val="0"/>
        <w:widowControl/>
        <w:numPr>
          <w:ilvl w:val="0"/>
          <w:numId w:val="0"/>
        </w:numPr>
        <w:shd w:val="clear" w:color="auto" w:fill="auto"/>
        <w:kinsoku/>
        <w:wordWrap/>
        <w:overflowPunct/>
        <w:topLinePunct w:val="0"/>
        <w:autoSpaceDE/>
        <w:autoSpaceDN/>
        <w:bidi w:val="0"/>
        <w:adjustRightInd w:val="0"/>
        <w:snapToGrid w:val="0"/>
        <w:spacing w:line="560" w:lineRule="exact"/>
        <w:ind w:left="0" w:leftChars="0"/>
        <w:jc w:val="left"/>
        <w:textAlignment w:val="auto"/>
        <w:outlineLvl w:val="2"/>
        <w:rPr>
          <w:rFonts w:hint="eastAsia" w:ascii="仿宋_GB2312" w:hAnsi="仿宋_GB2312" w:eastAsia="仿宋_GB2312" w:cs="仿宋_GB2312"/>
        </w:rPr>
      </w:pPr>
      <w:r>
        <w:rPr>
          <w:rFonts w:hint="eastAsia" w:ascii="仿宋_GB2312" w:hAnsi="仿宋_GB2312" w:eastAsia="仿宋_GB2312" w:cs="仿宋_GB2312"/>
          <w:bCs/>
          <w:sz w:val="32"/>
          <w:szCs w:val="32"/>
          <w:lang w:val="en-US" w:eastAsia="zh-CN"/>
        </w:rPr>
        <w:t xml:space="preserve">    </w:t>
      </w:r>
      <w:r>
        <w:rPr>
          <w:rFonts w:hint="eastAsia" w:ascii="黑体" w:hAnsi="黑体" w:eastAsia="黑体" w:cs="黑体"/>
          <w:bCs/>
          <w:sz w:val="32"/>
          <w:szCs w:val="32"/>
          <w:lang w:eastAsia="zh-CN"/>
        </w:rPr>
        <w:t>一、案件</w:t>
      </w:r>
      <w:r>
        <w:rPr>
          <w:rFonts w:hint="eastAsia" w:ascii="黑体" w:hAnsi="黑体" w:eastAsia="黑体" w:cs="黑体"/>
          <w:bCs/>
          <w:sz w:val="32"/>
          <w:szCs w:val="32"/>
        </w:rPr>
        <w:t>名称</w:t>
      </w:r>
    </w:p>
    <w:p>
      <w:pPr>
        <w:pStyle w:val="4"/>
        <w:keepNext w:val="0"/>
        <w:keepLines w:val="0"/>
        <w:pageBreakBefore w:val="0"/>
        <w:kinsoku/>
        <w:wordWrap/>
        <w:overflowPunct/>
        <w:topLinePunct w:val="0"/>
        <w:autoSpaceDE/>
        <w:autoSpaceDN/>
        <w:bidi w:val="0"/>
        <w:adjustRightInd w:val="0"/>
        <w:snapToGrid w:val="0"/>
        <w:spacing w:after="0" w:line="560" w:lineRule="exact"/>
        <w:ind w:left="0" w:firstLine="640"/>
        <w:jc w:val="left"/>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卢XX销售假药，终身禁止从事药品生产经营活动案</w:t>
      </w:r>
    </w:p>
    <w:p>
      <w:pPr>
        <w:pStyle w:val="4"/>
        <w:keepNext w:val="0"/>
        <w:keepLines w:val="0"/>
        <w:pageBreakBefore w:val="0"/>
        <w:numPr>
          <w:ilvl w:val="0"/>
          <w:numId w:val="0"/>
        </w:numPr>
        <w:kinsoku/>
        <w:wordWrap/>
        <w:overflowPunct/>
        <w:topLinePunct w:val="0"/>
        <w:autoSpaceDE/>
        <w:autoSpaceDN/>
        <w:bidi w:val="0"/>
        <w:adjustRightInd w:val="0"/>
        <w:snapToGrid w:val="0"/>
        <w:spacing w:after="0" w:line="560" w:lineRule="exact"/>
        <w:ind w:leftChars="0"/>
        <w:jc w:val="left"/>
        <w:textAlignment w:val="auto"/>
        <w:rPr>
          <w:rFonts w:hint="eastAsia" w:ascii="仿宋_GB2312" w:hAnsi="仿宋_GB2312" w:eastAsia="仿宋_GB2312" w:cs="仿宋_GB2312"/>
          <w:bCs/>
          <w:sz w:val="32"/>
          <w:szCs w:val="32"/>
          <w:lang w:eastAsia="zh-CN"/>
        </w:rPr>
      </w:pPr>
      <w:r>
        <w:rPr>
          <w:rFonts w:hint="eastAsia" w:ascii="仿宋_GB2312" w:hAnsi="仿宋_GB2312" w:eastAsia="仿宋_GB2312" w:cs="仿宋_GB2312"/>
          <w:bCs/>
          <w:sz w:val="32"/>
          <w:szCs w:val="32"/>
          <w:lang w:val="en-US" w:eastAsia="zh-CN"/>
        </w:rPr>
        <w:t xml:space="preserve">    </w:t>
      </w:r>
      <w:r>
        <w:rPr>
          <w:rFonts w:hint="eastAsia" w:ascii="黑体" w:hAnsi="黑体" w:eastAsia="黑体" w:cs="黑体"/>
          <w:bCs/>
          <w:sz w:val="32"/>
          <w:szCs w:val="32"/>
          <w:lang w:eastAsia="zh-CN"/>
        </w:rPr>
        <w:t>二、基本案情</w:t>
      </w:r>
    </w:p>
    <w:p>
      <w:pPr>
        <w:pStyle w:val="4"/>
        <w:keepNext w:val="0"/>
        <w:keepLines w:val="0"/>
        <w:pageBreakBefore w:val="0"/>
        <w:numPr>
          <w:ilvl w:val="0"/>
          <w:numId w:val="0"/>
        </w:numPr>
        <w:kinsoku/>
        <w:wordWrap/>
        <w:overflowPunct/>
        <w:topLinePunct w:val="0"/>
        <w:autoSpaceDE/>
        <w:autoSpaceDN/>
        <w:bidi w:val="0"/>
        <w:adjustRightInd w:val="0"/>
        <w:snapToGrid w:val="0"/>
        <w:spacing w:after="0" w:line="560" w:lineRule="exact"/>
        <w:ind w:left="0" w:firstLine="640"/>
        <w:jc w:val="left"/>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2025年11月，天津市静海区市场监督管理局收到天津市静海区人民法院刑事判决书（（2025）津0118刑初339号），当事人犯销售假药罪，判处有期徒刑六个月,缓刑一年,并处罚金人民币五千元。在缓刑考验期内,依法实行社区矫正。(缓刑考验期限,从判决确定之日起计算。罚金已缴纳。)退缴违法所得人民币700元。</w:t>
      </w:r>
    </w:p>
    <w:p>
      <w:pPr>
        <w:pStyle w:val="4"/>
        <w:keepNext w:val="0"/>
        <w:keepLines w:val="0"/>
        <w:pageBreakBefore w:val="0"/>
        <w:numPr>
          <w:ilvl w:val="0"/>
          <w:numId w:val="0"/>
        </w:numPr>
        <w:kinsoku/>
        <w:wordWrap/>
        <w:overflowPunct/>
        <w:topLinePunct w:val="0"/>
        <w:autoSpaceDE/>
        <w:autoSpaceDN/>
        <w:bidi w:val="0"/>
        <w:adjustRightInd w:val="0"/>
        <w:snapToGrid w:val="0"/>
        <w:spacing w:after="0" w:line="560" w:lineRule="exact"/>
        <w:ind w:left="0" w:firstLine="640"/>
        <w:jc w:val="left"/>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2024年2月,当事人在其经营的XX推拿店内,将从他人处购买的无明确成分、无生产厂家及批准文号等信息的蓝白色“三号祖传”胶囊 2 袋以人民币 700元的价格销售给举报人。2024年3月,区市场监管局执法人员进行现场检查时，在当事人经营场所内，发现待售的“三号祖传”胶囊 18袋。经天津市药品检验研究院检验,涉案胶囊中含醋酸泼尼松、吲哚美辛、双氯芬酸钠、布洛芬成分。区市场监管局认定当事人经营的“三号祖传”胶囊属于以非药品冒充药品，应定性为假药。公安机关认为当事人生产、销售假药，其行为触犯了《中华人民共和国刑法》第一百四十一条之规定，天津市静海区人民法院依照《中华人民共和国刑法》第一百四十一条、第六十七条第三款、第七十二条、第七十三条、第七十六条、第六十四条，《中华人民共和国刑事诉讼法》第十五条，《最高人民法院、最高人民检察院关于办理危害药品安全刑事案件适用法律若干问题的解释》第十条、第十九条之规定，判处当事人有期徒刑六个月，缓刑一年，并处罚金人民币五千元。在缓刑考验期内，依法实行社区矫正。（缓刑考验期限，从判决确定之日起计算。罚金已缴纳。）退缴的违法所得人民币 700 元，发还举报人；扣押在案的胶囊，予以没收，因当事人无工作单位，故违法行为发生期间未从工作单位获得收入。</w:t>
      </w:r>
    </w:p>
    <w:p>
      <w:pPr>
        <w:pStyle w:val="4"/>
        <w:keepNext w:val="0"/>
        <w:keepLines w:val="0"/>
        <w:pageBreakBefore w:val="0"/>
        <w:numPr>
          <w:ilvl w:val="0"/>
          <w:numId w:val="0"/>
        </w:numPr>
        <w:kinsoku/>
        <w:wordWrap/>
        <w:overflowPunct/>
        <w:topLinePunct w:val="0"/>
        <w:autoSpaceDE/>
        <w:autoSpaceDN/>
        <w:bidi w:val="0"/>
        <w:adjustRightInd w:val="0"/>
        <w:snapToGrid w:val="0"/>
        <w:spacing w:after="0" w:line="560" w:lineRule="exact"/>
        <w:ind w:left="0" w:firstLine="640"/>
        <w:jc w:val="left"/>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上述事实，主要有以下证据证明：1.《天津市静海区人民法院刑事判决书》（（2025）津0118刑初339号），《涉嫌犯罪案件线索移送书》（津市监静综涉罪线移〔2024〕5-1号）及材料。2.2025年11月20日，现场笔录1份，现场检查照片1份。3.2025年11月20日，当事人提供的身份证复印件1份。4.2025年11月20日，对当事人的询问笔录1份。</w:t>
      </w:r>
    </w:p>
    <w:p>
      <w:pPr>
        <w:pStyle w:val="4"/>
        <w:keepNext w:val="0"/>
        <w:keepLines w:val="0"/>
        <w:pageBreakBefore w:val="0"/>
        <w:numPr>
          <w:ilvl w:val="0"/>
          <w:numId w:val="0"/>
        </w:numPr>
        <w:kinsoku/>
        <w:wordWrap/>
        <w:overflowPunct/>
        <w:topLinePunct w:val="0"/>
        <w:autoSpaceDE/>
        <w:autoSpaceDN/>
        <w:bidi w:val="0"/>
        <w:adjustRightInd w:val="0"/>
        <w:snapToGrid w:val="0"/>
        <w:spacing w:after="0" w:line="560" w:lineRule="exact"/>
        <w:ind w:leftChars="0"/>
        <w:jc w:val="left"/>
        <w:textAlignment w:val="auto"/>
        <w:rPr>
          <w:rFonts w:hint="eastAsia" w:ascii="仿宋_GB2312" w:hAnsi="仿宋_GB2312" w:eastAsia="仿宋_GB2312" w:cs="仿宋_GB2312"/>
          <w:bCs/>
          <w:sz w:val="32"/>
          <w:szCs w:val="32"/>
          <w:lang w:eastAsia="zh-CN"/>
        </w:rPr>
      </w:pPr>
      <w:r>
        <w:rPr>
          <w:rFonts w:hint="eastAsia" w:ascii="仿宋_GB2312" w:hAnsi="仿宋_GB2312" w:eastAsia="仿宋_GB2312" w:cs="仿宋_GB2312"/>
          <w:bCs/>
          <w:sz w:val="32"/>
          <w:szCs w:val="32"/>
          <w:lang w:val="en-US" w:eastAsia="zh-CN"/>
        </w:rPr>
        <w:t xml:space="preserve">    </w:t>
      </w:r>
      <w:r>
        <w:rPr>
          <w:rFonts w:hint="eastAsia" w:ascii="黑体" w:hAnsi="黑体" w:eastAsia="黑体" w:cs="黑体"/>
          <w:bCs/>
          <w:sz w:val="32"/>
          <w:szCs w:val="32"/>
          <w:lang w:eastAsia="zh-CN"/>
        </w:rPr>
        <w:t>三、法律适用及决定结果</w:t>
      </w:r>
    </w:p>
    <w:p>
      <w:pPr>
        <w:pStyle w:val="4"/>
        <w:keepNext w:val="0"/>
        <w:keepLines w:val="0"/>
        <w:pageBreakBefore w:val="0"/>
        <w:numPr>
          <w:ilvl w:val="0"/>
          <w:numId w:val="0"/>
        </w:numPr>
        <w:kinsoku/>
        <w:wordWrap/>
        <w:overflowPunct/>
        <w:topLinePunct w:val="0"/>
        <w:autoSpaceDE/>
        <w:autoSpaceDN/>
        <w:bidi w:val="0"/>
        <w:adjustRightInd w:val="0"/>
        <w:snapToGrid w:val="0"/>
        <w:spacing w:after="0" w:line="560" w:lineRule="exact"/>
        <w:ind w:left="0" w:firstLine="640"/>
        <w:jc w:val="left"/>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法律适用：1、《中华人民共和国药品管理法》第九十八条第一款“禁止生产（包括配制，下同）、销售、使用假药、劣药。”第二款第二项的规定“ 有下列情形之一的，为假药：（二）以非药品冒充药品或者以他种药品冒充此种药品；”。2、《中华人民共和国行政处罚法》第三十五条第二款“违法行为构成犯罪，人民法院判处罚金时，行政机关已经给予当事人罚款的，应当折抵相应罚金；行政机关尚未给予当事人罚款的，不再给予罚款”。3、《中华人民共和国药品管理法》第一百一十八条第一款“生产、销售假药，或者生产、销售劣药且情节严重的，对法定代表人、主要负责人、直接负责的主管人员和其他责任人员，没收违法行为发生期间自本单位所获收入，并处所获收入百分之三十以上三倍以下的罚款，终身禁止从事药品生产经营活动，并可以由公安机关处五日以上十五日以下的拘留。”</w:t>
      </w:r>
    </w:p>
    <w:p>
      <w:pPr>
        <w:pStyle w:val="4"/>
        <w:keepNext w:val="0"/>
        <w:keepLines w:val="0"/>
        <w:pageBreakBefore w:val="0"/>
        <w:numPr>
          <w:ilvl w:val="0"/>
          <w:numId w:val="0"/>
        </w:numPr>
        <w:kinsoku/>
        <w:wordWrap/>
        <w:overflowPunct/>
        <w:topLinePunct w:val="0"/>
        <w:autoSpaceDE/>
        <w:autoSpaceDN/>
        <w:bidi w:val="0"/>
        <w:adjustRightInd w:val="0"/>
        <w:snapToGrid w:val="0"/>
        <w:spacing w:after="0" w:line="560" w:lineRule="exact"/>
        <w:ind w:left="0" w:firstLine="640"/>
        <w:jc w:val="left"/>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决定结果：终身禁止从事药品生产经营活动处罚决定已履行。</w:t>
      </w:r>
    </w:p>
    <w:p>
      <w:pPr>
        <w:pStyle w:val="4"/>
        <w:keepNext w:val="0"/>
        <w:keepLines w:val="0"/>
        <w:pageBreakBefore w:val="0"/>
        <w:numPr>
          <w:ilvl w:val="0"/>
          <w:numId w:val="0"/>
        </w:numPr>
        <w:kinsoku/>
        <w:wordWrap/>
        <w:overflowPunct/>
        <w:topLinePunct w:val="0"/>
        <w:autoSpaceDE/>
        <w:autoSpaceDN/>
        <w:bidi w:val="0"/>
        <w:adjustRightInd w:val="0"/>
        <w:snapToGrid w:val="0"/>
        <w:spacing w:after="0" w:line="560" w:lineRule="exact"/>
        <w:ind w:left="0" w:leftChars="0"/>
        <w:jc w:val="left"/>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bCs/>
          <w:sz w:val="32"/>
          <w:szCs w:val="32"/>
          <w:lang w:val="en-US" w:eastAsia="zh-CN"/>
        </w:rPr>
        <w:t xml:space="preserve">    </w:t>
      </w:r>
      <w:r>
        <w:rPr>
          <w:rFonts w:hint="eastAsia" w:ascii="黑体" w:hAnsi="黑体" w:eastAsia="黑体" w:cs="黑体"/>
          <w:bCs/>
          <w:sz w:val="32"/>
          <w:szCs w:val="32"/>
          <w:lang w:val="en-US" w:eastAsia="zh-CN"/>
        </w:rPr>
        <w:t>四、说明理由</w:t>
      </w:r>
      <w:r>
        <w:rPr>
          <w:rFonts w:hint="eastAsia" w:ascii="仿宋_GB2312" w:hAnsi="仿宋_GB2312" w:eastAsia="仿宋_GB2312" w:cs="仿宋_GB2312"/>
          <w:kern w:val="2"/>
          <w:sz w:val="32"/>
          <w:szCs w:val="32"/>
          <w:lang w:val="en-US" w:eastAsia="zh-CN" w:bidi="ar-SA"/>
        </w:rPr>
        <w:t xml:space="preserve">   </w:t>
      </w:r>
    </w:p>
    <w:p>
      <w:pPr>
        <w:pStyle w:val="4"/>
        <w:keepNext w:val="0"/>
        <w:keepLines w:val="0"/>
        <w:pageBreakBefore w:val="0"/>
        <w:numPr>
          <w:ilvl w:val="0"/>
          <w:numId w:val="0"/>
        </w:numPr>
        <w:kinsoku/>
        <w:wordWrap/>
        <w:overflowPunct/>
        <w:topLinePunct w:val="0"/>
        <w:autoSpaceDE/>
        <w:autoSpaceDN/>
        <w:bidi w:val="0"/>
        <w:adjustRightInd w:val="0"/>
        <w:snapToGrid w:val="0"/>
        <w:spacing w:after="0" w:line="560" w:lineRule="exact"/>
        <w:ind w:left="0"/>
        <w:jc w:val="left"/>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 xml:space="preserve">    （一）《天津市静海区人民法院刑事判决书》（（2025）津0118刑初339号）、《涉嫌犯罪案件线索移送书》（津市监静综涉罪线移〔2024〕5-1号）及材料，证明案件来源及当事人违法行为；现场笔录及现场检查照片，证明现场检查未发现“三号祖传”胶囊事实；当事人提供的身份证复印件，证明当事人的主体资格；询问笔录，证明当事人销售“三号祖传”胶囊被判处刑罚的情节。</w:t>
      </w:r>
    </w:p>
    <w:p>
      <w:pPr>
        <w:pStyle w:val="4"/>
        <w:keepNext w:val="0"/>
        <w:keepLines w:val="0"/>
        <w:pageBreakBefore w:val="0"/>
        <w:numPr>
          <w:ilvl w:val="0"/>
          <w:numId w:val="0"/>
        </w:numPr>
        <w:kinsoku/>
        <w:wordWrap/>
        <w:overflowPunct/>
        <w:topLinePunct w:val="0"/>
        <w:autoSpaceDE/>
        <w:autoSpaceDN/>
        <w:bidi w:val="0"/>
        <w:adjustRightInd w:val="0"/>
        <w:snapToGrid w:val="0"/>
        <w:spacing w:after="0" w:line="560" w:lineRule="exact"/>
        <w:ind w:left="0" w:firstLine="640"/>
        <w:jc w:val="left"/>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（二）当事人行为违反了《中华人民共和国药品管理法》第九十八条第一款“禁止生产（包括配制，下同）、销售、使用假药、劣药。”第二款第二项的规定“ 有下列情形之一的，为假药：（二）以非药品冒充药品或者以他种药品冒充此种药品；”的规定。</w:t>
      </w:r>
    </w:p>
    <w:p>
      <w:pPr>
        <w:pStyle w:val="4"/>
        <w:keepNext w:val="0"/>
        <w:keepLines w:val="0"/>
        <w:pageBreakBefore w:val="0"/>
        <w:numPr>
          <w:ilvl w:val="0"/>
          <w:numId w:val="0"/>
        </w:numPr>
        <w:kinsoku/>
        <w:wordWrap/>
        <w:overflowPunct/>
        <w:topLinePunct w:val="0"/>
        <w:autoSpaceDE/>
        <w:autoSpaceDN/>
        <w:bidi w:val="0"/>
        <w:adjustRightInd w:val="0"/>
        <w:snapToGrid w:val="0"/>
        <w:spacing w:after="0" w:line="560" w:lineRule="exact"/>
        <w:ind w:left="0" w:firstLine="640"/>
        <w:jc w:val="left"/>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三）鉴于当事人的上述违法行为已被天津市静海区人民法院以销售假药罪判处有期徒刑六个月,缓刑一年,并处罚金人民币五千元。在缓刑考验期内,依法实行社区矫正。(缓刑考验期限,从判决确定之日起计算。罚金已缴纳。)退缴违法所得人民币700 元。依据《中华人民共和国行政处罚法》第三十五条第二款“违法行为构成犯罪，人民法院判处罚金时，行政机关已经给予当事人罚款的，应当折抵相应罚金；行政机关尚未给予当事人罚款的，不再给予罚款”的规定，不再给予罚款的行政处罚。因当事人无工作单位，故违法行为发生期间未从工作单位获得收入，不再给予没收违法行为发生期间自本单位所获收入的行政处罚。</w:t>
      </w:r>
    </w:p>
    <w:p>
      <w:pPr>
        <w:pStyle w:val="4"/>
        <w:keepNext w:val="0"/>
        <w:keepLines w:val="0"/>
        <w:pageBreakBefore w:val="0"/>
        <w:numPr>
          <w:ilvl w:val="0"/>
          <w:numId w:val="0"/>
        </w:numPr>
        <w:kinsoku/>
        <w:wordWrap/>
        <w:overflowPunct/>
        <w:topLinePunct w:val="0"/>
        <w:autoSpaceDE/>
        <w:autoSpaceDN/>
        <w:bidi w:val="0"/>
        <w:adjustRightInd w:val="0"/>
        <w:snapToGrid w:val="0"/>
        <w:spacing w:after="0" w:line="560" w:lineRule="exact"/>
        <w:ind w:left="0" w:leftChars="0"/>
        <w:jc w:val="left"/>
        <w:textAlignment w:val="auto"/>
        <w:rPr>
          <w:rFonts w:hint="eastAsia" w:ascii="仿宋_GB2312" w:hAnsi="仿宋_GB2312" w:eastAsia="仿宋_GB2312" w:cs="仿宋_GB2312"/>
          <w:bCs/>
          <w:sz w:val="32"/>
          <w:szCs w:val="32"/>
          <w:lang w:eastAsia="zh-CN"/>
        </w:rPr>
      </w:pPr>
      <w:r>
        <w:rPr>
          <w:rFonts w:hint="eastAsia" w:ascii="仿宋_GB2312" w:hAnsi="仿宋_GB2312" w:eastAsia="仿宋_GB2312" w:cs="仿宋_GB2312"/>
          <w:kern w:val="2"/>
          <w:sz w:val="32"/>
          <w:szCs w:val="32"/>
          <w:lang w:val="en-US" w:eastAsia="zh-CN" w:bidi="ar-SA"/>
        </w:rPr>
        <w:t xml:space="preserve">    </w:t>
      </w:r>
      <w:r>
        <w:rPr>
          <w:rFonts w:hint="eastAsia" w:ascii="黑体" w:hAnsi="黑体" w:eastAsia="黑体" w:cs="黑体"/>
          <w:bCs/>
          <w:sz w:val="32"/>
          <w:szCs w:val="32"/>
          <w:lang w:eastAsia="zh-CN"/>
        </w:rPr>
        <w:t>五、典型意义</w:t>
      </w:r>
    </w:p>
    <w:p>
      <w:pPr>
        <w:pStyle w:val="4"/>
        <w:keepNext w:val="0"/>
        <w:keepLines w:val="0"/>
        <w:pageBreakBefore w:val="0"/>
        <w:numPr>
          <w:ilvl w:val="0"/>
          <w:numId w:val="0"/>
        </w:numPr>
        <w:kinsoku/>
        <w:wordWrap/>
        <w:overflowPunct/>
        <w:topLinePunct w:val="0"/>
        <w:autoSpaceDE/>
        <w:autoSpaceDN/>
        <w:bidi w:val="0"/>
        <w:adjustRightInd w:val="0"/>
        <w:snapToGrid w:val="0"/>
        <w:spacing w:after="0" w:line="560" w:lineRule="exact"/>
        <w:ind w:left="0" w:firstLine="640"/>
        <w:jc w:val="left"/>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打击药品安全违法行为是市场监管部门的重要职能之一，药品安全犯罪极易引发社会恐慌，对犯罪者判处刑罚的同时并处终身从业禁止，展示了天津市静海区市场监督管理局捍卫百姓“药品安全”的坚定决心。通过剥夺违法者从业资格形成终身震慑，维护了药品经营环境的公平和安全。</w:t>
      </w:r>
      <w:bookmarkStart w:id="0" w:name="_GoBack"/>
      <w:bookmarkEnd w:id="0"/>
    </w:p>
    <w:sectPr>
      <w:footerReference r:id="rId3" w:type="default"/>
      <w:footerReference r:id="rId4" w:type="even"/>
      <w:pgSz w:w="11906" w:h="16838"/>
      <w:pgMar w:top="2098" w:right="1474" w:bottom="1985" w:left="1588" w:header="851" w:footer="1588"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Cambria">
    <w:altName w:val="FreeSerif"/>
    <w:panose1 w:val="02040503050406030204"/>
    <w:charset w:val="00"/>
    <w:family w:val="roman"/>
    <w:pitch w:val="default"/>
    <w:sig w:usb0="00000000" w:usb1="00000000" w:usb2="00000000" w:usb3="00000000" w:csb0="2000019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微软雅黑">
    <w:altName w:val="黑体"/>
    <w:panose1 w:val="020B0503020204020204"/>
    <w:charset w:val="00"/>
    <w:family w:val="swiss"/>
    <w:pitch w:val="default"/>
    <w:sig w:usb0="00000000" w:usb1="00000000" w:usb2="00000016" w:usb3="00000000" w:csb0="0004001F" w:csb1="00000000"/>
  </w:font>
  <w:font w:name="方正书宋_GBK">
    <w:panose1 w:val="02000000000000000000"/>
    <w:charset w:val="86"/>
    <w:family w:val="auto"/>
    <w:pitch w:val="default"/>
    <w:sig w:usb0="00000001" w:usb1="08000000" w:usb2="00000000" w:usb3="00000000" w:csb0="00040000" w:csb1="00000000"/>
  </w:font>
  <w:font w:name="方正宋体S-超大字符集">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FreeSerif">
    <w:panose1 w:val="02020603050405020304"/>
    <w:charset w:val="00"/>
    <w:family w:val="auto"/>
    <w:pitch w:val="default"/>
    <w:sig w:usb0="E59FAFFF" w:usb1="C200FDFF" w:usb2="43501B29" w:usb3="04000043" w:csb0="6001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right="360" w:firstLine="360"/>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a:noFill/>
                      </a:ln>
                      <a:effectLst/>
                    </wps:spPr>
                    <wps:txbx>
                      <w:txbxContent>
                        <w:p>
                          <w:pPr>
                            <w:pStyle w:val="5"/>
                          </w:pPr>
                          <w:r>
                            <w:fldChar w:fldCharType="begin"/>
                          </w:r>
                          <w:r>
                            <w:instrText xml:space="preserve"> PAGE  \* MERGEFORMAT </w:instrText>
                          </w:r>
                          <w:r>
                            <w:fldChar w:fldCharType="separate"/>
                          </w:r>
                          <w:r>
                            <w:t>- 1 -</w:t>
                          </w:r>
                          <w:r>
                            <w:fldChar w:fldCharType="end"/>
                          </w:r>
                        </w:p>
                      </w:txbxContent>
                    </wps:txbx>
                    <wps:bodyPr wrap="none" lIns="0" tIns="0" rIns="0" bIns="0" upright="fals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WAAAAZHJz&#10;L1BLAQIUABQAAAAIAIdO4kDOqXm5zwAAAAUBAAAPAAAAAAAAAAEAIAAAADgAAABkcnMvZG93bnJl&#10;di54bWxQSwECFAAUAAAACACHTuJAQpVxR7cBAABgAwAADgAAAAAAAAABACAAAAA0AQAAZHJzL2Uy&#10;b0RvYy54bWxQSwUGAAAAAAYABgBZAQAAXQUAAAAA&#10;">
              <v:fill on="f" focussize="0,0"/>
              <v:stroke on="f"/>
              <v:imagedata o:title=""/>
              <o:lock v:ext="edit" aspectratio="f"/>
              <v:textbox inset="0mm,0mm,0mm,0mm" style="mso-fit-shape-to-text:t;">
                <w:txbxContent>
                  <w:p>
                    <w:pPr>
                      <w:pStyle w:val="5"/>
                    </w:pPr>
                    <w:r>
                      <w:fldChar w:fldCharType="begin"/>
                    </w:r>
                    <w:r>
                      <w:instrText xml:space="preserve"> PAGE  \* MERGEFORMAT </w:instrText>
                    </w:r>
                    <w:r>
                      <w:fldChar w:fldCharType="separate"/>
                    </w:r>
                    <w:r>
                      <w:t>- 1 -</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outside" w:y="1"/>
      <w:rPr>
        <w:rStyle w:val="8"/>
      </w:rPr>
    </w:pPr>
    <w:r>
      <w:fldChar w:fldCharType="begin"/>
    </w:r>
    <w:r>
      <w:rPr>
        <w:rStyle w:val="8"/>
      </w:rPr>
      <w:instrText xml:space="preserve">PAGE  </w:instrText>
    </w:r>
    <w:r>
      <w:fldChar w:fldCharType="end"/>
    </w:r>
  </w:p>
  <w:p>
    <w:pPr>
      <w:pStyle w:val="5"/>
      <w:ind w:right="360" w:firstLine="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bordersDoNotSurroundHeader w:val="false"/>
  <w:bordersDoNotSurroundFooter w:val="false"/>
  <w:documentProtection w:enforcement="0"/>
  <w:defaultTabStop w:val="420"/>
  <w:hyphenationZone w:val="36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useFELayout/>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C6FF5EAD"/>
    <w:rsid w:val="307FF077"/>
    <w:rsid w:val="36773ED8"/>
    <w:rsid w:val="5DDBE91D"/>
    <w:rsid w:val="5DFF1515"/>
    <w:rsid w:val="5FFE5B46"/>
    <w:rsid w:val="6FFB8698"/>
    <w:rsid w:val="733DB81C"/>
    <w:rsid w:val="7EFF4B9E"/>
    <w:rsid w:val="9F63828D"/>
    <w:rsid w:val="AFFB7061"/>
    <w:rsid w:val="BB1E7818"/>
    <w:rsid w:val="BE77DB8C"/>
    <w:rsid w:val="C6FF5EAD"/>
    <w:rsid w:val="F6AE04A2"/>
    <w:rsid w:val="F9FB8446"/>
    <w:rsid w:val="FBAF9755"/>
    <w:rsid w:val="FBDF12E8"/>
    <w:rsid w:val="FC43F135"/>
    <w:rsid w:val="FEF7B9CE"/>
    <w:rsid w:val="FF7FB26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黑体"/>
      <w:bCs/>
      <w:kern w:val="2"/>
      <w:sz w:val="32"/>
      <w:szCs w:val="32"/>
      <w:lang w:val="en-US" w:eastAsia="zh-CN" w:bidi="ar-SA"/>
    </w:rPr>
  </w:style>
  <w:style w:type="paragraph" w:styleId="3">
    <w:name w:val="heading 6"/>
    <w:basedOn w:val="1"/>
    <w:next w:val="1"/>
    <w:unhideWhenUsed/>
    <w:qFormat/>
    <w:uiPriority w:val="0"/>
    <w:pPr>
      <w:keepNext/>
      <w:keepLines/>
      <w:tabs>
        <w:tab w:val="left" w:pos="1151"/>
      </w:tabs>
      <w:spacing w:before="240" w:after="64" w:line="320" w:lineRule="auto"/>
      <w:ind w:left="1151" w:hanging="1151"/>
      <w:outlineLvl w:val="5"/>
    </w:pPr>
    <w:rPr>
      <w:rFonts w:ascii="Cambria" w:hAnsi="Cambria"/>
      <w:b/>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firstLineChars="200"/>
    </w:pPr>
  </w:style>
  <w:style w:type="paragraph" w:styleId="4">
    <w:name w:val="Body Text"/>
    <w:basedOn w:val="1"/>
    <w:unhideWhenUsed/>
    <w:qFormat/>
    <w:uiPriority w:val="0"/>
    <w:pPr>
      <w:spacing w:after="120"/>
    </w:pPr>
    <w:rPr>
      <w:kern w:val="0"/>
      <w:sz w:val="20"/>
      <w:szCs w:val="20"/>
    </w:rPr>
  </w:style>
  <w:style w:type="paragraph" w:styleId="5">
    <w:name w:val="footer"/>
    <w:basedOn w:val="1"/>
    <w:qFormat/>
    <w:uiPriority w:val="0"/>
    <w:pPr>
      <w:tabs>
        <w:tab w:val="center" w:pos="4153"/>
        <w:tab w:val="right" w:pos="8306"/>
      </w:tabs>
      <w:snapToGrid w:val="0"/>
      <w:jc w:val="left"/>
    </w:pPr>
    <w:rPr>
      <w:rFonts w:ascii="Times New Roman" w:hAnsi="Times New Roman"/>
      <w:sz w:val="18"/>
      <w:szCs w:val="18"/>
    </w:rPr>
  </w:style>
  <w:style w:type="character" w:styleId="8">
    <w:name w:val="page number"/>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Office_11.8.2.9831_F1E327BC-269C-435d-A152-05C5408002CA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2025-12-18T01:38:00Z</dcterms:created>
  <dc:creator>scw</dc:creator>
  <cp:lastModifiedBy>scw</cp:lastModifiedBy>
  <dcterms:modified xsi:type="dcterms:W3CDTF">2026-01-15T10:51:07Z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2052-11.8.2.9831</vt:lpwstr>
  </property>
</Properties>
</file>