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天津市交通工程计量中心站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天津市计量发展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规划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（2022—2035年）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助力交通运输行业创新发展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4"/>
        <w:jc w:val="both"/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4"/>
        <w:jc w:val="both"/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天津市印发《计量发展规划（2022—2035年）》（以下简称《规划》），明确提出要实施计量优先发展战略，夯实计量基础，</w:t>
      </w:r>
      <w:r>
        <w:rPr>
          <w:rFonts w:hint="default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提升计量能力和水平，更好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的</w:t>
      </w:r>
      <w:r>
        <w:rPr>
          <w:rFonts w:hint="default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服务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于</w:t>
      </w:r>
      <w:r>
        <w:rPr>
          <w:rFonts w:hint="default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天津经济社会高质量发展，推进质量强市建设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，为全面建设社会主义现代化大都市提供有力的计量基础支撑和保障，并对进一步发展计量事业作出全面部署。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4"/>
        <w:jc w:val="both"/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《规划》的颁布必将引领我市计量行业快速发展，作为天津市交通运输系统法定计量检定机构，我们要紧紧抓住《规划》出台带来的发展机遇，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结合交通运输行业实际，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认真学习和贯彻《规划》提出的要求和任务，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进一步强化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计量应用研究，填补行业量值溯源空白，提升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专业计量能力，提高计量监督保障水平，切实发挥计量在交通运输高质量发展中的基础性和战略性作用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一、加强计量基础研究，推动创新驱动发展</w:t>
      </w:r>
    </w:p>
    <w:p>
      <w:pPr>
        <w:spacing w:line="360" w:lineRule="auto"/>
        <w:ind w:firstLine="640" w:firstLineChars="200"/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（一）加强对交通运输行业量值溯源空白区域计量基础研究，重点面向我市铁路、公路、水运领域相关工程建设、运营管理类前沿计量需求，开展计量技术研究。</w:t>
      </w:r>
    </w:p>
    <w:p>
      <w:pPr>
        <w:spacing w:line="360" w:lineRule="auto"/>
        <w:ind w:firstLine="640" w:firstLineChars="200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（二）充分发挥交通科研院所、计量科研院所、专业计量机构、高校等技术优势资源力量，加大产学研用计量科技合作，推动计量科技成果转化应用。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二、强化计量应用，服务重点领域发展</w:t>
      </w:r>
    </w:p>
    <w:p>
      <w:pPr>
        <w:spacing w:line="360" w:lineRule="auto"/>
        <w:ind w:firstLine="640" w:firstLineChars="200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（一）加强对交通运输行业安全生产领域量值溯源空白区域计量技术研究，重点面向我市铁路、公路、水运领域工程建设安全生产相关计量需求，推进计量、标准等质量基础设施建设，强化计量应用和监督保障。</w:t>
      </w:r>
    </w:p>
    <w:p>
      <w:pPr>
        <w:spacing w:line="360" w:lineRule="auto"/>
        <w:ind w:firstLine="640" w:firstLineChars="200"/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（二）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面向我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市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铁路、公路和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水运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领域工程、装备、运营计量需求，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 w:bidi="ar-SA"/>
        </w:rPr>
        <w:t>加强量值溯源应用研究，完善天津市地方计量技术规范体系，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补齐关键参数指标计量测试能力短板，推进计量测试质量基础设施建设，为交通运输行业提供计量保障。</w:t>
      </w:r>
    </w:p>
    <w:p>
      <w:pPr>
        <w:spacing w:line="360" w:lineRule="auto"/>
        <w:ind w:firstLine="640" w:firstLineChars="200"/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（三）重点结合交通运输行业耗能设备测试、排放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计量核算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、监测仪器量值溯源等碳计量服务，开展双碳计量测试体系应用研究，为交通运输行业双碳计量提供技术支撑。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三、加强计量能力建设，赋能高质量发展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（一）以交通运输行业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计量需求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为导向</w:t>
      </w:r>
      <w:r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推动计量标准能力建设，重点填补铁路、公路、水运等领域量值传递空白，提升量值溯源传递能力，充分发挥计量的基础性和保障性作用。</w:t>
      </w:r>
    </w:p>
    <w:p>
      <w:pPr>
        <w:spacing w:line="360" w:lineRule="auto"/>
        <w:ind w:firstLine="640" w:firstLineChars="200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（二）切实推动交通计量站高质量发展，加强基础性、专业性和关键性计量基础设施建设，提升专业计量服务能力和水平，打造引领型、专业型、权威型专业计量技术机构。</w:t>
      </w:r>
      <w:r>
        <w:rPr>
          <w:rFonts w:hint="eastAsia" w:ascii="Calibri" w:hAnsi="Calibri" w:eastAsia="仿宋_GB2312" w:cs="Times New Roman"/>
          <w:bCs/>
          <w:kern w:val="0"/>
          <w:sz w:val="32"/>
          <w:szCs w:val="32"/>
          <w:lang w:val="en-US" w:eastAsia="zh-CN" w:bidi="ar-SA"/>
        </w:rPr>
        <w:t>建立一批交通、双碳等领域亟需的计量标准，着力解决测不了、测不准难题，为交通运输行业发展提供全面性和前瞻性的计量测试服务。</w:t>
      </w:r>
    </w:p>
    <w:p>
      <w:pPr>
        <w:spacing w:line="360" w:lineRule="auto"/>
        <w:ind w:firstLine="640" w:firstLineChars="200"/>
        <w:rPr>
          <w:rFonts w:hint="default" w:eastAsia="仿宋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（三）推动交通运输行业质量基础设施“一站式”综合服务试点工作，强化在工程建设、养护管理等关键领域应用示范，积极发挥计量、标准、检验检测、认证认可在交通运输行业中的协同作用，为行业高质量发展提供一体化质量基础支撑服务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 w:bidi="ar-SA"/>
        </w:rPr>
      </w:pPr>
    </w:p>
    <w:p>
      <w:pPr>
        <w:spacing w:line="360" w:lineRule="auto"/>
        <w:ind w:firstLine="640" w:firstLineChars="200"/>
        <w:jc w:val="right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天津市交通工程计量中心站</w:t>
      </w:r>
    </w:p>
    <w:p>
      <w:pPr>
        <w:spacing w:line="360" w:lineRule="auto"/>
        <w:ind w:firstLine="640" w:firstLineChars="200"/>
        <w:jc w:val="right"/>
        <w:rPr>
          <w:rFonts w:hint="default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2022.09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GJjODUyYzZlNDIyM2NmODc1N2JlOTQzOThlZmMifQ=="/>
  </w:docVars>
  <w:rsids>
    <w:rsidRoot w:val="579103C2"/>
    <w:rsid w:val="0A1316ED"/>
    <w:rsid w:val="14DB31F0"/>
    <w:rsid w:val="433D05A0"/>
    <w:rsid w:val="579103C2"/>
    <w:rsid w:val="75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1134</Words>
  <Characters>1152</Characters>
  <Lines>0</Lines>
  <Paragraphs>0</Paragraphs>
  <TotalTime>0</TotalTime>
  <ScaleCrop>false</ScaleCrop>
  <LinksUpToDate>false</LinksUpToDate>
  <CharactersWithSpaces>1152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2022-09-19T06:49:00Z</dcterms:created>
  <dc:creator>Odyssey</dc:creator>
  <cp:lastModifiedBy>fw</cp:lastModifiedBy>
  <dcterms:modified xsi:type="dcterms:W3CDTF">2022-09-27T01:57:19Z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A43200EC1D7349D5BFFF8F0F8978BA80</vt:lpwstr>
  </property>
</Properties>
</file>