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1A" w:rsidRDefault="0002141A" w:rsidP="0002141A">
      <w:pPr>
        <w:pStyle w:val="a3"/>
        <w:spacing w:line="398" w:lineRule="atLeast"/>
      </w:pPr>
      <w:r>
        <w:rPr>
          <w:rFonts w:ascii="仿宋_GB2312" w:eastAsia="仿宋_GB2312" w:hint="eastAsia"/>
          <w:color w:val="000000"/>
          <w:sz w:val="23"/>
          <w:szCs w:val="23"/>
        </w:rPr>
        <w:br/>
        <w:t>各区市场监管局，委机关有关处室，执法总队：</w:t>
      </w:r>
    </w:p>
    <w:p w:rsidR="0002141A" w:rsidRDefault="0002141A" w:rsidP="0002141A">
      <w:pPr>
        <w:pStyle w:val="a3"/>
        <w:spacing w:line="398" w:lineRule="atLeast"/>
        <w:ind w:firstLine="462"/>
      </w:pPr>
      <w:r>
        <w:rPr>
          <w:rFonts w:ascii="仿宋_GB2312" w:eastAsia="仿宋_GB2312" w:hint="eastAsia"/>
          <w:color w:val="000000"/>
          <w:sz w:val="23"/>
          <w:szCs w:val="23"/>
        </w:rPr>
        <w:t>现将《深入落实市场监管总局〈广告绝对化用语执法指南〉工作指引》印发给你们，请在工作中遵照执行。</w:t>
      </w:r>
    </w:p>
    <w:p w:rsidR="0002141A" w:rsidRDefault="0002141A" w:rsidP="0002141A">
      <w:pPr>
        <w:pStyle w:val="a3"/>
        <w:spacing w:line="398" w:lineRule="atLeast"/>
        <w:ind w:firstLine="462"/>
      </w:pPr>
      <w:r>
        <w:rPr>
          <w:rFonts w:ascii="Times New Roman" w:hAnsi="Times New Roman" w:cs="Times New Roman"/>
          <w:color w:val="000000"/>
          <w:sz w:val="23"/>
          <w:szCs w:val="23"/>
        </w:rPr>
        <w:t> </w:t>
      </w:r>
    </w:p>
    <w:p w:rsidR="0002141A" w:rsidRDefault="0002141A" w:rsidP="0002141A">
      <w:pPr>
        <w:pStyle w:val="a3"/>
        <w:spacing w:line="398" w:lineRule="atLeast"/>
      </w:pPr>
      <w:r>
        <w:rPr>
          <w:rFonts w:ascii="Times New Roman" w:hAnsi="Times New Roman" w:cs="Times New Roman"/>
          <w:color w:val="000000"/>
        </w:rPr>
        <w:t> </w:t>
      </w:r>
      <w:r>
        <w:rPr>
          <w:rFonts w:ascii="Times New Roman" w:hAnsi="Times New Roman" w:cs="Times New Roman"/>
          <w:sz w:val="23"/>
          <w:szCs w:val="23"/>
        </w:rPr>
        <w:t> </w:t>
      </w:r>
    </w:p>
    <w:p w:rsidR="0002141A" w:rsidRDefault="0002141A" w:rsidP="0002141A">
      <w:pPr>
        <w:pStyle w:val="a3"/>
        <w:spacing w:line="398" w:lineRule="atLeast"/>
        <w:jc w:val="right"/>
      </w:pPr>
      <w:r>
        <w:rPr>
          <w:rFonts w:ascii="Times New Roman" w:hAnsi="Times New Roman" w:cs="Times New Roman"/>
          <w:color w:val="000000"/>
          <w:sz w:val="23"/>
          <w:szCs w:val="23"/>
        </w:rPr>
        <w:t xml:space="preserve"> 2024</w:t>
      </w:r>
      <w:r>
        <w:rPr>
          <w:rFonts w:ascii="仿宋_GB2312" w:eastAsia="仿宋_GB2312" w:hint="eastAsia"/>
          <w:color w:val="000000"/>
          <w:sz w:val="23"/>
          <w:szCs w:val="23"/>
        </w:rPr>
        <w:t>年</w:t>
      </w:r>
      <w:r>
        <w:rPr>
          <w:rFonts w:ascii="Times New Roman" w:hAnsi="Times New Roman" w:cs="Times New Roman"/>
          <w:color w:val="000000"/>
          <w:sz w:val="23"/>
          <w:szCs w:val="23"/>
        </w:rPr>
        <w:t>3</w:t>
      </w:r>
      <w:r>
        <w:rPr>
          <w:rFonts w:ascii="仿宋_GB2312" w:eastAsia="仿宋_GB2312" w:hint="eastAsia"/>
          <w:color w:val="000000"/>
          <w:sz w:val="23"/>
          <w:szCs w:val="23"/>
        </w:rPr>
        <w:t>月</w:t>
      </w:r>
      <w:r>
        <w:rPr>
          <w:rFonts w:ascii="Times New Roman" w:hAnsi="Times New Roman" w:cs="Times New Roman"/>
          <w:color w:val="000000"/>
          <w:sz w:val="23"/>
          <w:szCs w:val="23"/>
        </w:rPr>
        <w:t>15</w:t>
      </w:r>
      <w:r>
        <w:rPr>
          <w:rFonts w:ascii="仿宋_GB2312" w:eastAsia="仿宋_GB2312" w:hint="eastAsia"/>
          <w:color w:val="000000"/>
          <w:sz w:val="23"/>
          <w:szCs w:val="23"/>
        </w:rPr>
        <w:t>日</w:t>
      </w:r>
    </w:p>
    <w:p w:rsidR="0002141A" w:rsidRDefault="0002141A" w:rsidP="0002141A">
      <w:pPr>
        <w:pStyle w:val="a3"/>
        <w:spacing w:line="398" w:lineRule="atLeast"/>
        <w:ind w:firstLine="462"/>
      </w:pPr>
      <w:r>
        <w:rPr>
          <w:rFonts w:ascii="仿宋_GB2312" w:eastAsia="仿宋_GB2312" w:hint="eastAsia"/>
          <w:color w:val="000000"/>
          <w:sz w:val="23"/>
          <w:szCs w:val="23"/>
        </w:rPr>
        <w:t>（此件主动公开）</w:t>
      </w:r>
    </w:p>
    <w:p w:rsidR="0002141A" w:rsidRDefault="0002141A" w:rsidP="0002141A">
      <w:pPr>
        <w:pStyle w:val="a3"/>
        <w:spacing w:line="398" w:lineRule="atLeast"/>
      </w:pPr>
      <w:r>
        <w:rPr>
          <w:rFonts w:ascii="Times New Roman" w:hAnsi="Times New Roman" w:cs="Times New Roman"/>
          <w:color w:val="000000"/>
          <w:sz w:val="23"/>
          <w:szCs w:val="23"/>
        </w:rPr>
        <w:t> </w:t>
      </w:r>
    </w:p>
    <w:p w:rsidR="0002141A" w:rsidRDefault="0002141A" w:rsidP="0002141A">
      <w:pPr>
        <w:pStyle w:val="a3"/>
        <w:spacing w:line="398" w:lineRule="atLeast"/>
        <w:rPr>
          <w:rFonts w:ascii="Times New Roman" w:hAnsi="Times New Roman" w:cs="Times New Roman" w:hint="eastAsia"/>
          <w:color w:val="000000"/>
        </w:rPr>
      </w:pPr>
      <w:r>
        <w:rPr>
          <w:rFonts w:ascii="Times New Roman" w:hAnsi="Times New Roman" w:cs="Times New Roman"/>
          <w:color w:val="000000"/>
        </w:rPr>
        <w:t> </w:t>
      </w: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rPr>
          <w:rFonts w:ascii="Times New Roman" w:hAnsi="Times New Roman" w:cs="Times New Roman" w:hint="eastAsia"/>
          <w:color w:val="000000"/>
        </w:rPr>
      </w:pPr>
    </w:p>
    <w:p w:rsidR="0002141A" w:rsidRDefault="0002141A" w:rsidP="0002141A">
      <w:pPr>
        <w:pStyle w:val="a3"/>
        <w:spacing w:line="398" w:lineRule="atLeast"/>
      </w:pPr>
    </w:p>
    <w:p w:rsidR="0002141A" w:rsidRDefault="0002141A" w:rsidP="0002141A">
      <w:pPr>
        <w:pStyle w:val="a3"/>
        <w:spacing w:line="398" w:lineRule="atLeast"/>
      </w:pPr>
      <w:r>
        <w:rPr>
          <w:rFonts w:ascii="Times New Roman" w:hAnsi="Times New Roman" w:cs="Times New Roman"/>
          <w:color w:val="000000"/>
        </w:rPr>
        <w:lastRenderedPageBreak/>
        <w:t> </w:t>
      </w:r>
    </w:p>
    <w:p w:rsidR="0002141A" w:rsidRDefault="0002141A" w:rsidP="0002141A">
      <w:pPr>
        <w:pStyle w:val="a3"/>
        <w:spacing w:line="398" w:lineRule="atLeast"/>
        <w:jc w:val="center"/>
      </w:pPr>
      <w:r>
        <w:rPr>
          <w:rFonts w:ascii="方正小标宋简体" w:eastAsia="方正小标宋简体" w:hint="eastAsia"/>
          <w:color w:val="000000"/>
          <w:sz w:val="31"/>
          <w:szCs w:val="31"/>
        </w:rPr>
        <w:t>深入落实市场监管总局</w:t>
      </w:r>
    </w:p>
    <w:p w:rsidR="0002141A" w:rsidRDefault="0002141A" w:rsidP="0002141A">
      <w:pPr>
        <w:pStyle w:val="a3"/>
        <w:spacing w:line="398" w:lineRule="atLeast"/>
        <w:jc w:val="center"/>
      </w:pPr>
      <w:r>
        <w:rPr>
          <w:rFonts w:ascii="方正小标宋简体" w:eastAsia="方正小标宋简体" w:hint="eastAsia"/>
          <w:color w:val="000000"/>
          <w:sz w:val="31"/>
          <w:szCs w:val="31"/>
        </w:rPr>
        <w:t>《广告绝对化用语执法指南》工作指引</w:t>
      </w:r>
    </w:p>
    <w:p w:rsidR="0002141A" w:rsidRDefault="0002141A" w:rsidP="0002141A">
      <w:pPr>
        <w:pStyle w:val="a3"/>
        <w:spacing w:line="398" w:lineRule="atLeast"/>
        <w:ind w:firstLine="462"/>
      </w:pPr>
      <w:r>
        <w:rPr>
          <w:rFonts w:ascii="Times New Roman" w:hAnsi="Times New Roman" w:cs="Times New Roman"/>
          <w:color w:val="000000"/>
          <w:sz w:val="23"/>
          <w:szCs w:val="23"/>
        </w:rPr>
        <w:t> </w:t>
      </w:r>
    </w:p>
    <w:p w:rsidR="0002141A" w:rsidRDefault="0002141A" w:rsidP="0002141A">
      <w:pPr>
        <w:pStyle w:val="a3"/>
        <w:spacing w:line="398" w:lineRule="atLeast"/>
        <w:ind w:firstLine="462"/>
      </w:pPr>
      <w:r>
        <w:rPr>
          <w:rFonts w:ascii="仿宋_GB2312" w:eastAsia="仿宋_GB2312" w:hint="eastAsia"/>
          <w:color w:val="000000"/>
          <w:sz w:val="23"/>
          <w:szCs w:val="23"/>
        </w:rPr>
        <w:t>为深入落实市场监管总局《广告绝对化用语执法指南》，体现包容审慎监管原则，打造统一、开放的广告市场环境，进一步激发广告市场主体活力，推动我市经济高质量发展，依照《中华人民共和国行政处罚法》有关规定，现对市场监管总局《广告绝对化用语执法指南》中予以从轻、减轻或者不予行政处罚的裁</w:t>
      </w:r>
      <w:proofErr w:type="gramStart"/>
      <w:r>
        <w:rPr>
          <w:rFonts w:ascii="仿宋_GB2312" w:eastAsia="仿宋_GB2312" w:hint="eastAsia"/>
          <w:color w:val="000000"/>
          <w:sz w:val="23"/>
          <w:szCs w:val="23"/>
        </w:rPr>
        <w:t>量提出</w:t>
      </w:r>
      <w:proofErr w:type="gramEnd"/>
      <w:r>
        <w:rPr>
          <w:rFonts w:ascii="仿宋_GB2312" w:eastAsia="仿宋_GB2312" w:hint="eastAsia"/>
          <w:color w:val="000000"/>
          <w:sz w:val="23"/>
          <w:szCs w:val="23"/>
        </w:rPr>
        <w:t>细化标准，请在工作中遵照执行。</w:t>
      </w:r>
    </w:p>
    <w:p w:rsidR="0002141A" w:rsidRDefault="0002141A" w:rsidP="0002141A">
      <w:pPr>
        <w:pStyle w:val="a3"/>
        <w:spacing w:line="398" w:lineRule="atLeast"/>
        <w:ind w:firstLine="462"/>
      </w:pPr>
      <w:r>
        <w:rPr>
          <w:rFonts w:ascii="黑体" w:eastAsia="黑体" w:hAnsi="黑体" w:hint="eastAsia"/>
          <w:color w:val="000000"/>
          <w:sz w:val="23"/>
          <w:szCs w:val="23"/>
        </w:rPr>
        <w:t>一、初次违法且危害后果轻微并及时改正的，可以不予行政处罚</w:t>
      </w:r>
    </w:p>
    <w:p w:rsidR="0002141A" w:rsidRDefault="0002141A" w:rsidP="0002141A">
      <w:pPr>
        <w:pStyle w:val="a3"/>
        <w:spacing w:line="398" w:lineRule="atLeast"/>
        <w:ind w:firstLine="462"/>
      </w:pPr>
      <w:r>
        <w:rPr>
          <w:rFonts w:ascii="仿宋_GB2312" w:eastAsia="仿宋_GB2312" w:hint="eastAsia"/>
          <w:color w:val="000000"/>
          <w:sz w:val="23"/>
          <w:szCs w:val="23"/>
        </w:rPr>
        <w:t>（一）经询问当事人并查询国家企业信用信息公示系统以及综合执法办案平台，未发现当事人两年内有同一性质违法行为的，可以认定为初次违法。</w:t>
      </w:r>
    </w:p>
    <w:p w:rsidR="0002141A" w:rsidRDefault="0002141A" w:rsidP="0002141A">
      <w:pPr>
        <w:pStyle w:val="a3"/>
        <w:spacing w:line="398" w:lineRule="atLeast"/>
        <w:ind w:firstLine="462"/>
      </w:pPr>
      <w:r>
        <w:rPr>
          <w:rFonts w:ascii="仿宋_GB2312" w:eastAsia="仿宋_GB2312" w:hint="eastAsia"/>
          <w:color w:val="000000"/>
          <w:sz w:val="23"/>
          <w:szCs w:val="23"/>
        </w:rPr>
        <w:t>（二）可以结合区域特点认定后果轻微：</w:t>
      </w:r>
    </w:p>
    <w:p w:rsidR="0002141A" w:rsidRDefault="0002141A" w:rsidP="0002141A">
      <w:pPr>
        <w:pStyle w:val="a3"/>
        <w:spacing w:line="398" w:lineRule="atLeast"/>
        <w:ind w:firstLine="462"/>
      </w:pPr>
      <w:r>
        <w:rPr>
          <w:rFonts w:ascii="Times New Roman" w:hAnsi="Times New Roman" w:cs="Times New Roman"/>
          <w:color w:val="000000"/>
          <w:sz w:val="23"/>
          <w:szCs w:val="23"/>
        </w:rPr>
        <w:t>1.</w:t>
      </w:r>
      <w:r>
        <w:rPr>
          <w:rFonts w:ascii="仿宋_GB2312" w:eastAsia="仿宋_GB2312" w:hint="eastAsia"/>
          <w:color w:val="000000"/>
          <w:sz w:val="23"/>
          <w:szCs w:val="23"/>
        </w:rPr>
        <w:t>商品经营者在其经营场所、自设网站或者拥有合法使用权的其他媒介发布广告，违法行为持续时间较短或者浏览人数较少；</w:t>
      </w:r>
    </w:p>
    <w:p w:rsidR="0002141A" w:rsidRDefault="0002141A" w:rsidP="0002141A">
      <w:pPr>
        <w:pStyle w:val="a3"/>
        <w:spacing w:line="398" w:lineRule="atLeast"/>
        <w:ind w:firstLine="462"/>
      </w:pPr>
      <w:r>
        <w:rPr>
          <w:rFonts w:ascii="Times New Roman" w:hAnsi="Times New Roman" w:cs="Times New Roman"/>
          <w:color w:val="000000"/>
          <w:sz w:val="23"/>
          <w:szCs w:val="23"/>
        </w:rPr>
        <w:t>2.</w:t>
      </w:r>
      <w:r>
        <w:rPr>
          <w:rFonts w:ascii="仿宋_GB2312" w:eastAsia="仿宋_GB2312" w:hint="eastAsia"/>
          <w:color w:val="000000"/>
          <w:sz w:val="23"/>
          <w:szCs w:val="23"/>
        </w:rPr>
        <w:t>违法所得金额、交易数量、交易金额较小；</w:t>
      </w:r>
    </w:p>
    <w:p w:rsidR="0002141A" w:rsidRDefault="0002141A" w:rsidP="0002141A">
      <w:pPr>
        <w:pStyle w:val="a3"/>
        <w:spacing w:line="398" w:lineRule="atLeast"/>
        <w:ind w:firstLine="462"/>
      </w:pPr>
      <w:r>
        <w:rPr>
          <w:rFonts w:ascii="Times New Roman" w:hAnsi="Times New Roman" w:cs="Times New Roman"/>
          <w:color w:val="000000"/>
          <w:sz w:val="23"/>
          <w:szCs w:val="23"/>
        </w:rPr>
        <w:t>3.</w:t>
      </w:r>
      <w:r>
        <w:rPr>
          <w:rFonts w:ascii="仿宋_GB2312" w:eastAsia="仿宋_GB2312" w:hint="eastAsia"/>
          <w:color w:val="000000"/>
          <w:sz w:val="23"/>
          <w:szCs w:val="23"/>
        </w:rPr>
        <w:t>广告推销的商品或者服务合格或者符合标准，或者当事人履行了法定的生产经营责任，并通过合法途径取得商品。</w:t>
      </w:r>
    </w:p>
    <w:p w:rsidR="0002141A" w:rsidRDefault="0002141A" w:rsidP="0002141A">
      <w:pPr>
        <w:pStyle w:val="a3"/>
        <w:spacing w:line="398" w:lineRule="atLeast"/>
        <w:ind w:firstLine="462"/>
      </w:pPr>
      <w:r>
        <w:rPr>
          <w:rFonts w:ascii="仿宋_GB2312" w:eastAsia="仿宋_GB2312" w:hint="eastAsia"/>
          <w:color w:val="000000"/>
          <w:sz w:val="23"/>
          <w:szCs w:val="23"/>
        </w:rPr>
        <w:t>（三）危害后果轻微不包含以下情形：</w:t>
      </w:r>
    </w:p>
    <w:p w:rsidR="0002141A" w:rsidRDefault="0002141A" w:rsidP="0002141A">
      <w:pPr>
        <w:pStyle w:val="a3"/>
        <w:spacing w:line="398" w:lineRule="atLeast"/>
        <w:ind w:firstLine="462"/>
      </w:pPr>
      <w:r>
        <w:rPr>
          <w:rFonts w:ascii="Times New Roman" w:hAnsi="Times New Roman" w:cs="Times New Roman"/>
          <w:color w:val="000000"/>
          <w:sz w:val="23"/>
          <w:szCs w:val="23"/>
        </w:rPr>
        <w:t>1.</w:t>
      </w:r>
      <w:r>
        <w:rPr>
          <w:rFonts w:ascii="仿宋_GB2312" w:eastAsia="仿宋_GB2312" w:hint="eastAsia"/>
          <w:color w:val="000000"/>
          <w:sz w:val="23"/>
          <w:szCs w:val="23"/>
        </w:rPr>
        <w:t>直接造成消费者的重大损失；</w:t>
      </w:r>
    </w:p>
    <w:p w:rsidR="0002141A" w:rsidRDefault="0002141A" w:rsidP="0002141A">
      <w:pPr>
        <w:pStyle w:val="a3"/>
        <w:spacing w:line="398" w:lineRule="atLeast"/>
        <w:ind w:firstLine="462"/>
      </w:pPr>
      <w:r>
        <w:rPr>
          <w:rFonts w:ascii="Times New Roman" w:hAnsi="Times New Roman" w:cs="Times New Roman"/>
          <w:color w:val="000000"/>
          <w:sz w:val="23"/>
          <w:szCs w:val="23"/>
        </w:rPr>
        <w:t>2.</w:t>
      </w:r>
      <w:r>
        <w:rPr>
          <w:rFonts w:ascii="仿宋_GB2312" w:eastAsia="仿宋_GB2312" w:hint="eastAsia"/>
          <w:color w:val="000000"/>
          <w:sz w:val="23"/>
          <w:szCs w:val="23"/>
        </w:rPr>
        <w:t>严重扰乱市场秩序；</w:t>
      </w:r>
    </w:p>
    <w:p w:rsidR="0002141A" w:rsidRDefault="0002141A" w:rsidP="0002141A">
      <w:pPr>
        <w:pStyle w:val="a3"/>
        <w:spacing w:line="398" w:lineRule="atLeast"/>
        <w:ind w:firstLine="462"/>
      </w:pPr>
      <w:r>
        <w:rPr>
          <w:rFonts w:ascii="Times New Roman" w:hAnsi="Times New Roman" w:cs="Times New Roman"/>
          <w:color w:val="000000"/>
          <w:sz w:val="23"/>
          <w:szCs w:val="23"/>
        </w:rPr>
        <w:t>3.</w:t>
      </w:r>
      <w:r>
        <w:rPr>
          <w:rFonts w:ascii="仿宋_GB2312" w:eastAsia="仿宋_GB2312" w:hint="eastAsia"/>
          <w:color w:val="000000"/>
          <w:sz w:val="23"/>
          <w:szCs w:val="23"/>
        </w:rPr>
        <w:t>产生其他恶劣社会影响。</w:t>
      </w:r>
    </w:p>
    <w:p w:rsidR="0002141A" w:rsidRDefault="0002141A" w:rsidP="0002141A">
      <w:pPr>
        <w:pStyle w:val="a3"/>
        <w:spacing w:line="398" w:lineRule="atLeast"/>
        <w:ind w:firstLine="462"/>
      </w:pPr>
      <w:r>
        <w:rPr>
          <w:rFonts w:ascii="仿宋_GB2312" w:eastAsia="仿宋_GB2312" w:hint="eastAsia"/>
          <w:color w:val="000000"/>
          <w:sz w:val="23"/>
          <w:szCs w:val="23"/>
        </w:rPr>
        <w:t>（四）及时改正包括下列情形：</w:t>
      </w:r>
    </w:p>
    <w:p w:rsidR="0002141A" w:rsidRDefault="0002141A" w:rsidP="0002141A">
      <w:pPr>
        <w:pStyle w:val="a3"/>
        <w:spacing w:line="398" w:lineRule="atLeast"/>
        <w:ind w:firstLine="462"/>
      </w:pPr>
      <w:r>
        <w:rPr>
          <w:rFonts w:ascii="Times New Roman" w:hAnsi="Times New Roman" w:cs="Times New Roman"/>
          <w:color w:val="000000"/>
          <w:sz w:val="23"/>
          <w:szCs w:val="23"/>
        </w:rPr>
        <w:lastRenderedPageBreak/>
        <w:t>1.</w:t>
      </w:r>
      <w:r>
        <w:rPr>
          <w:rFonts w:ascii="仿宋_GB2312" w:eastAsia="仿宋_GB2312" w:hint="eastAsia"/>
          <w:color w:val="000000"/>
          <w:sz w:val="23"/>
          <w:szCs w:val="23"/>
        </w:rPr>
        <w:t>在市场监管部门发现违法广告线索之前主动改正；</w:t>
      </w:r>
    </w:p>
    <w:p w:rsidR="0002141A" w:rsidRDefault="0002141A" w:rsidP="0002141A">
      <w:pPr>
        <w:pStyle w:val="a3"/>
        <w:spacing w:line="398" w:lineRule="atLeast"/>
        <w:ind w:firstLine="462"/>
      </w:pPr>
      <w:r>
        <w:rPr>
          <w:rFonts w:ascii="Times New Roman" w:hAnsi="Times New Roman" w:cs="Times New Roman"/>
          <w:color w:val="000000"/>
          <w:sz w:val="23"/>
          <w:szCs w:val="23"/>
        </w:rPr>
        <w:t>2.</w:t>
      </w:r>
      <w:r>
        <w:rPr>
          <w:rFonts w:ascii="仿宋_GB2312" w:eastAsia="仿宋_GB2312" w:hint="eastAsia"/>
          <w:color w:val="000000"/>
          <w:sz w:val="23"/>
          <w:szCs w:val="23"/>
        </w:rPr>
        <w:t>在市场监管部门发现违法广告线索之后，责令改正之前主动改正；</w:t>
      </w:r>
    </w:p>
    <w:p w:rsidR="0002141A" w:rsidRDefault="0002141A" w:rsidP="0002141A">
      <w:pPr>
        <w:pStyle w:val="a3"/>
        <w:spacing w:line="398" w:lineRule="atLeast"/>
        <w:ind w:firstLine="462"/>
      </w:pPr>
      <w:r>
        <w:rPr>
          <w:rFonts w:ascii="Times New Roman" w:hAnsi="Times New Roman" w:cs="Times New Roman"/>
          <w:color w:val="000000"/>
          <w:sz w:val="23"/>
          <w:szCs w:val="23"/>
        </w:rPr>
        <w:t>3.</w:t>
      </w:r>
      <w:r>
        <w:rPr>
          <w:rFonts w:ascii="仿宋_GB2312" w:eastAsia="仿宋_GB2312" w:hint="eastAsia"/>
          <w:color w:val="000000"/>
          <w:sz w:val="23"/>
          <w:szCs w:val="23"/>
        </w:rPr>
        <w:t>在市场监管部门责令改正后按要求改正。</w:t>
      </w:r>
    </w:p>
    <w:p w:rsidR="0002141A" w:rsidRDefault="0002141A" w:rsidP="0002141A">
      <w:pPr>
        <w:pStyle w:val="a3"/>
        <w:spacing w:line="398" w:lineRule="atLeast"/>
        <w:ind w:firstLine="462"/>
      </w:pPr>
      <w:r>
        <w:rPr>
          <w:rFonts w:ascii="仿宋_GB2312" w:eastAsia="仿宋_GB2312" w:hint="eastAsia"/>
          <w:color w:val="000000"/>
          <w:sz w:val="23"/>
          <w:szCs w:val="23"/>
        </w:rPr>
        <w:t>上述三种情形的及时性、主动性依次减弱，市场监管部门在</w:t>
      </w:r>
      <w:proofErr w:type="gramStart"/>
      <w:r>
        <w:rPr>
          <w:rFonts w:ascii="仿宋_GB2312" w:eastAsia="仿宋_GB2312" w:hint="eastAsia"/>
          <w:color w:val="000000"/>
          <w:sz w:val="23"/>
          <w:szCs w:val="23"/>
        </w:rPr>
        <w:t>作出</w:t>
      </w:r>
      <w:proofErr w:type="gramEnd"/>
      <w:r>
        <w:rPr>
          <w:rFonts w:ascii="仿宋_GB2312" w:eastAsia="仿宋_GB2312" w:hint="eastAsia"/>
          <w:color w:val="000000"/>
          <w:sz w:val="23"/>
          <w:szCs w:val="23"/>
        </w:rPr>
        <w:t>不予行政处罚决定时，应当综合考虑改正情节。</w:t>
      </w:r>
    </w:p>
    <w:p w:rsidR="0002141A" w:rsidRDefault="0002141A" w:rsidP="0002141A">
      <w:pPr>
        <w:pStyle w:val="a3"/>
        <w:spacing w:line="398" w:lineRule="atLeast"/>
        <w:ind w:firstLine="462"/>
      </w:pPr>
      <w:r>
        <w:rPr>
          <w:rFonts w:ascii="黑体" w:eastAsia="黑体" w:hAnsi="黑体" w:hint="eastAsia"/>
          <w:color w:val="000000"/>
          <w:sz w:val="23"/>
          <w:szCs w:val="23"/>
        </w:rPr>
        <w:t>二、不予行政处罚的其他情形</w:t>
      </w:r>
    </w:p>
    <w:p w:rsidR="0002141A" w:rsidRDefault="0002141A" w:rsidP="0002141A">
      <w:pPr>
        <w:pStyle w:val="a3"/>
        <w:spacing w:line="398" w:lineRule="atLeast"/>
        <w:ind w:firstLine="462"/>
      </w:pPr>
      <w:r>
        <w:rPr>
          <w:rFonts w:ascii="仿宋_GB2312" w:eastAsia="仿宋_GB2312" w:hint="eastAsia"/>
          <w:color w:val="000000"/>
          <w:sz w:val="23"/>
          <w:szCs w:val="23"/>
        </w:rPr>
        <w:t>（一）当事人有证据足以证明没有主观过错的，不予立案或者不予行政处罚。</w:t>
      </w:r>
    </w:p>
    <w:p w:rsidR="0002141A" w:rsidRDefault="0002141A" w:rsidP="0002141A">
      <w:pPr>
        <w:pStyle w:val="a3"/>
        <w:spacing w:line="398" w:lineRule="atLeast"/>
        <w:ind w:firstLine="462"/>
      </w:pPr>
      <w:r>
        <w:rPr>
          <w:rFonts w:ascii="仿宋_GB2312" w:eastAsia="仿宋_GB2312" w:hint="eastAsia"/>
          <w:color w:val="000000"/>
          <w:sz w:val="23"/>
          <w:szCs w:val="23"/>
        </w:rPr>
        <w:t>没有误导消费者的主观故意，当事人发布广告前，履行了广告审查责任，查验了证明材料，核对了广告内容的真实性和合法性，可以认定为没有主观过错。</w:t>
      </w:r>
    </w:p>
    <w:p w:rsidR="0002141A" w:rsidRDefault="0002141A" w:rsidP="0002141A">
      <w:pPr>
        <w:pStyle w:val="a3"/>
        <w:spacing w:line="398" w:lineRule="atLeast"/>
        <w:ind w:firstLine="462"/>
      </w:pPr>
      <w:r>
        <w:rPr>
          <w:rFonts w:ascii="仿宋_GB2312" w:eastAsia="仿宋_GB2312" w:hint="eastAsia"/>
          <w:color w:val="000000"/>
          <w:sz w:val="23"/>
          <w:szCs w:val="23"/>
        </w:rPr>
        <w:t>（二）法律、法规、规章规定应当或者可以不予行政处罚的其他情形。</w:t>
      </w:r>
    </w:p>
    <w:p w:rsidR="0002141A" w:rsidRDefault="0002141A" w:rsidP="0002141A">
      <w:pPr>
        <w:pStyle w:val="a3"/>
        <w:spacing w:line="398" w:lineRule="atLeast"/>
        <w:ind w:firstLine="462"/>
      </w:pPr>
      <w:r>
        <w:rPr>
          <w:rFonts w:ascii="黑体" w:eastAsia="黑体" w:hAnsi="黑体" w:hint="eastAsia"/>
          <w:color w:val="000000"/>
          <w:sz w:val="23"/>
          <w:szCs w:val="23"/>
        </w:rPr>
        <w:t>三、有下列情形之一的，应当从轻或者减轻行政处罚</w:t>
      </w:r>
    </w:p>
    <w:p w:rsidR="0002141A" w:rsidRDefault="0002141A" w:rsidP="0002141A">
      <w:pPr>
        <w:pStyle w:val="a3"/>
        <w:spacing w:line="398" w:lineRule="atLeast"/>
        <w:ind w:firstLine="462"/>
      </w:pPr>
      <w:r>
        <w:rPr>
          <w:rFonts w:ascii="仿宋_GB2312" w:eastAsia="仿宋_GB2312" w:hint="eastAsia"/>
          <w:color w:val="000000"/>
          <w:sz w:val="23"/>
          <w:szCs w:val="23"/>
        </w:rPr>
        <w:t>（一）主动消除或者减轻违法行为危害后果，包括但不限于以下情形：</w:t>
      </w:r>
    </w:p>
    <w:p w:rsidR="0002141A" w:rsidRDefault="0002141A" w:rsidP="0002141A">
      <w:pPr>
        <w:pStyle w:val="a3"/>
        <w:spacing w:line="398" w:lineRule="atLeast"/>
        <w:ind w:firstLine="462"/>
      </w:pPr>
      <w:r>
        <w:rPr>
          <w:rFonts w:ascii="Times New Roman" w:hAnsi="Times New Roman" w:cs="Times New Roman"/>
          <w:color w:val="000000"/>
          <w:sz w:val="23"/>
          <w:szCs w:val="23"/>
        </w:rPr>
        <w:t>1.</w:t>
      </w:r>
      <w:r>
        <w:rPr>
          <w:rFonts w:ascii="仿宋_GB2312" w:eastAsia="仿宋_GB2312" w:hint="eastAsia"/>
          <w:color w:val="000000"/>
          <w:sz w:val="23"/>
          <w:szCs w:val="23"/>
        </w:rPr>
        <w:t>避免或者减轻消费者的重大损失；</w:t>
      </w:r>
    </w:p>
    <w:p w:rsidR="0002141A" w:rsidRDefault="0002141A" w:rsidP="0002141A">
      <w:pPr>
        <w:pStyle w:val="a3"/>
        <w:spacing w:line="398" w:lineRule="atLeast"/>
        <w:ind w:firstLine="462"/>
      </w:pPr>
      <w:r>
        <w:rPr>
          <w:rFonts w:ascii="Times New Roman" w:hAnsi="Times New Roman" w:cs="Times New Roman"/>
          <w:color w:val="000000"/>
          <w:sz w:val="23"/>
          <w:szCs w:val="23"/>
        </w:rPr>
        <w:t>2.</w:t>
      </w:r>
      <w:r>
        <w:rPr>
          <w:rFonts w:ascii="仿宋_GB2312" w:eastAsia="仿宋_GB2312" w:hint="eastAsia"/>
          <w:color w:val="000000"/>
          <w:sz w:val="23"/>
          <w:szCs w:val="23"/>
        </w:rPr>
        <w:t>主动消除社会不良影响。</w:t>
      </w:r>
    </w:p>
    <w:p w:rsidR="0002141A" w:rsidRDefault="0002141A" w:rsidP="0002141A">
      <w:pPr>
        <w:pStyle w:val="a3"/>
        <w:spacing w:line="398" w:lineRule="atLeast"/>
        <w:ind w:firstLine="462"/>
      </w:pPr>
      <w:r>
        <w:rPr>
          <w:rFonts w:ascii="仿宋_GB2312" w:eastAsia="仿宋_GB2312" w:hint="eastAsia"/>
          <w:color w:val="000000"/>
          <w:sz w:val="23"/>
          <w:szCs w:val="23"/>
        </w:rPr>
        <w:t>（二）主动供述行政机关尚未掌握的违法行为。</w:t>
      </w:r>
    </w:p>
    <w:p w:rsidR="0002141A" w:rsidRDefault="0002141A" w:rsidP="0002141A">
      <w:pPr>
        <w:pStyle w:val="a3"/>
        <w:spacing w:line="398" w:lineRule="atLeast"/>
        <w:ind w:firstLine="462"/>
      </w:pPr>
      <w:r>
        <w:rPr>
          <w:rFonts w:ascii="仿宋_GB2312" w:eastAsia="仿宋_GB2312" w:hint="eastAsia"/>
          <w:color w:val="000000"/>
          <w:sz w:val="23"/>
          <w:szCs w:val="23"/>
        </w:rPr>
        <w:t>（三）配合行政机关查处违法行为有立功表现。</w:t>
      </w:r>
    </w:p>
    <w:p w:rsidR="0002141A" w:rsidRDefault="0002141A" w:rsidP="0002141A">
      <w:pPr>
        <w:pStyle w:val="a3"/>
        <w:spacing w:line="398" w:lineRule="atLeast"/>
        <w:ind w:firstLine="462"/>
      </w:pPr>
      <w:r>
        <w:rPr>
          <w:rFonts w:ascii="仿宋_GB2312" w:eastAsia="仿宋_GB2312" w:hint="eastAsia"/>
          <w:color w:val="000000"/>
          <w:sz w:val="23"/>
          <w:szCs w:val="23"/>
        </w:rPr>
        <w:t>（四）其他依法应当从轻或者减轻行政处罚的。</w:t>
      </w:r>
    </w:p>
    <w:p w:rsidR="0002141A" w:rsidRDefault="0002141A" w:rsidP="0002141A">
      <w:pPr>
        <w:pStyle w:val="a3"/>
        <w:spacing w:line="398" w:lineRule="atLeast"/>
        <w:ind w:firstLine="462"/>
      </w:pPr>
      <w:r>
        <w:rPr>
          <w:rFonts w:ascii="黑体" w:eastAsia="黑体" w:hAnsi="黑体" w:hint="eastAsia"/>
          <w:color w:val="000000"/>
          <w:sz w:val="23"/>
          <w:szCs w:val="23"/>
        </w:rPr>
        <w:t>四、有下列情形之一的，可以从轻或者减轻行政处罚</w:t>
      </w:r>
    </w:p>
    <w:p w:rsidR="0002141A" w:rsidRDefault="0002141A" w:rsidP="0002141A">
      <w:pPr>
        <w:pStyle w:val="a3"/>
        <w:spacing w:line="398" w:lineRule="atLeast"/>
        <w:ind w:firstLine="462"/>
      </w:pPr>
      <w:r>
        <w:rPr>
          <w:rFonts w:ascii="仿宋_GB2312" w:eastAsia="仿宋_GB2312" w:hint="eastAsia"/>
          <w:color w:val="000000"/>
          <w:sz w:val="23"/>
          <w:szCs w:val="23"/>
        </w:rPr>
        <w:t>（一）积极配合市场监管部门调查并主动提供证据材料的；</w:t>
      </w:r>
    </w:p>
    <w:p w:rsidR="0002141A" w:rsidRDefault="0002141A" w:rsidP="0002141A">
      <w:pPr>
        <w:pStyle w:val="a3"/>
        <w:spacing w:line="398" w:lineRule="atLeast"/>
        <w:ind w:firstLine="462"/>
      </w:pPr>
      <w:r>
        <w:rPr>
          <w:rFonts w:ascii="仿宋_GB2312" w:eastAsia="仿宋_GB2312" w:hint="eastAsia"/>
          <w:color w:val="000000"/>
          <w:sz w:val="23"/>
          <w:szCs w:val="23"/>
        </w:rPr>
        <w:t>（二）违法行为轻微，社会危害性较小的；</w:t>
      </w:r>
    </w:p>
    <w:p w:rsidR="0002141A" w:rsidRDefault="0002141A" w:rsidP="0002141A">
      <w:pPr>
        <w:pStyle w:val="a3"/>
        <w:spacing w:line="398" w:lineRule="atLeast"/>
        <w:ind w:firstLine="462"/>
      </w:pPr>
      <w:r>
        <w:rPr>
          <w:rFonts w:ascii="仿宋_GB2312" w:eastAsia="仿宋_GB2312" w:hint="eastAsia"/>
          <w:color w:val="000000"/>
          <w:sz w:val="23"/>
          <w:szCs w:val="23"/>
        </w:rPr>
        <w:t>（三）当事人因残疾或者重大疾病等原因生活确有困难的；</w:t>
      </w:r>
    </w:p>
    <w:p w:rsidR="0002141A" w:rsidRDefault="0002141A" w:rsidP="0002141A">
      <w:pPr>
        <w:pStyle w:val="a3"/>
        <w:spacing w:line="398" w:lineRule="atLeast"/>
        <w:ind w:firstLine="462"/>
      </w:pPr>
      <w:r>
        <w:rPr>
          <w:rFonts w:ascii="仿宋_GB2312" w:eastAsia="仿宋_GB2312" w:hint="eastAsia"/>
          <w:color w:val="000000"/>
          <w:sz w:val="23"/>
          <w:szCs w:val="23"/>
        </w:rPr>
        <w:lastRenderedPageBreak/>
        <w:t>（四）其他依法可以从轻或者减轻行政处罚的。</w:t>
      </w:r>
    </w:p>
    <w:p w:rsidR="0002141A" w:rsidRDefault="0002141A" w:rsidP="0002141A">
      <w:pPr>
        <w:pStyle w:val="a3"/>
        <w:spacing w:line="398" w:lineRule="atLeast"/>
        <w:ind w:firstLine="462"/>
      </w:pPr>
      <w:r>
        <w:rPr>
          <w:rFonts w:ascii="黑体" w:eastAsia="黑体" w:hAnsi="黑体" w:hint="eastAsia"/>
          <w:color w:val="000000"/>
          <w:sz w:val="23"/>
          <w:szCs w:val="23"/>
        </w:rPr>
        <w:t>五、充分调取证据材料，依法合</w:t>
      </w:r>
      <w:proofErr w:type="gramStart"/>
      <w:r>
        <w:rPr>
          <w:rFonts w:ascii="黑体" w:eastAsia="黑体" w:hAnsi="黑体" w:hint="eastAsia"/>
          <w:color w:val="000000"/>
          <w:sz w:val="23"/>
          <w:szCs w:val="23"/>
        </w:rPr>
        <w:t>规作出</w:t>
      </w:r>
      <w:proofErr w:type="gramEnd"/>
      <w:r>
        <w:rPr>
          <w:rFonts w:ascii="黑体" w:eastAsia="黑体" w:hAnsi="黑体" w:hint="eastAsia"/>
          <w:color w:val="000000"/>
          <w:sz w:val="23"/>
          <w:szCs w:val="23"/>
        </w:rPr>
        <w:t>处理决定</w:t>
      </w:r>
    </w:p>
    <w:p w:rsidR="0002141A" w:rsidRDefault="0002141A" w:rsidP="0002141A">
      <w:pPr>
        <w:pStyle w:val="a3"/>
        <w:spacing w:line="398" w:lineRule="atLeast"/>
        <w:ind w:firstLine="462"/>
      </w:pPr>
      <w:r>
        <w:rPr>
          <w:rFonts w:ascii="仿宋_GB2312" w:eastAsia="仿宋_GB2312" w:hint="eastAsia"/>
          <w:color w:val="000000"/>
          <w:sz w:val="23"/>
          <w:szCs w:val="23"/>
        </w:rPr>
        <w:t>市场监管部门在处理涉及绝对化用语广告的投诉举报、案件查办过程中，要相互配合，积极调查，全面取证，特别是要充分调取涉及当事人从轻、减轻或者不予处罚的证据材料，符合上述规定情形，依法采取从轻、减轻或者不予处罚处理方式。</w:t>
      </w:r>
    </w:p>
    <w:p w:rsidR="0002141A" w:rsidRDefault="0002141A" w:rsidP="0002141A">
      <w:pPr>
        <w:pStyle w:val="a3"/>
        <w:spacing w:line="398" w:lineRule="atLeast"/>
        <w:ind w:firstLine="462"/>
      </w:pPr>
      <w:r>
        <w:rPr>
          <w:rFonts w:ascii="Times New Roman" w:hAnsi="Times New Roman" w:cs="Times New Roman"/>
          <w:color w:val="000000"/>
          <w:sz w:val="23"/>
          <w:szCs w:val="23"/>
        </w:rPr>
        <w:t> </w:t>
      </w:r>
    </w:p>
    <w:p w:rsidR="00B04650" w:rsidRDefault="00B04650"/>
    <w:sectPr w:rsidR="00B04650" w:rsidSect="00B046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141A"/>
    <w:rsid w:val="0002141A"/>
    <w:rsid w:val="00B04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4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14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2025-02-28T01:38:00Z</dcterms:created>
  <dcterms:modified xsi:type="dcterms:W3CDTF">2025-02-28T01:39:00Z</dcterms:modified>
</cp:coreProperties>
</file>