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bCs/>
          <w:color w:val="auto"/>
          <w:sz w:val="32"/>
          <w:szCs w:val="32"/>
        </w:rPr>
        <w:t>附件</w:t>
      </w:r>
      <w:r>
        <w:rPr>
          <w:rFonts w:hint="eastAsia" w:ascii="Times New Roman" w:hAnsi="Times New Roman" w:eastAsia="黑体" w:cs="Times New Roman"/>
          <w:bCs/>
          <w:color w:val="auto"/>
          <w:sz w:val="32"/>
          <w:szCs w:val="32"/>
          <w:lang w:val="en-US" w:eastAsia="zh-CN"/>
        </w:rPr>
        <w:t>25</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简体" w:cs="Times New Roman"/>
          <w:bCs/>
          <w:color w:val="auto"/>
          <w:sz w:val="32"/>
          <w:szCs w:val="32"/>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auto"/>
        </w:rPr>
      </w:pPr>
      <w:r>
        <w:rPr>
          <w:rFonts w:hint="default" w:ascii="Times New Roman" w:hAnsi="Times New Roman" w:eastAsia="方正小标宋简体" w:cs="Times New Roman"/>
          <w:bCs/>
          <w:color w:val="auto"/>
          <w:sz w:val="32"/>
          <w:szCs w:val="32"/>
        </w:rPr>
        <w:t>中央厨房和集体用餐配送单位动态风险因素量化分值表</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auto"/>
        </w:rPr>
      </w:pPr>
      <w:r>
        <w:rPr>
          <w:rFonts w:hint="default" w:ascii="Times New Roman" w:hAnsi="Times New Roman" w:eastAsia="方正小标宋简体" w:cs="Times New Roman"/>
          <w:bCs/>
          <w:color w:val="auto"/>
          <w:sz w:val="32"/>
          <w:szCs w:val="32"/>
        </w:rPr>
        <w:t>（中央厨房和集体用餐配送单位日常监督检查要点表）</w:t>
      </w:r>
      <w:bookmarkStart w:id="0" w:name="_GoBack"/>
      <w:bookmarkEnd w:id="0"/>
    </w:p>
    <w:tbl>
      <w:tblPr>
        <w:tblStyle w:val="6"/>
        <w:tblW w:w="9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028"/>
        <w:gridCol w:w="2"/>
        <w:gridCol w:w="615"/>
        <w:gridCol w:w="708"/>
        <w:gridCol w:w="709"/>
        <w:gridCol w:w="4419"/>
        <w:gridCol w:w="1257"/>
        <w:gridCol w:w="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重点检查</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点位</w:t>
            </w:r>
          </w:p>
        </w:tc>
        <w:tc>
          <w:tcPr>
            <w:tcW w:w="6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项目序号</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检查项目</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检查</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序号</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检查内容</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检查结果</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信息</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公示区</w:t>
            </w:r>
          </w:p>
        </w:tc>
        <w:tc>
          <w:tcPr>
            <w:tcW w:w="617"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c>
          <w:tcPr>
            <w:tcW w:w="70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信息公示</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w:t>
            </w:r>
            <w:r>
              <w:rPr>
                <w:rFonts w:hint="default" w:ascii="Times New Roman" w:hAnsi="Times New Roman" w:eastAsia="仿宋_GB2312" w:cs="Times New Roman"/>
                <w:color w:val="auto"/>
                <w:sz w:val="20"/>
                <w:szCs w:val="20"/>
              </w:rPr>
              <w:t>1.1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在经营场所醒目位置公示食品经营许可证、上一次日常监督检查结果记录表、</w:t>
            </w:r>
            <w:r>
              <w:rPr>
                <w:rFonts w:hint="default" w:ascii="Times New Roman" w:hAnsi="Times New Roman" w:eastAsia="仿宋_GB2312" w:cs="Times New Roman"/>
                <w:color w:val="auto"/>
                <w:kern w:val="0"/>
                <w:sz w:val="20"/>
                <w:szCs w:val="20"/>
              </w:rPr>
              <w:t>食品安全负责人和管理员信息</w:t>
            </w:r>
            <w:r>
              <w:rPr>
                <w:rFonts w:hint="default" w:ascii="Times New Roman" w:hAnsi="Times New Roman" w:eastAsia="仿宋_GB2312" w:cs="Times New Roman"/>
                <w:color w:val="auto"/>
                <w:sz w:val="20"/>
                <w:szCs w:val="20"/>
              </w:rPr>
              <w:t>。</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公示从事接触直接入口食品工作的从业人员的有效健康证明。</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2</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食品经营</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许可</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kern w:val="0"/>
                <w:sz w:val="20"/>
                <w:szCs w:val="20"/>
                <w:lang w:val="en"/>
              </w:rPr>
              <w:t>★</w:t>
            </w:r>
            <w:r>
              <w:rPr>
                <w:rFonts w:hint="default" w:ascii="Times New Roman" w:hAnsi="Times New Roman" w:eastAsia="仿宋_GB2312" w:cs="Times New Roman"/>
                <w:color w:val="auto"/>
                <w:sz w:val="20"/>
                <w:szCs w:val="20"/>
              </w:rPr>
              <w:t>2.1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食品经营许可证合法有效，经营地址、经营项目与食品经营许可证一致。</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3</w:t>
            </w:r>
          </w:p>
        </w:tc>
        <w:tc>
          <w:tcPr>
            <w:tcW w:w="70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eastAsia="zh-CN"/>
              </w:rPr>
              <w:t>食品经营者报告</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kern w:val="0"/>
                <w:sz w:val="20"/>
                <w:szCs w:val="20"/>
                <w:lang w:val="en-US" w:eastAsia="zh-CN"/>
              </w:rPr>
            </w:pPr>
            <w:r>
              <w:rPr>
                <w:rFonts w:hint="default" w:ascii="Times New Roman" w:hAnsi="Times New Roman" w:cs="Times New Roman"/>
                <w:color w:val="auto"/>
                <w:kern w:val="0"/>
                <w:sz w:val="20"/>
                <w:szCs w:val="20"/>
                <w:lang w:val="en"/>
              </w:rPr>
              <w:t>★</w:t>
            </w:r>
            <w:r>
              <w:rPr>
                <w:rFonts w:hint="eastAsia" w:ascii="Times New Roman" w:hAnsi="Times New Roman" w:cs="Times New Roman"/>
                <w:color w:val="auto"/>
                <w:sz w:val="20"/>
                <w:szCs w:val="20"/>
                <w:lang w:val="en-US" w:eastAsia="zh-CN"/>
              </w:rPr>
              <w:t>3.1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eastAsia="仿宋_GB2312" w:cs="Times New Roman"/>
                <w:color w:val="auto"/>
                <w:sz w:val="20"/>
                <w:szCs w:val="20"/>
                <w:lang w:val="en-US" w:eastAsia="zh-CN"/>
              </w:rPr>
              <w:t>从事网络经营、外设仓库、自动设备放置地点数量等情况发生变化的，增加预包装食品销售的，是否如实报告相关信息。</w:t>
            </w:r>
          </w:p>
        </w:tc>
        <w:tc>
          <w:tcPr>
            <w:tcW w:w="125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jc w:val="center"/>
              <w:rPr>
                <w:rFonts w:hint="default" w:ascii="Times New Roman" w:hAnsi="Times New Roman" w:eastAsia="仿宋_GB2312" w:cs="Times New Roman"/>
                <w:b w:val="0"/>
                <w:bCs w:val="0"/>
                <w:color w:val="auto"/>
                <w:kern w:val="0"/>
                <w:sz w:val="20"/>
                <w:szCs w:val="20"/>
                <w:lang w:eastAsia="zh-CN" w:bidi="ar-SA"/>
              </w:rPr>
            </w:pPr>
            <w:r>
              <w:rPr>
                <w:rFonts w:hint="default" w:ascii="Times New Roman" w:hAnsi="Times New Roman" w:eastAsia="仿宋_GB2312" w:cs="Times New Roman"/>
                <w:b w:val="0"/>
                <w:bCs w:val="0"/>
                <w:color w:val="auto"/>
                <w:kern w:val="0"/>
                <w:sz w:val="20"/>
                <w:szCs w:val="20"/>
                <w:lang w:eastAsia="zh-CN" w:bidi="ar-SA"/>
              </w:rPr>
              <w:t>□是 □否</w:t>
            </w:r>
          </w:p>
          <w:p>
            <w:pPr>
              <w:widowControl/>
              <w:adjustRightInd w:val="0"/>
              <w:snapToGrid w:val="0"/>
              <w:spacing w:line="240" w:lineRule="auto"/>
              <w:jc w:val="center"/>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kern w:val="0"/>
                <w:sz w:val="20"/>
                <w:szCs w:val="20"/>
                <w:lang w:val="en-US" w:eastAsia="zh-CN"/>
              </w:rPr>
            </w:pPr>
            <w:r>
              <w:rPr>
                <w:rFonts w:hint="default" w:ascii="Times New Roman" w:hAnsi="Times New Roman" w:cs="Times New Roman"/>
                <w:color w:val="auto"/>
                <w:kern w:val="0"/>
                <w:sz w:val="20"/>
                <w:szCs w:val="20"/>
                <w:lang w:val="en"/>
              </w:rPr>
              <w:t>★</w:t>
            </w:r>
            <w:r>
              <w:rPr>
                <w:rFonts w:hint="eastAsia" w:ascii="Times New Roman" w:hAnsi="Times New Roman" w:cs="Times New Roman"/>
                <w:color w:val="auto"/>
                <w:sz w:val="20"/>
                <w:szCs w:val="20"/>
                <w:lang w:val="en-US" w:eastAsia="zh-CN"/>
              </w:rPr>
              <w:t>3.2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eastAsia="仿宋_GB2312" w:cs="Times New Roman"/>
                <w:color w:val="auto"/>
                <w:sz w:val="20"/>
                <w:szCs w:val="20"/>
                <w:lang w:val="en-US" w:eastAsia="zh-CN"/>
              </w:rPr>
              <w:t>利用自动设备跨省经营的，是否如实报告相关信息。</w:t>
            </w:r>
          </w:p>
        </w:tc>
        <w:tc>
          <w:tcPr>
            <w:tcW w:w="125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jc w:val="center"/>
              <w:rPr>
                <w:rFonts w:hint="default" w:ascii="Times New Roman" w:hAnsi="Times New Roman" w:eastAsia="仿宋_GB2312" w:cs="Times New Roman"/>
                <w:b w:val="0"/>
                <w:bCs w:val="0"/>
                <w:color w:val="auto"/>
                <w:kern w:val="0"/>
                <w:sz w:val="20"/>
                <w:szCs w:val="20"/>
                <w:lang w:eastAsia="zh-CN" w:bidi="ar-SA"/>
              </w:rPr>
            </w:pPr>
            <w:r>
              <w:rPr>
                <w:rFonts w:hint="default" w:ascii="Times New Roman" w:hAnsi="Times New Roman" w:eastAsia="仿宋_GB2312" w:cs="Times New Roman"/>
                <w:b w:val="0"/>
                <w:bCs w:val="0"/>
                <w:color w:val="auto"/>
                <w:kern w:val="0"/>
                <w:sz w:val="20"/>
                <w:szCs w:val="20"/>
                <w:lang w:eastAsia="zh-CN" w:bidi="ar-SA"/>
              </w:rPr>
              <w:t>□是 □否</w:t>
            </w:r>
          </w:p>
          <w:p>
            <w:pPr>
              <w:widowControl/>
              <w:adjustRightInd w:val="0"/>
              <w:snapToGrid w:val="0"/>
              <w:spacing w:line="240" w:lineRule="auto"/>
              <w:jc w:val="center"/>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kern w:val="0"/>
                <w:sz w:val="20"/>
                <w:szCs w:val="20"/>
                <w:lang w:val="en-US" w:eastAsia="zh-CN"/>
              </w:rPr>
            </w:pPr>
            <w:r>
              <w:rPr>
                <w:rFonts w:hint="default" w:ascii="Times New Roman" w:hAnsi="Times New Roman" w:cs="Times New Roman"/>
                <w:color w:val="auto"/>
                <w:kern w:val="0"/>
                <w:sz w:val="20"/>
                <w:szCs w:val="20"/>
                <w:lang w:val="en"/>
              </w:rPr>
              <w:t>★</w:t>
            </w:r>
            <w:r>
              <w:rPr>
                <w:rFonts w:hint="eastAsia" w:ascii="Times New Roman" w:hAnsi="Times New Roman" w:cs="Times New Roman"/>
                <w:color w:val="auto"/>
                <w:sz w:val="20"/>
                <w:szCs w:val="20"/>
                <w:lang w:val="en-US" w:eastAsia="zh-CN"/>
              </w:rPr>
              <w:t>3.3</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left"/>
              <w:textAlignment w:val="auto"/>
              <w:rPr>
                <w:rFonts w:hint="eastAsia"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集体用餐配送单位向学校、托幼机构供餐及供餐情况发生变化的</w:t>
            </w:r>
          </w:p>
        </w:tc>
        <w:tc>
          <w:tcPr>
            <w:tcW w:w="125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jc w:val="center"/>
              <w:rPr>
                <w:rFonts w:hint="default" w:ascii="Times New Roman" w:hAnsi="Times New Roman" w:eastAsia="仿宋_GB2312" w:cs="Times New Roman"/>
                <w:b w:val="0"/>
                <w:bCs w:val="0"/>
                <w:color w:val="auto"/>
                <w:kern w:val="0"/>
                <w:sz w:val="20"/>
                <w:szCs w:val="20"/>
                <w:lang w:eastAsia="zh-CN" w:bidi="ar-SA"/>
              </w:rPr>
            </w:pPr>
            <w:r>
              <w:rPr>
                <w:rFonts w:hint="default" w:ascii="Times New Roman" w:hAnsi="Times New Roman" w:eastAsia="仿宋_GB2312" w:cs="Times New Roman"/>
                <w:b w:val="0"/>
                <w:bCs w:val="0"/>
                <w:color w:val="auto"/>
                <w:kern w:val="0"/>
                <w:sz w:val="20"/>
                <w:szCs w:val="20"/>
                <w:lang w:eastAsia="zh-CN" w:bidi="ar-SA"/>
              </w:rPr>
              <w:t>□是 □否</w:t>
            </w:r>
          </w:p>
          <w:p>
            <w:pPr>
              <w:widowControl/>
              <w:adjustRightInd w:val="0"/>
              <w:snapToGrid w:val="0"/>
              <w:spacing w:line="240" w:lineRule="auto"/>
              <w:jc w:val="center"/>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kern w:val="0"/>
                <w:sz w:val="20"/>
                <w:szCs w:val="20"/>
                <w:lang w:val="en-US" w:eastAsia="zh-CN"/>
              </w:rPr>
            </w:pPr>
            <w:r>
              <w:rPr>
                <w:rFonts w:hint="default" w:ascii="Times New Roman" w:hAnsi="Times New Roman" w:cs="Times New Roman"/>
                <w:color w:val="auto"/>
                <w:kern w:val="0"/>
                <w:sz w:val="20"/>
                <w:szCs w:val="20"/>
                <w:lang w:val="en"/>
              </w:rPr>
              <w:t>★</w:t>
            </w:r>
            <w:r>
              <w:rPr>
                <w:rFonts w:hint="eastAsia" w:ascii="Times New Roman" w:hAnsi="Times New Roman" w:cs="Times New Roman"/>
                <w:color w:val="auto"/>
                <w:sz w:val="20"/>
                <w:szCs w:val="20"/>
                <w:lang w:val="en-US" w:eastAsia="zh-CN"/>
              </w:rPr>
              <w:t>3.4</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b w:val="0"/>
                <w:bCs w:val="0"/>
                <w:color w:val="auto"/>
                <w:kern w:val="2"/>
                <w:sz w:val="20"/>
                <w:szCs w:val="20"/>
                <w:lang w:val="en-US" w:eastAsia="zh-CN" w:bidi="ar-SA"/>
              </w:rPr>
              <w:t>主要设备设施、经营布局、操作流程等发生较大变化，可能影响食品安全的</w:t>
            </w:r>
            <w:r>
              <w:rPr>
                <w:rFonts w:hint="eastAsia" w:ascii="Times New Roman" w:hAnsi="Times New Roman" w:eastAsia="仿宋_GB2312" w:cs="Times New Roman"/>
                <w:b w:val="0"/>
                <w:bCs w:val="0"/>
                <w:color w:val="auto"/>
                <w:kern w:val="2"/>
                <w:sz w:val="20"/>
                <w:szCs w:val="20"/>
                <w:lang w:val="en-US" w:eastAsia="zh-CN" w:bidi="ar-SA"/>
              </w:rPr>
              <w:t>，是否如实报告相关信息。</w:t>
            </w:r>
          </w:p>
        </w:tc>
        <w:tc>
          <w:tcPr>
            <w:tcW w:w="125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240" w:lineRule="auto"/>
              <w:jc w:val="center"/>
              <w:rPr>
                <w:rFonts w:hint="default" w:ascii="Times New Roman" w:hAnsi="Times New Roman" w:eastAsia="仿宋_GB2312" w:cs="Times New Roman"/>
                <w:b w:val="0"/>
                <w:bCs w:val="0"/>
                <w:color w:val="auto"/>
                <w:kern w:val="0"/>
                <w:sz w:val="20"/>
                <w:szCs w:val="20"/>
                <w:lang w:eastAsia="zh-CN" w:bidi="ar-SA"/>
              </w:rPr>
            </w:pPr>
            <w:r>
              <w:rPr>
                <w:rFonts w:hint="default" w:ascii="Times New Roman" w:hAnsi="Times New Roman" w:eastAsia="仿宋_GB2312" w:cs="Times New Roman"/>
                <w:b w:val="0"/>
                <w:bCs w:val="0"/>
                <w:color w:val="auto"/>
                <w:kern w:val="0"/>
                <w:sz w:val="20"/>
                <w:szCs w:val="20"/>
                <w:lang w:eastAsia="zh-CN" w:bidi="ar-SA"/>
              </w:rPr>
              <w:t>□是 □否</w:t>
            </w:r>
          </w:p>
          <w:p>
            <w:pPr>
              <w:widowControl/>
              <w:adjustRightInd w:val="0"/>
              <w:snapToGrid w:val="0"/>
              <w:spacing w:line="240" w:lineRule="auto"/>
              <w:jc w:val="center"/>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原料</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贮存区</w:t>
            </w:r>
          </w:p>
        </w:tc>
        <w:tc>
          <w:tcPr>
            <w:tcW w:w="617"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4</w:t>
            </w:r>
          </w:p>
        </w:tc>
        <w:tc>
          <w:tcPr>
            <w:tcW w:w="70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原料贮存</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4</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食品库房和非食品库房分开设置。</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同一库房内贮存不同类别的食品和非食品（如食品包装材料等），分设存放区域，不同区域有明显的区分标识,贮存的食品和物品离墙离地。散装食品有食品储物箱，并标明名称、使用期限等内容。</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bCs/>
                <w:color w:val="auto"/>
                <w:sz w:val="20"/>
                <w:szCs w:val="20"/>
                <w:lang w:val="en-US" w:eastAsia="zh-CN"/>
              </w:rPr>
            </w:pPr>
            <w:r>
              <w:rPr>
                <w:rFonts w:hint="eastAsia" w:ascii="Times New Roman" w:hAnsi="Times New Roman"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.3</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冷冻（藏）设施正常运转，有正确显示设施内部温度的温度计或温度显示装置，设施内部温度符合规定。冷冻（藏）库使用防爆灯。</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.4</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冷冻（藏）设施中贮存的原料、半成品、成品分开存放，并有明显区分标识。</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kern w:val="0"/>
                <w:sz w:val="20"/>
                <w:szCs w:val="20"/>
                <w:lang w:val="en"/>
              </w:rPr>
              <w:t>★</w:t>
            </w: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.5</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设有存放食品添加剂的专柜（位），并标注“食品添加剂”字样。食品添加剂的标签上标注有使用范围、用量、使用方法等内容。</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.6</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无禁用物质、无明确标签标识、无法说明来源以及其他明令禁止生产经营的物质，无散装食盐。</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.7</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食品库房设有通风、防潮及防止有害生物侵入的装置。</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5</w:t>
            </w:r>
          </w:p>
        </w:tc>
        <w:tc>
          <w:tcPr>
            <w:tcW w:w="70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原料</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质量</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检查</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kern w:val="0"/>
                <w:sz w:val="20"/>
                <w:szCs w:val="20"/>
                <w:lang w:val="en"/>
              </w:rPr>
              <w:t>★</w:t>
            </w:r>
            <w:r>
              <w:rPr>
                <w:rFonts w:hint="eastAsia" w:ascii="Times New Roman" w:hAnsi="Times New Roman" w:cs="Times New Roman"/>
                <w:color w:val="auto"/>
                <w:sz w:val="20"/>
                <w:szCs w:val="20"/>
                <w:lang w:val="en-US" w:eastAsia="zh-CN"/>
              </w:rPr>
              <w:t>5</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食品原料具有正常的感官性状，无超过保质期、无腐败变质等异常情形。</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5</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对变质、超过保质期或者回收的食品进行显著标示或者单独存放在有明确标志的场所，及时采取无害化处理、销毁等措施并如实记录。</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5</w:t>
            </w:r>
            <w:r>
              <w:rPr>
                <w:rFonts w:hint="default" w:ascii="Times New Roman" w:hAnsi="Times New Roman" w:eastAsia="仿宋_GB2312" w:cs="Times New Roman"/>
                <w:color w:val="auto"/>
                <w:sz w:val="20"/>
                <w:szCs w:val="20"/>
              </w:rPr>
              <w:t>.3</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食品的包装和标签标识符合要求，并按照要求的条件和规范贮存。</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w:t>
            </w:r>
            <w:r>
              <w:rPr>
                <w:rFonts w:hint="eastAsia" w:ascii="Times New Roman" w:hAnsi="Times New Roman" w:cs="Times New Roman"/>
                <w:color w:val="auto"/>
                <w:sz w:val="20"/>
                <w:szCs w:val="20"/>
                <w:lang w:val="en-US" w:eastAsia="zh-CN"/>
              </w:rPr>
              <w:t>5</w:t>
            </w:r>
            <w:r>
              <w:rPr>
                <w:rFonts w:hint="default" w:ascii="Times New Roman" w:hAnsi="Times New Roman" w:eastAsia="仿宋_GB2312" w:cs="Times New Roman"/>
                <w:color w:val="auto"/>
                <w:sz w:val="20"/>
                <w:szCs w:val="20"/>
              </w:rPr>
              <w:t>.4</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食品加工用水符合生活饮用水卫生标准。加工制作现榨果蔬汁和食用冰等直接入口食品的用水安装净水设施或使用煮沸冷却后的生活饮用水。</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粗加工区</w:t>
            </w:r>
          </w:p>
        </w:tc>
        <w:tc>
          <w:tcPr>
            <w:tcW w:w="6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6</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场所卫生</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6</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场所内保持清洁卫生，环境整洁、无异味，无苍蝇、老鼠、蟑螂等有害生物活动迹象，无污染源和活畜禽，地面、墙壁、门窗、天花板、操作台、食品加工用具等无破损、霉斑、污垢、积油、积水等情形。</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7</w:t>
            </w:r>
          </w:p>
        </w:tc>
        <w:tc>
          <w:tcPr>
            <w:tcW w:w="70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粗加工</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与切配</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7</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设有粗加工和切配区域，各类水池有明显标识标明用途，分类清洗动物性食品、植物性食品和水产品。食品原料洗净后使用，禽蛋使用前清洁外壳。</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7</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盛放或加工制作动物性、植物性、水产品等食品原料的工用具和容器分开使用，并有明显区分标识。</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w:t>
            </w:r>
          </w:p>
        </w:tc>
        <w:tc>
          <w:tcPr>
            <w:tcW w:w="617"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8</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场所布局</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8</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各专间有明显的标识，并标明用途。</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8</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专间的门自动闭合，窗户为封闭式（用于传递食品的除外），专间的门和食品传递窗口及时关闭。</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9</w:t>
            </w:r>
          </w:p>
        </w:tc>
        <w:tc>
          <w:tcPr>
            <w:tcW w:w="70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设施设备</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w:t>
            </w:r>
            <w:r>
              <w:rPr>
                <w:rFonts w:hint="eastAsia" w:ascii="Times New Roman" w:hAnsi="Times New Roman" w:cs="Times New Roman"/>
                <w:color w:val="auto"/>
                <w:sz w:val="20"/>
                <w:szCs w:val="20"/>
                <w:lang w:val="en-US" w:eastAsia="zh-CN"/>
              </w:rPr>
              <w:t>9</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专间内设有空气消毒、冷冻（藏）、独立的空调等设施，专间内温度不高于25℃。</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9</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tabs>
                <w:tab w:val="left" w:pos="960"/>
              </w:tabs>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专间内工用具专用并独立存放。</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9</w:t>
            </w:r>
            <w:r>
              <w:rPr>
                <w:rFonts w:hint="default" w:ascii="Times New Roman" w:hAnsi="Times New Roman" w:eastAsia="仿宋_GB2312" w:cs="Times New Roman"/>
                <w:color w:val="auto"/>
                <w:sz w:val="20"/>
                <w:szCs w:val="20"/>
              </w:rPr>
              <w:t>.3</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tabs>
                <w:tab w:val="left" w:pos="960"/>
              </w:tabs>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专间入口处设有二次更衣设施，以及独立的非接触洗手、消毒、干手设施。</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10</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人员</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10</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专间内由专人加工制作。加工制作人员穿戴专用的洁净工作衣帽、佩戴口罩（遮住口鼻）并经严格清洗消毒手部后进入专间。专间和其他操作区的从业人员工作衣帽有明显区分。</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11</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加工制作</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w:t>
            </w:r>
            <w:r>
              <w:rPr>
                <w:rFonts w:hint="eastAsia" w:ascii="Times New Roman" w:hAnsi="Times New Roman" w:cs="Times New Roman"/>
                <w:color w:val="auto"/>
                <w:sz w:val="20"/>
                <w:szCs w:val="20"/>
                <w:lang w:val="en-US" w:eastAsia="zh-CN"/>
              </w:rPr>
              <w:t>11</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生食类食品、冷食类食品等的加工在专间内进行（可不在专间加工的情形除外）。</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w:t>
            </w:r>
            <w:r>
              <w:rPr>
                <w:rFonts w:hint="default" w:ascii="Times New Roman" w:hAnsi="Times New Roman" w:eastAsia="仿宋_GB2312" w:cs="Times New Roman"/>
                <w:color w:val="auto"/>
                <w:sz w:val="20"/>
                <w:szCs w:val="20"/>
              </w:rPr>
              <w:t>1</w:t>
            </w:r>
            <w:r>
              <w:rPr>
                <w:rFonts w:hint="eastAsia" w:ascii="Times New Roman" w:hAnsi="Times New Roman" w:cs="Times New Roman"/>
                <w:color w:val="auto"/>
                <w:sz w:val="20"/>
                <w:szCs w:val="20"/>
                <w:lang w:val="en-US" w:eastAsia="zh-CN"/>
              </w:rPr>
              <w:t>1</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食品的冷却、分装等在专间内进行，食品存放温度和时间符合要求。</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12</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废弃物</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要求</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12</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专间内的废弃物容器的盖子为非手动开启式。</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烹饪区</w:t>
            </w:r>
          </w:p>
        </w:tc>
        <w:tc>
          <w:tcPr>
            <w:tcW w:w="617"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13</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工具容器</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13</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盛放调味料的容器表面清洁，加盖存放。</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13</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原料、半成品、成品的容器、加工制作工用具区分标识明显、分开放置和使用，防止食品交叉污染的措施有效。</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14</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防尘、防有害生物设施</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14</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配备防尘、防蝇、防鼠、防虫等设施设备，能够出具有害生物消杀记录。</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15</w:t>
            </w:r>
          </w:p>
        </w:tc>
        <w:tc>
          <w:tcPr>
            <w:tcW w:w="70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照明、通风排烟</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设施</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15</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配备通风、排烟、充足的自然光或人工照明设施，定期清洁，光源不改变食品的感官颜色。</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15</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餐厨废弃物存放容器配有盖子，与食品加工制作容器有明显的区分标识，并及时清理，餐厨废弃物未溢出存放容器。</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16</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加工制作</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★16</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未在餐饮加工场所贮存和添加由国务院食品安全监督管理部门会同国务院卫生行政等部门发布的非食品用化学物质和其他可能危害人体健康的物质。</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★16</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油炸类食品、烧烤类食品、糕点类食品、自制饮品等加工过程符合要求。</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★16</w:t>
            </w:r>
            <w:r>
              <w:rPr>
                <w:rFonts w:hint="default" w:ascii="Times New Roman" w:hAnsi="Times New Roman" w:eastAsia="仿宋_GB2312" w:cs="Times New Roman"/>
                <w:color w:val="auto"/>
                <w:sz w:val="20"/>
                <w:szCs w:val="20"/>
              </w:rPr>
              <w:t>.3</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未超范围、超限量使用食品添加剂，准确称量和记录有“最大使用量”规定的食品添加剂。</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hd w:val="clear" w:color="auto" w:fill="FFFFFF"/>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★16</w:t>
            </w:r>
            <w:r>
              <w:rPr>
                <w:rFonts w:hint="default" w:ascii="Times New Roman" w:hAnsi="Times New Roman" w:eastAsia="仿宋_GB2312" w:cs="Times New Roman"/>
                <w:color w:val="auto"/>
                <w:sz w:val="20"/>
                <w:szCs w:val="20"/>
              </w:rPr>
              <w:t>.4</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未采购、贮存、使用亚硝酸盐（包括亚硝酸钠、亚硝酸钾）。</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17</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食品留样</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17</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对加工制作的每餐次食品成品进行留样，每个品种留样量不少于125克，并有留样记录。</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sz w:val="20"/>
                <w:szCs w:val="20"/>
              </w:rPr>
            </w:pPr>
          </w:p>
        </w:tc>
        <w:tc>
          <w:tcPr>
            <w:tcW w:w="6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18</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人员卫生</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18</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从事接触直接入口食品工作的从业人员，加工制作食品前对手部进行清洗消毒。</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餐用具清洗消毒区</w:t>
            </w:r>
          </w:p>
        </w:tc>
        <w:tc>
          <w:tcPr>
            <w:tcW w:w="617"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19</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清洗</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19</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具有专用的餐用具清洗消毒水池并有明显标识，与食品原料、清洁用具及接触非直接入口食品的工具、容器清洗水池分开。</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19</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洗涤剂、消毒剂符合国家食品安全标准，包装标识齐全，包装上标识有产品名称、生产厂名和厂址等内容。</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消毒</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w:t>
            </w:r>
            <w:r>
              <w:rPr>
                <w:rFonts w:hint="eastAsia" w:ascii="Times New Roman" w:hAnsi="Times New Roman" w:cs="Times New Roman"/>
                <w:color w:val="auto"/>
                <w:sz w:val="20"/>
                <w:szCs w:val="20"/>
                <w:lang w:val="en-US" w:eastAsia="zh-CN"/>
              </w:rPr>
              <w:t>20</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采用物理消毒的，消毒设备正常运转，消毒温度和时间符合相关要求。</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w:t>
            </w:r>
            <w:r>
              <w:rPr>
                <w:rFonts w:hint="eastAsia" w:ascii="Times New Roman" w:hAnsi="Times New Roman" w:cs="Times New Roman"/>
                <w:color w:val="auto"/>
                <w:sz w:val="20"/>
                <w:szCs w:val="20"/>
                <w:lang w:val="en-US" w:eastAsia="zh-CN"/>
              </w:rPr>
              <w:t>20</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采用化学消毒的，配有含氯等消毒剂和水池等消毒设施设备，消毒液配制行为和消毒液浓度符合相关要求。</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餐用具</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保洁区</w:t>
            </w:r>
          </w:p>
        </w:tc>
        <w:tc>
          <w:tcPr>
            <w:tcW w:w="617" w:type="dxa"/>
            <w:gridSpan w:val="2"/>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21</w:t>
            </w:r>
          </w:p>
        </w:tc>
        <w:tc>
          <w:tcPr>
            <w:tcW w:w="70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保洁设施</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★21</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餐饮具表面光洁，无附着食物残渣等异物、无油渍、泡沫、异味。</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★21</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消毒后的餐饮具存放在清洁、专用、密闭的保洁设施中，并有明显区分标识。</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★21</w:t>
            </w:r>
            <w:r>
              <w:rPr>
                <w:rFonts w:hint="default" w:ascii="Times New Roman" w:hAnsi="Times New Roman" w:eastAsia="仿宋_GB2312" w:cs="Times New Roman"/>
                <w:color w:val="auto"/>
                <w:sz w:val="20"/>
                <w:szCs w:val="20"/>
              </w:rPr>
              <w:t>.3</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使用敞开式的货架存放餐饮具，采取防护措施。</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21</w:t>
            </w:r>
            <w:r>
              <w:rPr>
                <w:rFonts w:hint="default" w:ascii="Times New Roman" w:hAnsi="Times New Roman" w:eastAsia="仿宋_GB2312" w:cs="Times New Roman"/>
                <w:color w:val="auto"/>
                <w:sz w:val="20"/>
                <w:szCs w:val="20"/>
              </w:rPr>
              <w:t>.4</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rPr>
              <w:t>一次性餐饮具符合食品安全要求。</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21</w:t>
            </w:r>
            <w:r>
              <w:rPr>
                <w:rFonts w:hint="default" w:ascii="Times New Roman" w:hAnsi="Times New Roman" w:eastAsia="仿宋_GB2312" w:cs="Times New Roman"/>
                <w:color w:val="auto"/>
                <w:sz w:val="20"/>
                <w:szCs w:val="20"/>
              </w:rPr>
              <w:t>.5</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盛放食品及原料的容器和加工制作工具根据不同用途进行分类管理、定位存放，并具有明显标识或区分。</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仿宋_GB2312" w:cs="Times New Roman"/>
                <w:color w:val="auto"/>
                <w:sz w:val="20"/>
                <w:szCs w:val="20"/>
                <w:lang w:val="en-US"/>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配送</w:t>
            </w:r>
          </w:p>
        </w:tc>
        <w:tc>
          <w:tcPr>
            <w:tcW w:w="617"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22</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设施设备</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22</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贮存、运输对温度、湿度等有特殊要求的食品，具备保温、冷藏或者冷冻等设备设施，并保持有效运行。</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22</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使用专用的密闭容器和车辆配送食品。配送食品的车辆未与运输杀虫剂、杀鼠剂等有毒有害物品的车辆混用。</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★22</w:t>
            </w:r>
            <w:r>
              <w:rPr>
                <w:rFonts w:hint="default" w:ascii="Times New Roman" w:hAnsi="Times New Roman" w:eastAsia="仿宋_GB2312" w:cs="Times New Roman"/>
                <w:color w:val="auto"/>
                <w:sz w:val="20"/>
                <w:szCs w:val="20"/>
              </w:rPr>
              <w:t>.3</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配送前，清洗消毒盛放食品成品的容器（一次性容器除外）。</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22</w:t>
            </w:r>
            <w:r>
              <w:rPr>
                <w:rFonts w:hint="default" w:ascii="Times New Roman" w:hAnsi="Times New Roman" w:eastAsia="仿宋_GB2312" w:cs="Times New Roman"/>
                <w:color w:val="auto"/>
                <w:sz w:val="20"/>
                <w:szCs w:val="20"/>
              </w:rPr>
              <w:t>.4</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配送前，对运输车辆和配送容器进行清洁。</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22</w:t>
            </w:r>
            <w:r>
              <w:rPr>
                <w:rFonts w:hint="default" w:ascii="Times New Roman" w:hAnsi="Times New Roman" w:eastAsia="仿宋_GB2312" w:cs="Times New Roman"/>
                <w:color w:val="auto"/>
                <w:sz w:val="20"/>
                <w:szCs w:val="20"/>
              </w:rPr>
              <w:t>.5</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中央厨房配送的食品应有包装（如密封塑袋包装）或使用密闭容器（如加盖周转箱）盛放。容器材料符合食品安全国家标准或有关规定。</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★22</w:t>
            </w:r>
            <w:r>
              <w:rPr>
                <w:rFonts w:hint="default" w:ascii="Times New Roman" w:hAnsi="Times New Roman" w:eastAsia="仿宋_GB2312" w:cs="Times New Roman"/>
                <w:color w:val="auto"/>
                <w:sz w:val="20"/>
                <w:szCs w:val="20"/>
              </w:rPr>
              <w:t>.6</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中央厨房配送食品的包装或容器上标注有中央厨房的名称、地址、许可证号、联系方式、以及食品名称、加工制作时间、保存条件、保存期限、加工制作要求等。</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★22</w:t>
            </w:r>
            <w:r>
              <w:rPr>
                <w:rFonts w:hint="default" w:ascii="Times New Roman" w:hAnsi="Times New Roman" w:eastAsia="仿宋_GB2312" w:cs="Times New Roman"/>
                <w:color w:val="auto"/>
                <w:sz w:val="20"/>
                <w:szCs w:val="20"/>
              </w:rPr>
              <w:t>.7</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集体用餐配送单位配送的食品有包装或使用密闭容器盛放，容器上标注食用时限和食用方法。</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23</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配送条件</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要求</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23</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食品的配送温度和湿度符合食品安全要求。高危易腐食品采取低温保存措施。</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24</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人员卫生</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24</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配送人员个人卫生良好。</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文件</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保存区</w:t>
            </w:r>
          </w:p>
        </w:tc>
        <w:tc>
          <w:tcPr>
            <w:tcW w:w="617" w:type="dxa"/>
            <w:gridSpan w:val="2"/>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25</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文件</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与记录</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★25</w:t>
            </w:r>
            <w:r>
              <w:rPr>
                <w:rFonts w:hint="default" w:ascii="Times New Roman" w:hAnsi="Times New Roman" w:eastAsia="仿宋_GB2312" w:cs="Times New Roman"/>
                <w:color w:val="auto"/>
                <w:sz w:val="20"/>
                <w:szCs w:val="20"/>
              </w:rPr>
              <w:t>.1</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具有食品、食品添加剂、食品相关产品的随货证明文件、合格证明文件、每笔购物或销售凭证。具有完整的进货查验记录。</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25</w:t>
            </w:r>
            <w:r>
              <w:rPr>
                <w:rFonts w:hint="default" w:ascii="Times New Roman" w:hAnsi="Times New Roman" w:eastAsia="仿宋_GB2312" w:cs="Times New Roman"/>
                <w:color w:val="auto"/>
                <w:sz w:val="20"/>
                <w:szCs w:val="20"/>
              </w:rPr>
              <w:t>.2</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采购畜禽肉类的，还具有动物产品检疫合格证明等相关证明文件。</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★25</w:t>
            </w:r>
            <w:r>
              <w:rPr>
                <w:rFonts w:hint="default" w:ascii="Times New Roman" w:hAnsi="Times New Roman" w:eastAsia="仿宋_GB2312" w:cs="Times New Roman"/>
                <w:color w:val="auto"/>
                <w:sz w:val="20"/>
                <w:szCs w:val="20"/>
              </w:rPr>
              <w:t>.3</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具有完</w:t>
            </w:r>
            <w:r>
              <w:rPr>
                <w:rFonts w:hint="default" w:ascii="Times New Roman" w:hAnsi="Times New Roman" w:eastAsia="仿宋_GB2312" w:cs="Times New Roman"/>
                <w:color w:val="auto"/>
                <w:sz w:val="20"/>
                <w:szCs w:val="20"/>
                <w:lang w:eastAsia="zh-CN"/>
              </w:rPr>
              <w:t>善</w:t>
            </w:r>
            <w:r>
              <w:rPr>
                <w:rFonts w:hint="default" w:ascii="Times New Roman" w:hAnsi="Times New Roman" w:eastAsia="仿宋_GB2312" w:cs="Times New Roman"/>
                <w:color w:val="auto"/>
                <w:sz w:val="20"/>
                <w:szCs w:val="20"/>
              </w:rPr>
              <w:t>的食品安全管理、食品安全追溯、供货者评价和退出、食品加工操作、设施设备清洗维护校验、餐饮具消毒保洁、餐厨废弃物处置制度和记录；具有完</w:t>
            </w:r>
            <w:r>
              <w:rPr>
                <w:rFonts w:hint="default" w:ascii="Times New Roman" w:hAnsi="Times New Roman" w:eastAsia="仿宋_GB2312" w:cs="Times New Roman"/>
                <w:color w:val="auto"/>
                <w:sz w:val="20"/>
                <w:szCs w:val="20"/>
                <w:lang w:eastAsia="zh-CN"/>
              </w:rPr>
              <w:t>善</w:t>
            </w:r>
            <w:r>
              <w:rPr>
                <w:rFonts w:hint="default" w:ascii="Times New Roman" w:hAnsi="Times New Roman" w:eastAsia="仿宋_GB2312" w:cs="Times New Roman"/>
                <w:color w:val="auto"/>
                <w:sz w:val="20"/>
                <w:szCs w:val="20"/>
              </w:rPr>
              <w:t>的从业人员健康管理和健康检查（每日晨检）制度和记录；具</w:t>
            </w:r>
            <w:r>
              <w:rPr>
                <w:rFonts w:hint="default" w:ascii="Times New Roman" w:hAnsi="Times New Roman" w:eastAsia="仿宋_GB2312" w:cs="Times New Roman"/>
                <w:color w:val="auto"/>
                <w:sz w:val="20"/>
                <w:szCs w:val="20"/>
                <w:lang w:eastAsia="zh-CN"/>
              </w:rPr>
              <w:t>有</w:t>
            </w:r>
            <w:r>
              <w:rPr>
                <w:rFonts w:hint="default" w:ascii="Times New Roman" w:hAnsi="Times New Roman" w:eastAsia="仿宋_GB2312" w:cs="Times New Roman"/>
                <w:color w:val="auto"/>
                <w:sz w:val="20"/>
                <w:szCs w:val="20"/>
              </w:rPr>
              <w:t>完整的食品安全自查记录（每周一次）、从业人员食品安全培训考核记录（每半年一次）、定期消杀记录有害生物记录、食品安全突发事件应急处置方案等。</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★25</w:t>
            </w:r>
            <w:r>
              <w:rPr>
                <w:rFonts w:hint="default" w:ascii="Times New Roman" w:hAnsi="Times New Roman" w:eastAsia="仿宋_GB2312" w:cs="Times New Roman"/>
                <w:color w:val="auto"/>
                <w:sz w:val="20"/>
                <w:szCs w:val="20"/>
              </w:rPr>
              <w:t>.4</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设立食品安全管理机构，配备专职食品安全管理人员。</w:t>
            </w:r>
            <w:r>
              <w:rPr>
                <w:rFonts w:hint="default" w:ascii="Times New Roman" w:hAnsi="Times New Roman" w:eastAsia="仿宋_GB2312" w:cs="Times New Roman"/>
                <w:color w:val="auto"/>
                <w:sz w:val="20"/>
                <w:szCs w:val="20"/>
                <w:lang w:eastAsia="zh-CN"/>
              </w:rPr>
              <w:t>餐饮服务企业配备食品安全员的任命书，大中型餐饮服务企业、</w:t>
            </w:r>
            <w:r>
              <w:rPr>
                <w:rFonts w:hint="default" w:ascii="Times New Roman" w:hAnsi="Times New Roman" w:eastAsia="仿宋_GB2312" w:cs="Times New Roman"/>
                <w:color w:val="auto"/>
                <w:sz w:val="20"/>
                <w:szCs w:val="20"/>
                <w:lang w:val="en-US" w:eastAsia="zh-CN"/>
              </w:rPr>
              <w:t>供餐人数超过1000人的集中配餐单位</w:t>
            </w:r>
            <w:r>
              <w:rPr>
                <w:rFonts w:hint="default" w:ascii="Times New Roman" w:hAnsi="Times New Roman" w:eastAsia="仿宋_GB2312" w:cs="Times New Roman"/>
                <w:color w:val="auto"/>
                <w:sz w:val="20"/>
                <w:szCs w:val="20"/>
                <w:lang w:eastAsia="zh-CN"/>
              </w:rPr>
              <w:t>配备食品安全总监的任命书；结合实际，细化制定《食品安全总监职责》《食品安全员守则》。</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eastAsia="zh-CN"/>
              </w:rPr>
            </w:pPr>
            <w:r>
              <w:rPr>
                <w:rFonts w:hint="default" w:ascii="Times New Roman" w:hAnsi="Times New Roman" w:cs="Times New Roman"/>
                <w:color w:val="auto"/>
                <w:sz w:val="20"/>
                <w:szCs w:val="20"/>
                <w:lang w:val="en"/>
              </w:rPr>
              <w:t>★25</w:t>
            </w: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5</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lang w:eastAsia="zh-CN"/>
              </w:rPr>
              <w:t>餐饮服务企业认真落实日管控、周排查、月调度管理要求，做好《每日食品安全检查记录》《每周食品安全排查治理报告》《每月食品安全调度会议纪要》等记录并存档。</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617" w:type="dxa"/>
            <w:gridSpan w:val="2"/>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eastAsia="zh-CN"/>
              </w:rPr>
            </w:pPr>
            <w:r>
              <w:rPr>
                <w:rFonts w:hint="default" w:ascii="Times New Roman" w:hAnsi="Times New Roman" w:cs="Times New Roman"/>
                <w:color w:val="auto"/>
                <w:sz w:val="20"/>
                <w:szCs w:val="20"/>
                <w:lang w:val="en"/>
              </w:rPr>
              <w:t>25</w:t>
            </w: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6</w:t>
            </w:r>
          </w:p>
        </w:tc>
        <w:tc>
          <w:tcPr>
            <w:tcW w:w="441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具有检验检测计划，定期对大宗食品原料、加工制作环境等自行或委托具有资质的第三方机构进行检验检测，有检验检测报告或结果记录；自行或委托第三方机构定期对供货者食品安全状况进行现场评价，有报告记录。</w:t>
            </w:r>
          </w:p>
        </w:tc>
        <w:tc>
          <w:tcPr>
            <w:tcW w:w="12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28" w:type="dxa"/>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eastAsia="zh-CN"/>
              </w:rPr>
            </w:pPr>
            <w:r>
              <w:rPr>
                <w:rFonts w:hint="default" w:ascii="Times New Roman" w:hAnsi="Times New Roman" w:eastAsia="仿宋_GB2312" w:cs="Times New Roman"/>
                <w:color w:val="auto"/>
                <w:sz w:val="20"/>
                <w:szCs w:val="20"/>
                <w:lang w:eastAsia="zh-CN"/>
              </w:rPr>
              <w:t>其他</w:t>
            </w:r>
          </w:p>
        </w:tc>
        <w:tc>
          <w:tcPr>
            <w:tcW w:w="617" w:type="dxa"/>
            <w:gridSpan w:val="2"/>
            <w:vMerge w:val="restart"/>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26</w:t>
            </w:r>
          </w:p>
        </w:tc>
        <w:tc>
          <w:tcPr>
            <w:tcW w:w="708" w:type="dxa"/>
            <w:vMerge w:val="restart"/>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lang w:eastAsia="zh-CN"/>
              </w:rPr>
            </w:pPr>
            <w:r>
              <w:rPr>
                <w:rFonts w:hint="default" w:ascii="Times New Roman" w:hAnsi="Times New Roman" w:eastAsia="仿宋_GB2312" w:cs="Times New Roman"/>
                <w:color w:val="auto"/>
                <w:sz w:val="20"/>
                <w:szCs w:val="20"/>
                <w:lang w:eastAsia="zh-CN"/>
              </w:rPr>
              <w:t>落实其他相关规定</w:t>
            </w:r>
          </w:p>
        </w:tc>
        <w:tc>
          <w:tcPr>
            <w:tcW w:w="709"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26</w:t>
            </w:r>
            <w:r>
              <w:rPr>
                <w:rFonts w:hint="default" w:ascii="Times New Roman" w:hAnsi="Times New Roman" w:eastAsia="仿宋_GB2312" w:cs="Times New Roman"/>
                <w:color w:val="auto"/>
                <w:sz w:val="20"/>
                <w:szCs w:val="20"/>
                <w:lang w:val="en-US" w:eastAsia="zh-CN"/>
              </w:rPr>
              <w:t>.1</w:t>
            </w:r>
          </w:p>
        </w:tc>
        <w:tc>
          <w:tcPr>
            <w:tcW w:w="4419" w:type="dxa"/>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落实反食品浪费措施。</w:t>
            </w:r>
          </w:p>
        </w:tc>
        <w:tc>
          <w:tcPr>
            <w:tcW w:w="1257"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28"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p>
        </w:tc>
        <w:tc>
          <w:tcPr>
            <w:tcW w:w="617" w:type="dxa"/>
            <w:gridSpan w:val="2"/>
            <w:vMerge w:val="continue"/>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p>
        </w:tc>
        <w:tc>
          <w:tcPr>
            <w:tcW w:w="708"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26</w:t>
            </w:r>
            <w:r>
              <w:rPr>
                <w:rFonts w:hint="default" w:ascii="Times New Roman" w:hAnsi="Times New Roman" w:eastAsia="仿宋_GB2312" w:cs="Times New Roman"/>
                <w:color w:val="auto"/>
                <w:sz w:val="20"/>
                <w:szCs w:val="20"/>
                <w:lang w:val="en-US" w:eastAsia="zh-CN"/>
              </w:rPr>
              <w:t>.2</w:t>
            </w:r>
          </w:p>
        </w:tc>
        <w:tc>
          <w:tcPr>
            <w:tcW w:w="4419" w:type="dxa"/>
            <w:vAlign w:val="center"/>
          </w:tcPr>
          <w:p>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不主动向消费者提供一次性餐具。</w:t>
            </w:r>
          </w:p>
        </w:tc>
        <w:tc>
          <w:tcPr>
            <w:tcW w:w="1257"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673" w:type="dxa"/>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06" w:hRule="atLeast"/>
          <w:jc w:val="center"/>
        </w:trPr>
        <w:tc>
          <w:tcPr>
            <w:tcW w:w="3062" w:type="dxa"/>
            <w:gridSpan w:val="5"/>
            <w:tcBorders>
              <w:top w:val="single" w:color="auto" w:sz="4" w:space="0"/>
              <w:left w:val="single" w:color="auto" w:sz="4" w:space="0"/>
              <w:bottom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rPr>
              <w:t>得分总和（60分）</w:t>
            </w:r>
          </w:p>
        </w:tc>
        <w:tc>
          <w:tcPr>
            <w:tcW w:w="6349" w:type="dxa"/>
            <w:gridSpan w:val="3"/>
            <w:tcBorders>
              <w:top w:val="single" w:color="auto" w:sz="4" w:space="0"/>
              <w:left w:val="single" w:color="auto" w:sz="4" w:space="0"/>
              <w:bottom w:val="single" w:color="auto" w:sz="4" w:space="0"/>
            </w:tcBorders>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06" w:hRule="atLeast"/>
          <w:jc w:val="center"/>
        </w:trPr>
        <w:tc>
          <w:tcPr>
            <w:tcW w:w="3062" w:type="dxa"/>
            <w:gridSpan w:val="5"/>
            <w:tcBorders>
              <w:top w:val="single" w:color="auto" w:sz="4" w:space="0"/>
              <w:left w:val="single" w:color="auto" w:sz="4" w:space="0"/>
              <w:bottom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其他需要记录的问题：</w:t>
            </w:r>
          </w:p>
        </w:tc>
        <w:tc>
          <w:tcPr>
            <w:tcW w:w="6349" w:type="dxa"/>
            <w:gridSpan w:val="3"/>
            <w:tcBorders>
              <w:top w:val="single" w:color="auto" w:sz="4" w:space="0"/>
              <w:left w:val="single" w:color="auto" w:sz="4" w:space="0"/>
              <w:bottom w:val="single" w:color="auto" w:sz="4" w:space="0"/>
            </w:tcBorders>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67" w:hRule="atLeast"/>
          <w:jc w:val="center"/>
        </w:trPr>
        <w:tc>
          <w:tcPr>
            <w:tcW w:w="1030" w:type="dxa"/>
            <w:gridSpan w:val="2"/>
            <w:tcBorders>
              <w:top w:val="single" w:color="auto" w:sz="4" w:space="0"/>
              <w:left w:val="single" w:color="auto" w:sz="4" w:space="0"/>
              <w:bottom w:val="single" w:color="auto" w:sz="4" w:space="0"/>
            </w:tcBorders>
            <w:vAlign w:val="center"/>
          </w:tcPr>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备</w:t>
            </w:r>
          </w:p>
          <w:p>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注</w:t>
            </w:r>
          </w:p>
        </w:tc>
        <w:tc>
          <w:tcPr>
            <w:tcW w:w="8381" w:type="dxa"/>
            <w:gridSpan w:val="6"/>
            <w:tcBorders>
              <w:top w:val="single" w:color="auto" w:sz="4" w:space="0"/>
              <w:left w:val="single" w:color="auto" w:sz="4" w:space="0"/>
              <w:bottom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80" w:hanging="200" w:hangingChars="100"/>
              <w:jc w:val="both"/>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1.中央厨房和集体用餐配送单位动态风险因素采取风险加分方式进行打分，评价结果为“否”的进行风险分数累加；评价结果“是”或者“合理缺项”的不加分，总分为60分。</w:t>
            </w:r>
          </w:p>
          <w:p>
            <w:pPr>
              <w:keepNext w:val="0"/>
              <w:keepLines w:val="0"/>
              <w:pageBreakBefore w:val="0"/>
              <w:widowControl w:val="0"/>
              <w:kinsoku/>
              <w:wordWrap/>
              <w:overflowPunct/>
              <w:topLinePunct w:val="0"/>
              <w:autoSpaceDE/>
              <w:autoSpaceDN/>
              <w:bidi w:val="0"/>
              <w:adjustRightInd/>
              <w:snapToGrid/>
              <w:spacing w:line="240" w:lineRule="auto"/>
              <w:ind w:left="180" w:hanging="200" w:hangingChars="100"/>
              <w:jc w:val="both"/>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lang w:val="en-US" w:eastAsia="zh-CN"/>
              </w:rPr>
              <w:t>2</w:t>
            </w:r>
            <w:r>
              <w:rPr>
                <w:rFonts w:hint="default" w:ascii="Times New Roman" w:hAnsi="Times New Roman" w:eastAsia="仿宋_GB2312" w:cs="Times New Roman"/>
                <w:color w:val="auto"/>
                <w:sz w:val="20"/>
                <w:szCs w:val="20"/>
              </w:rPr>
              <w:t>.日常监督检查共</w:t>
            </w:r>
            <w:r>
              <w:rPr>
                <w:rFonts w:hint="eastAsia" w:ascii="Times New Roman" w:hAnsi="Times New Roman" w:cs="Times New Roman"/>
                <w:color w:val="auto"/>
                <w:sz w:val="20"/>
                <w:szCs w:val="20"/>
                <w:lang w:val="en-US" w:eastAsia="zh-CN"/>
              </w:rPr>
              <w:t>67</w:t>
            </w:r>
            <w:r>
              <w:rPr>
                <w:rFonts w:hint="default" w:ascii="Times New Roman" w:hAnsi="Times New Roman" w:eastAsia="仿宋_GB2312" w:cs="Times New Roman"/>
                <w:color w:val="auto"/>
                <w:sz w:val="20"/>
                <w:szCs w:val="20"/>
              </w:rPr>
              <w:t>项检查内容，重点项（检查序号中打</w:t>
            </w:r>
            <w:r>
              <w:rPr>
                <w:rFonts w:hint="default" w:ascii="Times New Roman" w:hAnsi="Times New Roman" w:cs="Times New Roman"/>
                <w:color w:val="auto"/>
                <w:sz w:val="20"/>
                <w:szCs w:val="20"/>
                <w:lang w:val="en"/>
              </w:rPr>
              <w:t>★</w:t>
            </w:r>
            <w:r>
              <w:rPr>
                <w:rFonts w:hint="default" w:ascii="Times New Roman" w:hAnsi="Times New Roman" w:eastAsia="仿宋_GB2312" w:cs="Times New Roman"/>
                <w:color w:val="auto"/>
                <w:sz w:val="20"/>
                <w:szCs w:val="20"/>
              </w:rPr>
              <w:t>号项）</w:t>
            </w:r>
            <w:r>
              <w:rPr>
                <w:rFonts w:hint="eastAsia" w:ascii="Times New Roman" w:hAnsi="Times New Roman" w:cs="Times New Roman"/>
                <w:color w:val="auto"/>
                <w:sz w:val="20"/>
                <w:szCs w:val="20"/>
                <w:lang w:val="en-US" w:eastAsia="zh-CN"/>
              </w:rPr>
              <w:t>29</w:t>
            </w:r>
            <w:r>
              <w:rPr>
                <w:rFonts w:hint="default" w:ascii="Times New Roman" w:hAnsi="Times New Roman" w:eastAsia="仿宋_GB2312" w:cs="Times New Roman"/>
                <w:color w:val="auto"/>
                <w:sz w:val="20"/>
                <w:szCs w:val="20"/>
              </w:rPr>
              <w:t>项，一般项38项。</w:t>
            </w:r>
          </w:p>
        </w:tc>
      </w:tr>
    </w:tbl>
    <w:p>
      <w:pPr>
        <w:rPr>
          <w:rFonts w:hint="default" w:ascii="Times New Roman" w:hAnsi="Times New Roman" w:cs="Times New Roman"/>
          <w:color w:val="auto"/>
        </w:rPr>
      </w:pPr>
    </w:p>
    <w:p>
      <w:pPr>
        <w:rPr>
          <w:rFonts w:hint="default" w:ascii="Times New Roman" w:hAnsi="Times New Roman" w:cs="Times New Roman"/>
          <w:color w:val="auto"/>
        </w:rPr>
      </w:pPr>
    </w:p>
    <w:p>
      <w:pPr>
        <w:rPr>
          <w:rFonts w:hint="default" w:ascii="Times New Roman" w:hAnsi="Times New Roman" w:cs="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8"/>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hlZGRjOTAwMDczNDE2OGJiMDJkYjgyYTBmMTYzNDEifQ=="/>
  </w:docVars>
  <w:rsids>
    <w:rsidRoot w:val="0014014D"/>
    <w:rsid w:val="0001197F"/>
    <w:rsid w:val="00035797"/>
    <w:rsid w:val="00055714"/>
    <w:rsid w:val="000A466E"/>
    <w:rsid w:val="000A46B6"/>
    <w:rsid w:val="000C03F9"/>
    <w:rsid w:val="000C2F8B"/>
    <w:rsid w:val="000D2429"/>
    <w:rsid w:val="00102020"/>
    <w:rsid w:val="00121C06"/>
    <w:rsid w:val="00133C2D"/>
    <w:rsid w:val="00137B49"/>
    <w:rsid w:val="0014014D"/>
    <w:rsid w:val="00140AF3"/>
    <w:rsid w:val="00163019"/>
    <w:rsid w:val="00196EDA"/>
    <w:rsid w:val="001D00EF"/>
    <w:rsid w:val="001E4422"/>
    <w:rsid w:val="001F3B9F"/>
    <w:rsid w:val="0021105F"/>
    <w:rsid w:val="00223BB6"/>
    <w:rsid w:val="00271697"/>
    <w:rsid w:val="00272198"/>
    <w:rsid w:val="002800B6"/>
    <w:rsid w:val="0028099E"/>
    <w:rsid w:val="002D03AB"/>
    <w:rsid w:val="003129EA"/>
    <w:rsid w:val="00332DAE"/>
    <w:rsid w:val="00333545"/>
    <w:rsid w:val="00391378"/>
    <w:rsid w:val="003A19FC"/>
    <w:rsid w:val="003E78BC"/>
    <w:rsid w:val="003E7F9B"/>
    <w:rsid w:val="00412AC6"/>
    <w:rsid w:val="004311C3"/>
    <w:rsid w:val="004379EF"/>
    <w:rsid w:val="00444E51"/>
    <w:rsid w:val="00477BB0"/>
    <w:rsid w:val="004A4B92"/>
    <w:rsid w:val="004B7C3A"/>
    <w:rsid w:val="004F1717"/>
    <w:rsid w:val="00502CD0"/>
    <w:rsid w:val="00517730"/>
    <w:rsid w:val="00522384"/>
    <w:rsid w:val="00526338"/>
    <w:rsid w:val="00540041"/>
    <w:rsid w:val="00553A0B"/>
    <w:rsid w:val="0058039C"/>
    <w:rsid w:val="00594AA2"/>
    <w:rsid w:val="005E2238"/>
    <w:rsid w:val="005E3E22"/>
    <w:rsid w:val="00616EF7"/>
    <w:rsid w:val="00624121"/>
    <w:rsid w:val="00625E8F"/>
    <w:rsid w:val="006374F3"/>
    <w:rsid w:val="00652EC3"/>
    <w:rsid w:val="006536AC"/>
    <w:rsid w:val="0066430A"/>
    <w:rsid w:val="006952D3"/>
    <w:rsid w:val="006A050A"/>
    <w:rsid w:val="006B407F"/>
    <w:rsid w:val="006B4AED"/>
    <w:rsid w:val="006E0996"/>
    <w:rsid w:val="006F51FB"/>
    <w:rsid w:val="007014AF"/>
    <w:rsid w:val="007042A2"/>
    <w:rsid w:val="00720D7D"/>
    <w:rsid w:val="00732F0D"/>
    <w:rsid w:val="00772C04"/>
    <w:rsid w:val="0078015F"/>
    <w:rsid w:val="007826F0"/>
    <w:rsid w:val="00793A37"/>
    <w:rsid w:val="00794C0A"/>
    <w:rsid w:val="007A6EA4"/>
    <w:rsid w:val="007A6F18"/>
    <w:rsid w:val="007C0155"/>
    <w:rsid w:val="007D0A86"/>
    <w:rsid w:val="007E4CF9"/>
    <w:rsid w:val="007F4911"/>
    <w:rsid w:val="00840561"/>
    <w:rsid w:val="00844079"/>
    <w:rsid w:val="00862ABC"/>
    <w:rsid w:val="00873F20"/>
    <w:rsid w:val="00896794"/>
    <w:rsid w:val="008A3EB0"/>
    <w:rsid w:val="008B77B4"/>
    <w:rsid w:val="008C2B09"/>
    <w:rsid w:val="008F7381"/>
    <w:rsid w:val="008F7547"/>
    <w:rsid w:val="00934AC9"/>
    <w:rsid w:val="00961620"/>
    <w:rsid w:val="0096337D"/>
    <w:rsid w:val="00963D12"/>
    <w:rsid w:val="009766A6"/>
    <w:rsid w:val="0098581D"/>
    <w:rsid w:val="009C0632"/>
    <w:rsid w:val="009C6CBC"/>
    <w:rsid w:val="009C7EDD"/>
    <w:rsid w:val="009E7CA2"/>
    <w:rsid w:val="009F1AE6"/>
    <w:rsid w:val="00A00F32"/>
    <w:rsid w:val="00A023F9"/>
    <w:rsid w:val="00A17512"/>
    <w:rsid w:val="00A37923"/>
    <w:rsid w:val="00A64903"/>
    <w:rsid w:val="00A7720F"/>
    <w:rsid w:val="00AA2D1B"/>
    <w:rsid w:val="00AA3D30"/>
    <w:rsid w:val="00AD05C0"/>
    <w:rsid w:val="00AD68BE"/>
    <w:rsid w:val="00AF7EAA"/>
    <w:rsid w:val="00B1198F"/>
    <w:rsid w:val="00B200AC"/>
    <w:rsid w:val="00B2626F"/>
    <w:rsid w:val="00B35453"/>
    <w:rsid w:val="00B455D8"/>
    <w:rsid w:val="00B777F3"/>
    <w:rsid w:val="00B900C1"/>
    <w:rsid w:val="00B972BE"/>
    <w:rsid w:val="00BB03B7"/>
    <w:rsid w:val="00BD7F8B"/>
    <w:rsid w:val="00C025E5"/>
    <w:rsid w:val="00C048EE"/>
    <w:rsid w:val="00C061D8"/>
    <w:rsid w:val="00C12994"/>
    <w:rsid w:val="00C167B0"/>
    <w:rsid w:val="00C26931"/>
    <w:rsid w:val="00C3571D"/>
    <w:rsid w:val="00C42C9F"/>
    <w:rsid w:val="00C44F99"/>
    <w:rsid w:val="00C4553A"/>
    <w:rsid w:val="00C860D7"/>
    <w:rsid w:val="00C926E6"/>
    <w:rsid w:val="00CA3165"/>
    <w:rsid w:val="00CA76B6"/>
    <w:rsid w:val="00CB7E07"/>
    <w:rsid w:val="00CC44A6"/>
    <w:rsid w:val="00CC5157"/>
    <w:rsid w:val="00CE1A24"/>
    <w:rsid w:val="00CE6089"/>
    <w:rsid w:val="00CF6918"/>
    <w:rsid w:val="00D00D32"/>
    <w:rsid w:val="00D13D10"/>
    <w:rsid w:val="00D30D13"/>
    <w:rsid w:val="00D37287"/>
    <w:rsid w:val="00D72537"/>
    <w:rsid w:val="00DA65F1"/>
    <w:rsid w:val="00DD39D8"/>
    <w:rsid w:val="00DE6FE2"/>
    <w:rsid w:val="00DF247C"/>
    <w:rsid w:val="00DF3D21"/>
    <w:rsid w:val="00DF3D42"/>
    <w:rsid w:val="00E06AD6"/>
    <w:rsid w:val="00E17D16"/>
    <w:rsid w:val="00E300EB"/>
    <w:rsid w:val="00E41E3E"/>
    <w:rsid w:val="00E569F1"/>
    <w:rsid w:val="00E577EA"/>
    <w:rsid w:val="00E72667"/>
    <w:rsid w:val="00EA15F3"/>
    <w:rsid w:val="00F125BA"/>
    <w:rsid w:val="00F44B71"/>
    <w:rsid w:val="00F5557F"/>
    <w:rsid w:val="00F76F3A"/>
    <w:rsid w:val="00FB5EA5"/>
    <w:rsid w:val="00FB688D"/>
    <w:rsid w:val="00FE74A0"/>
    <w:rsid w:val="00FE7648"/>
    <w:rsid w:val="00FF7236"/>
    <w:rsid w:val="05FA327D"/>
    <w:rsid w:val="0C7F2E38"/>
    <w:rsid w:val="0D506EE4"/>
    <w:rsid w:val="1FBB01F6"/>
    <w:rsid w:val="1FFFDAD7"/>
    <w:rsid w:val="3DFD915C"/>
    <w:rsid w:val="3DFFFA1F"/>
    <w:rsid w:val="3F9C0794"/>
    <w:rsid w:val="4DAFC29C"/>
    <w:rsid w:val="4FCFC18A"/>
    <w:rsid w:val="4FFD80F7"/>
    <w:rsid w:val="53EF84F3"/>
    <w:rsid w:val="57C7781E"/>
    <w:rsid w:val="5EFE576B"/>
    <w:rsid w:val="5EFF891A"/>
    <w:rsid w:val="5FCF11FB"/>
    <w:rsid w:val="5FDB5775"/>
    <w:rsid w:val="5FF70D8F"/>
    <w:rsid w:val="5FFC0679"/>
    <w:rsid w:val="6EF31BB7"/>
    <w:rsid w:val="72DFC004"/>
    <w:rsid w:val="75DC5AAC"/>
    <w:rsid w:val="76DD2528"/>
    <w:rsid w:val="77EF7D76"/>
    <w:rsid w:val="78D56013"/>
    <w:rsid w:val="7AED6175"/>
    <w:rsid w:val="7BAE7A82"/>
    <w:rsid w:val="7D5B9F54"/>
    <w:rsid w:val="7D777275"/>
    <w:rsid w:val="7D8440A6"/>
    <w:rsid w:val="7EFD2F76"/>
    <w:rsid w:val="7FF9ABEA"/>
    <w:rsid w:val="87FE045F"/>
    <w:rsid w:val="9BAF3CEF"/>
    <w:rsid w:val="9BFEA019"/>
    <w:rsid w:val="9EF77816"/>
    <w:rsid w:val="9FD08424"/>
    <w:rsid w:val="AABF69B5"/>
    <w:rsid w:val="B67D1E7A"/>
    <w:rsid w:val="B7FF2896"/>
    <w:rsid w:val="BBCFBAF5"/>
    <w:rsid w:val="BE3BBE98"/>
    <w:rsid w:val="BEA64DF6"/>
    <w:rsid w:val="BEF46E88"/>
    <w:rsid w:val="BF7B574B"/>
    <w:rsid w:val="BFEF2870"/>
    <w:rsid w:val="BFFDB34A"/>
    <w:rsid w:val="D73BDBF4"/>
    <w:rsid w:val="DCD727E4"/>
    <w:rsid w:val="DDFFA1AE"/>
    <w:rsid w:val="DEB77409"/>
    <w:rsid w:val="DF1E2A6A"/>
    <w:rsid w:val="E3EED497"/>
    <w:rsid w:val="E3FCF9AD"/>
    <w:rsid w:val="EAE9C709"/>
    <w:rsid w:val="EBBBFA13"/>
    <w:rsid w:val="EBEFB7F5"/>
    <w:rsid w:val="EDDE03F3"/>
    <w:rsid w:val="EDFB81F1"/>
    <w:rsid w:val="EFEFEEA5"/>
    <w:rsid w:val="EFF94307"/>
    <w:rsid w:val="F07C16E0"/>
    <w:rsid w:val="F5FA9D4A"/>
    <w:rsid w:val="F7FEBB3D"/>
    <w:rsid w:val="F8E7C3B2"/>
    <w:rsid w:val="F8F78B5D"/>
    <w:rsid w:val="FBABA0C6"/>
    <w:rsid w:val="FBB70587"/>
    <w:rsid w:val="FBBF3811"/>
    <w:rsid w:val="FBFF111B"/>
    <w:rsid w:val="FC7BD339"/>
    <w:rsid w:val="FCEF660C"/>
    <w:rsid w:val="FCFDB20E"/>
    <w:rsid w:val="FE320EAA"/>
    <w:rsid w:val="FE37754C"/>
    <w:rsid w:val="FE759DA4"/>
    <w:rsid w:val="FFB9CA25"/>
    <w:rsid w:val="FFFE4A82"/>
    <w:rsid w:val="FFFF9CF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华文中宋" w:eastAsia="仿宋_GB2312"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3"/>
    <w:qFormat/>
    <w:uiPriority w:val="0"/>
    <w:pPr>
      <w:ind w:firstLine="602" w:firstLineChars="200"/>
    </w:pPr>
    <w:rPr>
      <w:rFonts w:ascii="仿宋" w:hAnsi="仿宋" w:eastAsia="仿宋"/>
      <w:sz w:val="30"/>
      <w:szCs w:val="30"/>
    </w:rPr>
  </w:style>
  <w:style w:type="paragraph" w:styleId="3">
    <w:name w:val="Body Text"/>
    <w:basedOn w:val="1"/>
    <w:next w:val="1"/>
    <w:unhideWhenUsed/>
    <w:qFormat/>
    <w:uiPriority w:val="0"/>
    <w:pPr>
      <w:spacing w:after="120"/>
    </w:pPr>
    <w:rPr>
      <w:kern w:val="0"/>
      <w:sz w:val="20"/>
      <w:szCs w:val="20"/>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4097</Words>
  <Characters>4340</Characters>
  <Lines>49</Lines>
  <Paragraphs>14</Paragraphs>
  <TotalTime>262</TotalTime>
  <ScaleCrop>false</ScaleCrop>
  <LinksUpToDate>false</LinksUpToDate>
  <CharactersWithSpaces>4344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2020-04-04T22:56:00Z</dcterms:created>
  <dc:creator>霍廉</dc:creator>
  <cp:lastModifiedBy>scw</cp:lastModifiedBy>
  <dcterms:modified xsi:type="dcterms:W3CDTF">2024-12-24T14:41:58Z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9C9B96626C544DBCB72C10D70F8DE1B9_12</vt:lpwstr>
  </property>
</Properties>
</file>