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exact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  <w:lang w:val="en-US" w:eastAsia="zh-CN"/>
        </w:rPr>
        <w:t>23</w:t>
      </w:r>
    </w:p>
    <w:p>
      <w:pPr>
        <w:tabs>
          <w:tab w:val="left" w:pos="142"/>
        </w:tabs>
        <w:spacing w:line="360" w:lineRule="exact"/>
        <w:ind w:left="-850" w:leftChars="-405" w:firstLine="480" w:firstLineChars="150"/>
        <w:jc w:val="center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1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  <w:t>餐饮服务连锁企业总部动态风险因素量化分值表</w:t>
      </w:r>
    </w:p>
    <w:p>
      <w:pPr>
        <w:keepNext w:val="0"/>
        <w:keepLines w:val="0"/>
        <w:pageBreakBefore w:val="0"/>
        <w:widowControl w:val="0"/>
        <w:tabs>
          <w:tab w:val="left" w:pos="1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  <w:t>（餐饮服务连锁企业总部日常监督检查要点表）</w:t>
      </w:r>
    </w:p>
    <w:tbl>
      <w:tblPr>
        <w:tblStyle w:val="6"/>
        <w:tblW w:w="527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956"/>
        <w:gridCol w:w="4307"/>
        <w:gridCol w:w="1539"/>
        <w:gridCol w:w="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  <w:t>序号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  <w:t>检查内容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  <w:t>检查结果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0"/>
                <w:szCs w:val="20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1.主体资质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.1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依法申请取得食品经营许可。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跨省从事</w:t>
            </w:r>
            <w:r>
              <w:rPr>
                <w:rFonts w:hint="eastAsia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餐饮服务连锁管理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活动的，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是否如实报告相关信息。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从事网络经营、外设仓库等情况发生变化的，是否如实报告相关信息。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经营场所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2.1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实际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经营场所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办公场所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与申请的经营场所地址一致。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2.2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具有与经营的食品品种、数量相适应的食品经营场所。食品经营场所不得设在易受到污染的区域。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2396" w:type="pc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主要设备设施、经营布局、操作流程等发生较大变化，可能影响食品安全的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，是否如实报告相关信息。</w:t>
            </w:r>
          </w:p>
        </w:tc>
        <w:tc>
          <w:tcPr>
            <w:tcW w:w="856" w:type="pct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0"/>
                <w:szCs w:val="20"/>
                <w:lang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0"/>
                <w:szCs w:val="20"/>
                <w:lang w:eastAsia="zh-CN" w:bidi="ar-SA"/>
              </w:rPr>
              <w:t>□是 □否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0"/>
                <w:szCs w:val="20"/>
                <w:lang w:val="en-US" w:eastAsia="zh-CN" w:bidi="ar-SA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管理能力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.1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zh-CN" w:eastAsia="zh-CN"/>
              </w:rPr>
              <w:t>设置独立的食品安全管理部门和组织机构。实施连锁餐饮服务授权并对被授权的食品经营者实施统一采购配送、质量管理、经营指导，或者品牌管理等规范化管理。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.2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配备食品安全总监、食品安全员等食品安全管理人员，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zh-CN" w:eastAsia="zh-CN"/>
              </w:rPr>
              <w:t>明确企业主要负责人、食品安全总监、食品安全员等的岗位职责。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3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zh-CN" w:eastAsia="zh-CN"/>
              </w:rPr>
              <w:t>具备与经营规模相适应数量的人员以及食品安全专业技术人员、食品安全管理能力。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 w:eastAsia="zh-CN"/>
              </w:rPr>
              <w:t>制度建立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.1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zh-CN" w:eastAsia="zh-CN"/>
              </w:rPr>
              <w:t>依法建立健全食品安全自查、食品安全追溯、从业人员健康管理等规章制度，并明确保证食品安全的相关规范要求。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.2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zh-C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zh-CN" w:eastAsia="zh-CN"/>
              </w:rPr>
              <w:t>建立健全下列制度机制：食品安全风险管控清单，日管控、周排查、月调度工作制度和机制，食品安全管理人员培训和考核制度，进货查验记录制度，场所及设施设备清洗消毒和维修保养制度，食品贮存管理制度，废弃物处置制度，不合格食品处置制度，食品安全事故处置方案，食品经营过程控制制度等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3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zh-C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采购和使用食品相关产品，建立查验食品相关产品合格证明制度，食品相关产品应当符合食品安全国家标准。采购和使用实行许可管理的食品相关产品，还应当建立查验供货商许可证制度。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4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建立原料供货商管理评价制度以及退出机制等。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0"/>
                <w:szCs w:val="20"/>
                <w:lang w:val="en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.5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具有与连锁管理运营模式相适应的中央厨房管理、配送中心管理、门店巡查、内控等制度。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具有对中央厨房、配送中心、门店选址及设备布局和工艺流程的要求。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具有对中央厨房、配送中心、门店的设备或者设施要求，包括消毒、更衣、盥洗、采光、照明、通风、防腐、防尘、防蝇、防鼠、防虫、洗涤以及处理废水、存放垃圾和废弃物的设备或者设施要求。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693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5.食品贮存和运输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5.1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具有与配送食品品种和数量相适应的食品仓库、运输工具和保温、冷藏（冻）等设备设施。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693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 w:eastAsia="zh-CN"/>
              </w:rPr>
              <w:t>文件保存</w:t>
            </w: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6.1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建立食品采购、配送管理台账，内容包括：供货商信息、产品采购信息、配送点信息（名称、地址、联系方式以及配送食品的品种等）、配送清单（单位名称、配送对象、配送日期、品种、数量、生产日期或批号、发货人、收货人）等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□合理缺项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 w:eastAsia="zh-CN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6.2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结合实际，细化制定《食品安全总监职责》《食品安全员守则》。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693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/>
              </w:rPr>
            </w:pPr>
          </w:p>
        </w:tc>
        <w:tc>
          <w:tcPr>
            <w:tcW w:w="53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6.3</w:t>
            </w:r>
          </w:p>
        </w:tc>
        <w:tc>
          <w:tcPr>
            <w:tcW w:w="2396" w:type="pc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" w:eastAsia="zh-CN"/>
              </w:rPr>
              <w:t>落实日管控、周排查、月调度管理要求，做好《每日食品安全检查记录》《每周食品安全排查治理报告》《每月食品安全调度会议纪要》等记录并存档。</w:t>
            </w:r>
          </w:p>
        </w:tc>
        <w:tc>
          <w:tcPr>
            <w:tcW w:w="85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□是  □否</w:t>
            </w:r>
            <w:bookmarkStart w:id="0" w:name="_GoBack"/>
            <w:bookmarkEnd w:id="0"/>
          </w:p>
        </w:tc>
        <w:tc>
          <w:tcPr>
            <w:tcW w:w="52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得分总和（60分）</w:t>
            </w:r>
          </w:p>
        </w:tc>
        <w:tc>
          <w:tcPr>
            <w:tcW w:w="3774" w:type="pct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其他需要记录的问题：</w:t>
            </w:r>
          </w:p>
        </w:tc>
        <w:tc>
          <w:tcPr>
            <w:tcW w:w="3774" w:type="pct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5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注</w:t>
            </w:r>
          </w:p>
        </w:tc>
        <w:tc>
          <w:tcPr>
            <w:tcW w:w="3774" w:type="pct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1.各项分值总和为60分，选择“否”，得分，选择“是”或者“合理缺项”，不得分。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2.日常监督检查共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项检查内容，其中重点项（检查序号中打★号项）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17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项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highlight w:val="none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一般项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项。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ZGRjOTAwMDczNDE2OGJiMDJkYjgyYTBmMTYzNDEifQ=="/>
  </w:docVars>
  <w:rsids>
    <w:rsidRoot w:val="00D404BF"/>
    <w:rsid w:val="0000272E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25027"/>
    <w:rsid w:val="00137B49"/>
    <w:rsid w:val="00140AF3"/>
    <w:rsid w:val="001426AC"/>
    <w:rsid w:val="00163019"/>
    <w:rsid w:val="001947B1"/>
    <w:rsid w:val="001A2A51"/>
    <w:rsid w:val="001A53A9"/>
    <w:rsid w:val="001D00EF"/>
    <w:rsid w:val="001F3B9F"/>
    <w:rsid w:val="0021105F"/>
    <w:rsid w:val="00223BB6"/>
    <w:rsid w:val="0025731F"/>
    <w:rsid w:val="00271697"/>
    <w:rsid w:val="0027443C"/>
    <w:rsid w:val="002800B6"/>
    <w:rsid w:val="0028099E"/>
    <w:rsid w:val="002D03AB"/>
    <w:rsid w:val="0030082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37D88"/>
    <w:rsid w:val="00444E51"/>
    <w:rsid w:val="00451859"/>
    <w:rsid w:val="004657C1"/>
    <w:rsid w:val="00477BB0"/>
    <w:rsid w:val="004A4B92"/>
    <w:rsid w:val="004F1717"/>
    <w:rsid w:val="00502CD0"/>
    <w:rsid w:val="00522384"/>
    <w:rsid w:val="00526338"/>
    <w:rsid w:val="00530023"/>
    <w:rsid w:val="00540041"/>
    <w:rsid w:val="00553A0B"/>
    <w:rsid w:val="0058039C"/>
    <w:rsid w:val="00594AA2"/>
    <w:rsid w:val="005A0215"/>
    <w:rsid w:val="005E2238"/>
    <w:rsid w:val="005E3E22"/>
    <w:rsid w:val="00616EF7"/>
    <w:rsid w:val="00624121"/>
    <w:rsid w:val="00625E8F"/>
    <w:rsid w:val="006335AA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27B3B"/>
    <w:rsid w:val="00732F0D"/>
    <w:rsid w:val="00736978"/>
    <w:rsid w:val="00772C04"/>
    <w:rsid w:val="0078015F"/>
    <w:rsid w:val="00793A37"/>
    <w:rsid w:val="00794C0A"/>
    <w:rsid w:val="007B6D82"/>
    <w:rsid w:val="007C0155"/>
    <w:rsid w:val="007D0A86"/>
    <w:rsid w:val="007E4CF9"/>
    <w:rsid w:val="00816FD6"/>
    <w:rsid w:val="00851844"/>
    <w:rsid w:val="00862ABC"/>
    <w:rsid w:val="00873F20"/>
    <w:rsid w:val="00896794"/>
    <w:rsid w:val="008A3EB0"/>
    <w:rsid w:val="008B77B4"/>
    <w:rsid w:val="008F7381"/>
    <w:rsid w:val="008F7547"/>
    <w:rsid w:val="0093199A"/>
    <w:rsid w:val="00934AC9"/>
    <w:rsid w:val="00961620"/>
    <w:rsid w:val="00963D12"/>
    <w:rsid w:val="009766A6"/>
    <w:rsid w:val="009976A1"/>
    <w:rsid w:val="009C0C3B"/>
    <w:rsid w:val="009C6CBC"/>
    <w:rsid w:val="009E7CA2"/>
    <w:rsid w:val="009F1AE6"/>
    <w:rsid w:val="00A37923"/>
    <w:rsid w:val="00A62720"/>
    <w:rsid w:val="00A64903"/>
    <w:rsid w:val="00A7720F"/>
    <w:rsid w:val="00A86801"/>
    <w:rsid w:val="00AA3D30"/>
    <w:rsid w:val="00AD68BE"/>
    <w:rsid w:val="00AF7EAA"/>
    <w:rsid w:val="00B1198F"/>
    <w:rsid w:val="00B23954"/>
    <w:rsid w:val="00B2626F"/>
    <w:rsid w:val="00B70F5C"/>
    <w:rsid w:val="00B900C1"/>
    <w:rsid w:val="00B972BE"/>
    <w:rsid w:val="00BD7F8B"/>
    <w:rsid w:val="00BE7DDF"/>
    <w:rsid w:val="00C002EC"/>
    <w:rsid w:val="00C048EE"/>
    <w:rsid w:val="00C061D8"/>
    <w:rsid w:val="00C12994"/>
    <w:rsid w:val="00C27F8B"/>
    <w:rsid w:val="00C3571D"/>
    <w:rsid w:val="00C42C9F"/>
    <w:rsid w:val="00C44F99"/>
    <w:rsid w:val="00C4553A"/>
    <w:rsid w:val="00C860D7"/>
    <w:rsid w:val="00C926E6"/>
    <w:rsid w:val="00CA3165"/>
    <w:rsid w:val="00CA4489"/>
    <w:rsid w:val="00CA76B6"/>
    <w:rsid w:val="00CB7E07"/>
    <w:rsid w:val="00CC478E"/>
    <w:rsid w:val="00CE1A24"/>
    <w:rsid w:val="00CE6089"/>
    <w:rsid w:val="00D13D10"/>
    <w:rsid w:val="00D404BF"/>
    <w:rsid w:val="00D72537"/>
    <w:rsid w:val="00DD6016"/>
    <w:rsid w:val="00DF247C"/>
    <w:rsid w:val="00DF3D42"/>
    <w:rsid w:val="00E06AD6"/>
    <w:rsid w:val="00E17D16"/>
    <w:rsid w:val="00E31099"/>
    <w:rsid w:val="00E41E3E"/>
    <w:rsid w:val="00EA15F3"/>
    <w:rsid w:val="00EE6237"/>
    <w:rsid w:val="00EF1519"/>
    <w:rsid w:val="00F040A1"/>
    <w:rsid w:val="00F05ECE"/>
    <w:rsid w:val="00F125BA"/>
    <w:rsid w:val="00F36657"/>
    <w:rsid w:val="00F44B58"/>
    <w:rsid w:val="00F44B71"/>
    <w:rsid w:val="00F5557F"/>
    <w:rsid w:val="00F8313B"/>
    <w:rsid w:val="00FB5EA5"/>
    <w:rsid w:val="00FE74A0"/>
    <w:rsid w:val="00FE7648"/>
    <w:rsid w:val="00FF7236"/>
    <w:rsid w:val="05BD0667"/>
    <w:rsid w:val="0F7C57C0"/>
    <w:rsid w:val="16E70186"/>
    <w:rsid w:val="1BEBF2F9"/>
    <w:rsid w:val="1EEFA1E4"/>
    <w:rsid w:val="1FFF7AC7"/>
    <w:rsid w:val="26FFE5E9"/>
    <w:rsid w:val="273EF16E"/>
    <w:rsid w:val="27E74240"/>
    <w:rsid w:val="2DDFED18"/>
    <w:rsid w:val="2FEC752D"/>
    <w:rsid w:val="331B8A62"/>
    <w:rsid w:val="36A71C60"/>
    <w:rsid w:val="37FF0BC9"/>
    <w:rsid w:val="3AF73BA0"/>
    <w:rsid w:val="3C3B75D1"/>
    <w:rsid w:val="3DE59D4E"/>
    <w:rsid w:val="3E6F4CA5"/>
    <w:rsid w:val="3E7F39DA"/>
    <w:rsid w:val="3FBE1390"/>
    <w:rsid w:val="3FEF63FE"/>
    <w:rsid w:val="4FF64A9B"/>
    <w:rsid w:val="50F07A88"/>
    <w:rsid w:val="567F4C8E"/>
    <w:rsid w:val="5A5E26BF"/>
    <w:rsid w:val="5B3F7E19"/>
    <w:rsid w:val="5BD9C463"/>
    <w:rsid w:val="5DFFAD8D"/>
    <w:rsid w:val="5DFFC036"/>
    <w:rsid w:val="5DFFFB98"/>
    <w:rsid w:val="5E6ED0AB"/>
    <w:rsid w:val="5EBF01C6"/>
    <w:rsid w:val="5EFB221A"/>
    <w:rsid w:val="5EFF559D"/>
    <w:rsid w:val="61B59AC6"/>
    <w:rsid w:val="627E4042"/>
    <w:rsid w:val="6C8E90C8"/>
    <w:rsid w:val="6D97D25A"/>
    <w:rsid w:val="6E3DB48C"/>
    <w:rsid w:val="6FDD4099"/>
    <w:rsid w:val="7537DBC4"/>
    <w:rsid w:val="77FB9D1D"/>
    <w:rsid w:val="79FEC6FA"/>
    <w:rsid w:val="7AFF5321"/>
    <w:rsid w:val="7B35D5E8"/>
    <w:rsid w:val="7B579385"/>
    <w:rsid w:val="7CA91B71"/>
    <w:rsid w:val="7D973919"/>
    <w:rsid w:val="7DD075FF"/>
    <w:rsid w:val="7DEFA7BB"/>
    <w:rsid w:val="7EBE83ED"/>
    <w:rsid w:val="7EDD4BF9"/>
    <w:rsid w:val="7EFF5198"/>
    <w:rsid w:val="7F7355A8"/>
    <w:rsid w:val="7FCD5F2F"/>
    <w:rsid w:val="7FE74D6E"/>
    <w:rsid w:val="7FE965F8"/>
    <w:rsid w:val="7FF29DA4"/>
    <w:rsid w:val="7FFFFB45"/>
    <w:rsid w:val="8EB44C79"/>
    <w:rsid w:val="9E9F6438"/>
    <w:rsid w:val="A9E12EB1"/>
    <w:rsid w:val="AA3DFC3A"/>
    <w:rsid w:val="AFB7054C"/>
    <w:rsid w:val="B07761FC"/>
    <w:rsid w:val="B33E3B85"/>
    <w:rsid w:val="BFBE2C82"/>
    <w:rsid w:val="CEBD4205"/>
    <w:rsid w:val="CF5F40D2"/>
    <w:rsid w:val="D2E258CE"/>
    <w:rsid w:val="D4F32EB3"/>
    <w:rsid w:val="D7FFE291"/>
    <w:rsid w:val="DE5A21D6"/>
    <w:rsid w:val="E5FFD803"/>
    <w:rsid w:val="E7391D0E"/>
    <w:rsid w:val="EB67D593"/>
    <w:rsid w:val="EDBDE2D8"/>
    <w:rsid w:val="EEDEEF93"/>
    <w:rsid w:val="F3FA8D00"/>
    <w:rsid w:val="F3FCF97D"/>
    <w:rsid w:val="F5BE17C3"/>
    <w:rsid w:val="FAFFBFE6"/>
    <w:rsid w:val="FBFFFF43"/>
    <w:rsid w:val="FEAE91A8"/>
    <w:rsid w:val="FEFE09DA"/>
    <w:rsid w:val="FF3FADA2"/>
    <w:rsid w:val="FF75F1F9"/>
    <w:rsid w:val="FF7F5A7A"/>
    <w:rsid w:val="FFAD979C"/>
    <w:rsid w:val="FFAF403D"/>
    <w:rsid w:val="FFB75CD0"/>
    <w:rsid w:val="FFBEDD0B"/>
    <w:rsid w:val="FFCFD669"/>
    <w:rsid w:val="FFD9F365"/>
    <w:rsid w:val="FFEB48E4"/>
    <w:rsid w:val="FFEDBD6B"/>
    <w:rsid w:val="FFEF5EC5"/>
    <w:rsid w:val="FFF8BC07"/>
    <w:rsid w:val="FFFE0B6C"/>
    <w:rsid w:val="FFFF7F53"/>
    <w:rsid w:val="FFFFB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next w:val="3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1490</Words>
  <Characters>1543</Characters>
  <Lines>17</Lines>
  <Paragraphs>4</Paragraphs>
  <TotalTime>0</TotalTime>
  <ScaleCrop>false</ScaleCrop>
  <LinksUpToDate>false</LinksUpToDate>
  <CharactersWithSpaces>1578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2020-05-02T18:02:00Z</dcterms:created>
  <dc:creator>霍廉</dc:creator>
  <cp:lastModifiedBy>scw</cp:lastModifiedBy>
  <dcterms:modified xsi:type="dcterms:W3CDTF">2024-12-23T15:04:42Z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961CEB77E916452EBFBCAC600515ED89_12</vt:lpwstr>
  </property>
</Properties>
</file>