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line="240" w:lineRule="auto"/>
        <w:textAlignment w:val="auto"/>
        <w:rPr>
          <w:rFonts w:hint="eastAsia" w:ascii="Times New Roman" w:hAnsi="Times New Roman" w:eastAsia="方正小标宋简体" w:cs="Times New Roman"/>
          <w:color w:val="000000" w:themeColor="text1"/>
          <w:kern w:val="0"/>
          <w:sz w:val="32"/>
          <w:szCs w:val="32"/>
          <w:lang w:val="en-US" w:eastAsia="zh-CN"/>
        </w:rPr>
      </w:pPr>
      <w:r>
        <w:rPr>
          <w:rFonts w:hint="eastAsia" w:ascii="黑体" w:hAnsi="黑体" w:eastAsia="黑体" w:cs="黑体"/>
          <w:color w:val="000000" w:themeColor="text1"/>
          <w:kern w:val="0"/>
          <w:sz w:val="32"/>
          <w:szCs w:val="32"/>
        </w:rPr>
        <w:t>附件</w:t>
      </w:r>
      <w:r>
        <w:rPr>
          <w:rFonts w:hint="eastAsia" w:ascii="Times New Roman" w:hAnsi="Times New Roman" w:eastAsia="方正小标宋简体" w:cs="Times New Roman"/>
          <w:color w:val="000000" w:themeColor="text1"/>
          <w:kern w:val="0"/>
          <w:sz w:val="32"/>
          <w:szCs w:val="32"/>
          <w:lang w:val="en-US" w:eastAsia="zh-CN"/>
        </w:rPr>
        <w:t>19</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color w:val="000000" w:themeColor="text1"/>
          <w:kern w:val="0"/>
          <w:sz w:val="32"/>
          <w:szCs w:val="32"/>
        </w:rPr>
      </w:pPr>
      <w:r>
        <w:rPr>
          <w:rFonts w:hint="default" w:ascii="Times New Roman" w:hAnsi="Times New Roman" w:eastAsia="方正小标宋简体" w:cs="Times New Roman"/>
          <w:color w:val="000000" w:themeColor="text1"/>
          <w:kern w:val="0"/>
          <w:sz w:val="32"/>
          <w:szCs w:val="32"/>
        </w:rPr>
        <w:t>食用农产品销售者动态风险因素量化分值表</w:t>
      </w:r>
    </w:p>
    <w:p>
      <w:pPr>
        <w:keepNext w:val="0"/>
        <w:keepLines w:val="0"/>
        <w:pageBreakBefore w:val="0"/>
        <w:widowControl/>
        <w:shd w:val="clear" w:color="auto" w:fill="FFFFFF"/>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color w:val="000000" w:themeColor="text1"/>
          <w:kern w:val="0"/>
          <w:sz w:val="32"/>
          <w:szCs w:val="32"/>
        </w:rPr>
      </w:pPr>
      <w:r>
        <w:rPr>
          <w:rFonts w:hint="default" w:ascii="Times New Roman" w:hAnsi="Times New Roman" w:eastAsia="方正小标宋简体" w:cs="Times New Roman"/>
          <w:color w:val="000000" w:themeColor="text1"/>
          <w:kern w:val="0"/>
          <w:sz w:val="32"/>
          <w:szCs w:val="32"/>
        </w:rPr>
        <w:t>（食用农产品销售者日常监督检查要点表）</w:t>
      </w:r>
    </w:p>
    <w:tbl>
      <w:tblPr>
        <w:tblStyle w:val="5"/>
        <w:tblW w:w="10533" w:type="dxa"/>
        <w:jc w:val="center"/>
        <w:tblLayout w:type="fixed"/>
        <w:tblCellMar>
          <w:top w:w="0" w:type="dxa"/>
          <w:left w:w="108" w:type="dxa"/>
          <w:bottom w:w="0" w:type="dxa"/>
          <w:right w:w="108" w:type="dxa"/>
        </w:tblCellMar>
      </w:tblPr>
      <w:tblGrid>
        <w:gridCol w:w="1169"/>
        <w:gridCol w:w="810"/>
        <w:gridCol w:w="6826"/>
        <w:gridCol w:w="1229"/>
        <w:gridCol w:w="499"/>
      </w:tblGrid>
      <w:tr>
        <w:tblPrEx>
          <w:tblCellMar>
            <w:top w:w="0" w:type="dxa"/>
            <w:left w:w="108" w:type="dxa"/>
            <w:bottom w:w="0" w:type="dxa"/>
            <w:right w:w="108" w:type="dxa"/>
          </w:tblCellMar>
        </w:tblPrEx>
        <w:trPr>
          <w:trHeight w:val="92" w:hRule="atLeast"/>
          <w:jc w:val="center"/>
        </w:trPr>
        <w:tc>
          <w:tcPr>
            <w:tcW w:w="1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b/>
                <w:color w:val="000000" w:themeColor="text1"/>
                <w:kern w:val="0"/>
                <w:sz w:val="20"/>
                <w:szCs w:val="20"/>
              </w:rPr>
            </w:pPr>
            <w:r>
              <w:rPr>
                <w:rFonts w:hint="default" w:ascii="Times New Roman" w:hAnsi="Times New Roman" w:eastAsia="仿宋_GB2312" w:cs="Times New Roman"/>
                <w:b/>
                <w:color w:val="000000" w:themeColor="text1"/>
                <w:kern w:val="0"/>
                <w:sz w:val="20"/>
                <w:szCs w:val="20"/>
              </w:rPr>
              <w:t>检查项目</w:t>
            </w:r>
          </w:p>
        </w:tc>
        <w:tc>
          <w:tcPr>
            <w:tcW w:w="81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b/>
                <w:color w:val="000000" w:themeColor="text1"/>
                <w:kern w:val="0"/>
                <w:sz w:val="20"/>
                <w:szCs w:val="20"/>
              </w:rPr>
            </w:pPr>
            <w:r>
              <w:rPr>
                <w:rFonts w:hint="default" w:ascii="Times New Roman" w:hAnsi="Times New Roman" w:eastAsia="仿宋_GB2312" w:cs="Times New Roman"/>
                <w:b/>
                <w:color w:val="000000" w:themeColor="text1"/>
                <w:kern w:val="0"/>
                <w:sz w:val="20"/>
                <w:szCs w:val="20"/>
              </w:rPr>
              <w:t>序号</w:t>
            </w:r>
          </w:p>
        </w:tc>
        <w:tc>
          <w:tcPr>
            <w:tcW w:w="682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b/>
                <w:color w:val="000000" w:themeColor="text1"/>
                <w:kern w:val="0"/>
                <w:sz w:val="20"/>
                <w:szCs w:val="20"/>
              </w:rPr>
            </w:pPr>
            <w:r>
              <w:rPr>
                <w:rFonts w:hint="default" w:ascii="Times New Roman" w:hAnsi="Times New Roman" w:eastAsia="仿宋_GB2312" w:cs="Times New Roman"/>
                <w:b/>
                <w:color w:val="000000" w:themeColor="text1"/>
                <w:kern w:val="0"/>
                <w:sz w:val="20"/>
                <w:szCs w:val="20"/>
              </w:rPr>
              <w:t>检查内容</w:t>
            </w:r>
          </w:p>
        </w:tc>
        <w:tc>
          <w:tcPr>
            <w:tcW w:w="122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b/>
                <w:color w:val="000000" w:themeColor="text1"/>
                <w:kern w:val="0"/>
                <w:sz w:val="20"/>
                <w:szCs w:val="20"/>
              </w:rPr>
            </w:pPr>
            <w:r>
              <w:rPr>
                <w:rFonts w:hint="default" w:ascii="Times New Roman" w:hAnsi="Times New Roman" w:eastAsia="仿宋_GB2312" w:cs="Times New Roman"/>
                <w:b/>
                <w:color w:val="000000" w:themeColor="text1"/>
                <w:kern w:val="0"/>
                <w:sz w:val="20"/>
                <w:szCs w:val="20"/>
              </w:rPr>
              <w:t>检查结果</w:t>
            </w:r>
          </w:p>
        </w:tc>
        <w:tc>
          <w:tcPr>
            <w:tcW w:w="49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b/>
                <w:color w:val="000000" w:themeColor="text1"/>
                <w:kern w:val="0"/>
                <w:sz w:val="20"/>
                <w:szCs w:val="20"/>
              </w:rPr>
            </w:pPr>
            <w:r>
              <w:rPr>
                <w:rFonts w:hint="default" w:ascii="Times New Roman" w:hAnsi="Times New Roman" w:eastAsia="仿宋_GB2312" w:cs="Times New Roman"/>
                <w:b/>
                <w:color w:val="000000" w:themeColor="text1"/>
                <w:kern w:val="0"/>
                <w:sz w:val="20"/>
                <w:szCs w:val="20"/>
              </w:rPr>
              <w:t>分值</w:t>
            </w:r>
          </w:p>
        </w:tc>
      </w:tr>
      <w:tr>
        <w:tblPrEx>
          <w:tblCellMar>
            <w:top w:w="0" w:type="dxa"/>
            <w:left w:w="108" w:type="dxa"/>
            <w:bottom w:w="0" w:type="dxa"/>
            <w:right w:w="108" w:type="dxa"/>
          </w:tblCellMar>
        </w:tblPrEx>
        <w:trPr>
          <w:trHeight w:val="327" w:hRule="atLeast"/>
          <w:jc w:val="center"/>
        </w:trPr>
        <w:tc>
          <w:tcPr>
            <w:tcW w:w="116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r>
              <w:rPr>
                <w:rFonts w:hint="default" w:ascii="Times New Roman" w:hAnsi="Times New Roman" w:eastAsia="仿宋_GB2312" w:cs="Times New Roman"/>
                <w:color w:val="auto"/>
                <w:w w:val="90"/>
                <w:kern w:val="0"/>
                <w:sz w:val="20"/>
                <w:szCs w:val="20"/>
              </w:rPr>
              <w:t>1.主体资格</w:t>
            </w: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★1.1</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left"/>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持有的营业执照等法定主体资格证明文件合法有效。</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3</w:t>
            </w:r>
          </w:p>
        </w:tc>
      </w:tr>
      <w:tr>
        <w:tblPrEx>
          <w:tblCellMar>
            <w:top w:w="0" w:type="dxa"/>
            <w:left w:w="108" w:type="dxa"/>
            <w:bottom w:w="0" w:type="dxa"/>
            <w:right w:w="108" w:type="dxa"/>
          </w:tblCellMar>
        </w:tblPrEx>
        <w:trPr>
          <w:trHeight w:val="515" w:hRule="atLeast"/>
          <w:jc w:val="center"/>
        </w:trPr>
        <w:tc>
          <w:tcPr>
            <w:tcW w:w="1169" w:type="dxa"/>
            <w:vMerge w:val="restart"/>
            <w:tcBorders>
              <w:top w:val="nil"/>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r>
              <w:rPr>
                <w:rFonts w:hint="default" w:ascii="Times New Roman" w:hAnsi="Times New Roman" w:eastAsia="仿宋_GB2312" w:cs="Times New Roman"/>
                <w:color w:val="auto"/>
                <w:w w:val="90"/>
                <w:kern w:val="0"/>
                <w:sz w:val="20"/>
                <w:szCs w:val="20"/>
              </w:rPr>
              <w:t>2.经营条件</w:t>
            </w: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★2.1</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保持销售场所环境整洁，与有毒、有害场所以及其他污染源保持适当的距离，防止交叉污染。</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2</w:t>
            </w:r>
          </w:p>
        </w:tc>
      </w:tr>
      <w:tr>
        <w:tblPrEx>
          <w:tblCellMar>
            <w:top w:w="0" w:type="dxa"/>
            <w:left w:w="108" w:type="dxa"/>
            <w:bottom w:w="0" w:type="dxa"/>
            <w:right w:w="108" w:type="dxa"/>
          </w:tblCellMar>
        </w:tblPrEx>
        <w:trPr>
          <w:trHeight w:val="550" w:hRule="atLeast"/>
          <w:jc w:val="center"/>
        </w:trPr>
        <w:tc>
          <w:tcPr>
            <w:tcW w:w="1169" w:type="dxa"/>
            <w:vMerge w:val="continue"/>
            <w:tcBorders>
              <w:left w:val="single" w:color="auto" w:sz="4" w:space="0"/>
              <w:bottom w:val="nil"/>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firstLine="90" w:firstLineChars="50"/>
              <w:jc w:val="center"/>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★2.2</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未使用对食用农产品的真实色泽等感官性状造成明显改变的照明等设施误导消费者对商品的感官认知</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2</w:t>
            </w:r>
          </w:p>
        </w:tc>
      </w:tr>
      <w:tr>
        <w:tblPrEx>
          <w:tblCellMar>
            <w:top w:w="0" w:type="dxa"/>
            <w:left w:w="108" w:type="dxa"/>
            <w:bottom w:w="0" w:type="dxa"/>
            <w:right w:w="108" w:type="dxa"/>
          </w:tblCellMar>
        </w:tblPrEx>
        <w:trPr>
          <w:trHeight w:val="197" w:hRule="atLeast"/>
          <w:jc w:val="center"/>
        </w:trPr>
        <w:tc>
          <w:tcPr>
            <w:tcW w:w="116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color w:val="auto"/>
                <w:w w:val="90"/>
                <w:kern w:val="0"/>
                <w:sz w:val="20"/>
                <w:szCs w:val="20"/>
              </w:rPr>
            </w:pPr>
            <w:r>
              <w:rPr>
                <w:rFonts w:hint="default" w:ascii="Times New Roman" w:hAnsi="Times New Roman" w:eastAsia="仿宋_GB2312" w:cs="Times New Roman"/>
                <w:color w:val="auto"/>
                <w:w w:val="90"/>
                <w:kern w:val="0"/>
                <w:sz w:val="20"/>
                <w:szCs w:val="20"/>
              </w:rPr>
              <w:t>3.食用农产品信息标注状况</w:t>
            </w: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★3.1</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在销售场所明显位置或者带包装产品的包装上如实标明食用农产品相关信息，且标明的信息符合规定。</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5</w:t>
            </w:r>
          </w:p>
        </w:tc>
      </w:tr>
      <w:tr>
        <w:tblPrEx>
          <w:tblCellMar>
            <w:top w:w="0" w:type="dxa"/>
            <w:left w:w="108" w:type="dxa"/>
            <w:bottom w:w="0" w:type="dxa"/>
            <w:right w:w="108" w:type="dxa"/>
          </w:tblCellMar>
        </w:tblPrEx>
        <w:trPr>
          <w:trHeight w:val="269" w:hRule="atLeast"/>
          <w:jc w:val="center"/>
        </w:trPr>
        <w:tc>
          <w:tcPr>
            <w:tcW w:w="116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★3.2</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销售即食食用农产品如实标明具体制作时间。</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2</w:t>
            </w:r>
          </w:p>
        </w:tc>
      </w:tr>
      <w:tr>
        <w:tblPrEx>
          <w:tblCellMar>
            <w:top w:w="0" w:type="dxa"/>
            <w:left w:w="108" w:type="dxa"/>
            <w:bottom w:w="0" w:type="dxa"/>
            <w:right w:w="108" w:type="dxa"/>
          </w:tblCellMar>
        </w:tblPrEx>
        <w:trPr>
          <w:trHeight w:val="572" w:hRule="atLeast"/>
          <w:jc w:val="center"/>
        </w:trPr>
        <w:tc>
          <w:tcPr>
            <w:tcW w:w="1169"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color w:val="auto"/>
                <w:w w:val="90"/>
                <w:kern w:val="0"/>
                <w:sz w:val="20"/>
                <w:szCs w:val="20"/>
              </w:rPr>
            </w:pPr>
            <w:r>
              <w:rPr>
                <w:rFonts w:hint="default" w:ascii="Times New Roman" w:hAnsi="Times New Roman" w:eastAsia="仿宋_GB2312" w:cs="Times New Roman"/>
                <w:color w:val="auto"/>
                <w:w w:val="90"/>
                <w:kern w:val="0"/>
                <w:sz w:val="20"/>
                <w:szCs w:val="20"/>
              </w:rPr>
              <w:t>4.经营过程控制情况</w:t>
            </w: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★4.1</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建立食用农产品进货查验记录制度，索取并留存食用农产品进货凭证</w:t>
            </w:r>
            <w:r>
              <w:rPr>
                <w:rFonts w:hint="default" w:ascii="Times New Roman" w:hAnsi="Times New Roman" w:eastAsia="仿宋_GB2312" w:cs="Times New Roman"/>
                <w:b w:val="0"/>
                <w:bCs w:val="0"/>
                <w:color w:val="auto"/>
                <w:kern w:val="0"/>
                <w:sz w:val="20"/>
                <w:szCs w:val="20"/>
                <w:lang w:val="en" w:eastAsia="zh-CN"/>
              </w:rPr>
              <w:t>、</w:t>
            </w:r>
            <w:r>
              <w:rPr>
                <w:rFonts w:hint="default" w:ascii="Times New Roman" w:hAnsi="Times New Roman" w:eastAsia="仿宋_GB2312" w:cs="Times New Roman"/>
                <w:b w:val="0"/>
                <w:bCs w:val="0"/>
                <w:color w:val="auto"/>
                <w:kern w:val="0"/>
                <w:sz w:val="20"/>
                <w:szCs w:val="20"/>
              </w:rPr>
              <w:t>产品质量合格凭证，并核对供货者等有关信息。</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7</w:t>
            </w:r>
          </w:p>
        </w:tc>
      </w:tr>
      <w:tr>
        <w:tblPrEx>
          <w:tblCellMar>
            <w:top w:w="0" w:type="dxa"/>
            <w:left w:w="108" w:type="dxa"/>
            <w:bottom w:w="0" w:type="dxa"/>
            <w:right w:w="108" w:type="dxa"/>
          </w:tblCellMar>
        </w:tblPrEx>
        <w:trPr>
          <w:trHeight w:val="293" w:hRule="atLeast"/>
          <w:jc w:val="center"/>
        </w:trPr>
        <w:tc>
          <w:tcPr>
            <w:tcW w:w="1169"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★4.2</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食用农产品进货查验记录和凭证保存期限不少于6个月。</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3</w:t>
            </w:r>
          </w:p>
        </w:tc>
      </w:tr>
      <w:tr>
        <w:tblPrEx>
          <w:tblCellMar>
            <w:top w:w="0" w:type="dxa"/>
            <w:left w:w="108" w:type="dxa"/>
            <w:bottom w:w="0" w:type="dxa"/>
            <w:right w:w="108" w:type="dxa"/>
          </w:tblCellMar>
        </w:tblPrEx>
        <w:trPr>
          <w:trHeight w:val="268" w:hRule="atLeast"/>
          <w:jc w:val="center"/>
        </w:trPr>
        <w:tc>
          <w:tcPr>
            <w:tcW w:w="1169"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★4.3</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自行贮存食用农产品的，符合要求并定期检查，及时清理腐败变质、油脂酸败、霉变生虫或者感官性状异常的食用农产品。</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w:t>
            </w:r>
          </w:p>
        </w:tc>
      </w:tr>
      <w:tr>
        <w:tblPrEx>
          <w:tblCellMar>
            <w:top w:w="0" w:type="dxa"/>
            <w:left w:w="108" w:type="dxa"/>
            <w:bottom w:w="0" w:type="dxa"/>
            <w:right w:w="108" w:type="dxa"/>
          </w:tblCellMar>
        </w:tblPrEx>
        <w:trPr>
          <w:trHeight w:val="465" w:hRule="atLeast"/>
          <w:jc w:val="center"/>
        </w:trPr>
        <w:tc>
          <w:tcPr>
            <w:tcW w:w="1169"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★4.4</w:t>
            </w:r>
          </w:p>
        </w:tc>
        <w:tc>
          <w:tcPr>
            <w:tcW w:w="6826" w:type="dxa"/>
            <w:tcBorders>
              <w:top w:val="nil"/>
              <w:left w:val="nil"/>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spacing w:val="-10"/>
                <w:kern w:val="0"/>
                <w:sz w:val="20"/>
                <w:szCs w:val="20"/>
              </w:rPr>
            </w:pPr>
            <w:r>
              <w:rPr>
                <w:rFonts w:hint="default" w:ascii="Times New Roman" w:hAnsi="Times New Roman" w:eastAsia="仿宋_GB2312" w:cs="Times New Roman"/>
                <w:color w:val="auto"/>
                <w:spacing w:val="-10"/>
                <w:kern w:val="0"/>
                <w:sz w:val="20"/>
                <w:szCs w:val="20"/>
              </w:rPr>
              <w:t>委托贮存食用农产品的，选择取得营业执照等合法主体资格、能够保障食品安全的贮存服务提供者，并监督受托方按照保证食品安全的要求贮存食用农产品。</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2</w:t>
            </w:r>
          </w:p>
        </w:tc>
      </w:tr>
      <w:tr>
        <w:tblPrEx>
          <w:tblCellMar>
            <w:top w:w="0" w:type="dxa"/>
            <w:left w:w="108" w:type="dxa"/>
            <w:bottom w:w="0" w:type="dxa"/>
            <w:right w:w="108" w:type="dxa"/>
          </w:tblCellMar>
        </w:tblPrEx>
        <w:trPr>
          <w:trHeight w:val="450" w:hRule="atLeast"/>
          <w:jc w:val="center"/>
        </w:trPr>
        <w:tc>
          <w:tcPr>
            <w:tcW w:w="1169"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★4.5</w:t>
            </w:r>
          </w:p>
        </w:tc>
        <w:tc>
          <w:tcPr>
            <w:tcW w:w="6826"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合规使用符合要求的食用农产品销售凭证。</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w:t>
            </w:r>
          </w:p>
        </w:tc>
      </w:tr>
      <w:tr>
        <w:tblPrEx>
          <w:tblCellMar>
            <w:top w:w="0" w:type="dxa"/>
            <w:left w:w="108" w:type="dxa"/>
            <w:bottom w:w="0" w:type="dxa"/>
            <w:right w:w="108" w:type="dxa"/>
          </w:tblCellMar>
        </w:tblPrEx>
        <w:trPr>
          <w:trHeight w:val="620" w:hRule="atLeast"/>
          <w:jc w:val="center"/>
        </w:trPr>
        <w:tc>
          <w:tcPr>
            <w:tcW w:w="1169"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b/>
                <w:color w:val="auto"/>
                <w:kern w:val="0"/>
                <w:sz w:val="20"/>
                <w:szCs w:val="20"/>
              </w:rPr>
              <w:t>★</w:t>
            </w:r>
            <w:r>
              <w:rPr>
                <w:rFonts w:hint="default" w:ascii="Times New Roman" w:hAnsi="Times New Roman" w:eastAsia="仿宋_GB2312" w:cs="Times New Roman"/>
                <w:color w:val="auto"/>
                <w:kern w:val="0"/>
                <w:sz w:val="20"/>
                <w:szCs w:val="20"/>
              </w:rPr>
              <w:t>4.6</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未采购、销售食品安全法第三十四条规定情形的食用农产品。</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10</w:t>
            </w:r>
          </w:p>
        </w:tc>
      </w:tr>
      <w:tr>
        <w:tblPrEx>
          <w:tblCellMar>
            <w:top w:w="0" w:type="dxa"/>
            <w:left w:w="108" w:type="dxa"/>
            <w:bottom w:w="0" w:type="dxa"/>
            <w:right w:w="108" w:type="dxa"/>
          </w:tblCellMar>
        </w:tblPrEx>
        <w:trPr>
          <w:trHeight w:val="371" w:hRule="atLeast"/>
          <w:jc w:val="center"/>
        </w:trPr>
        <w:tc>
          <w:tcPr>
            <w:tcW w:w="1169"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★4.7</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简单加工、销售即食食用农产品的，采取有效措施做好食品安全防护，防止交叉污染。</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3</w:t>
            </w:r>
          </w:p>
        </w:tc>
      </w:tr>
      <w:tr>
        <w:tblPrEx>
          <w:tblCellMar>
            <w:top w:w="0" w:type="dxa"/>
            <w:left w:w="108" w:type="dxa"/>
            <w:bottom w:w="0" w:type="dxa"/>
            <w:right w:w="108" w:type="dxa"/>
          </w:tblCellMar>
        </w:tblPrEx>
        <w:trPr>
          <w:trHeight w:val="371" w:hRule="atLeast"/>
          <w:jc w:val="center"/>
        </w:trPr>
        <w:tc>
          <w:tcPr>
            <w:tcW w:w="1169"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★4.8</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自行运输食用农产品的，运输容器、工具和设备以及运输行为符合要求。</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1</w:t>
            </w:r>
          </w:p>
        </w:tc>
      </w:tr>
      <w:tr>
        <w:tblPrEx>
          <w:tblCellMar>
            <w:top w:w="0" w:type="dxa"/>
            <w:left w:w="108" w:type="dxa"/>
            <w:bottom w:w="0" w:type="dxa"/>
            <w:right w:w="108" w:type="dxa"/>
          </w:tblCellMar>
        </w:tblPrEx>
        <w:trPr>
          <w:trHeight w:val="371" w:hRule="atLeast"/>
          <w:jc w:val="center"/>
        </w:trPr>
        <w:tc>
          <w:tcPr>
            <w:tcW w:w="1169"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★4.9</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委托运输食用农产品的，对承运人的食品安全保障能力进行审核，并监督承运人加强运输过程管理，如实记录委托方和收货方的名称或者姓名、地址、联系方式等内容，记录保存期限不得少于运输结束后二年。</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1</w:t>
            </w:r>
          </w:p>
        </w:tc>
      </w:tr>
      <w:tr>
        <w:tblPrEx>
          <w:tblCellMar>
            <w:top w:w="0" w:type="dxa"/>
            <w:left w:w="108" w:type="dxa"/>
            <w:bottom w:w="0" w:type="dxa"/>
            <w:right w:w="108" w:type="dxa"/>
          </w:tblCellMar>
        </w:tblPrEx>
        <w:trPr>
          <w:trHeight w:val="371" w:hRule="atLeast"/>
          <w:jc w:val="center"/>
        </w:trPr>
        <w:tc>
          <w:tcPr>
            <w:tcW w:w="1169" w:type="dxa"/>
            <w:vMerge w:val="continue"/>
            <w:tcBorders>
              <w:left w:val="single" w:color="auto" w:sz="4" w:space="0"/>
              <w:bottom w:val="nil"/>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★4.10</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张贴并保持上次监督检查结果记录</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1</w:t>
            </w:r>
          </w:p>
        </w:tc>
      </w:tr>
      <w:tr>
        <w:tblPrEx>
          <w:tblCellMar>
            <w:top w:w="0" w:type="dxa"/>
            <w:left w:w="108" w:type="dxa"/>
            <w:bottom w:w="0" w:type="dxa"/>
            <w:right w:w="108" w:type="dxa"/>
          </w:tblCellMar>
        </w:tblPrEx>
        <w:trPr>
          <w:trHeight w:val="398" w:hRule="atLeast"/>
          <w:jc w:val="center"/>
        </w:trPr>
        <w:tc>
          <w:tcPr>
            <w:tcW w:w="1169"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r>
              <w:rPr>
                <w:rFonts w:hint="default" w:ascii="Times New Roman" w:hAnsi="Times New Roman" w:eastAsia="仿宋_GB2312" w:cs="Times New Roman"/>
                <w:color w:val="auto"/>
                <w:w w:val="90"/>
                <w:kern w:val="0"/>
                <w:sz w:val="20"/>
                <w:szCs w:val="20"/>
              </w:rPr>
              <w:t>5.食用农产品销售企业</w:t>
            </w: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★5.1</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实行统一配送销售方式并由企业总部统一建立进货查验记录制度的食用农产品销售企业，所属各销售门店保存总部的配送清单，能提供相应查询方式，且配送清单，保存期限不少于6个月。</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5</w:t>
            </w:r>
          </w:p>
        </w:tc>
      </w:tr>
      <w:tr>
        <w:tblPrEx>
          <w:tblCellMar>
            <w:top w:w="0" w:type="dxa"/>
            <w:left w:w="108" w:type="dxa"/>
            <w:bottom w:w="0" w:type="dxa"/>
            <w:right w:w="108" w:type="dxa"/>
          </w:tblCellMar>
        </w:tblPrEx>
        <w:trPr>
          <w:trHeight w:val="96" w:hRule="atLeast"/>
          <w:jc w:val="center"/>
        </w:trPr>
        <w:tc>
          <w:tcPr>
            <w:tcW w:w="1169"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auto"/>
                <w:w w:val="90"/>
                <w:kern w:val="0"/>
                <w:sz w:val="20"/>
                <w:szCs w:val="20"/>
              </w:rPr>
            </w:pPr>
          </w:p>
        </w:tc>
        <w:tc>
          <w:tcPr>
            <w:tcW w:w="81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★5.2</w:t>
            </w:r>
          </w:p>
        </w:tc>
        <w:tc>
          <w:tcPr>
            <w:tcW w:w="6826"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从事批发业务的，建立食用农产品销售记录制度，如实记录批发食用农产品的相关信息，保存相关凭证，且记录和凭证保存期限不少于6个月。</w:t>
            </w:r>
          </w:p>
        </w:tc>
        <w:tc>
          <w:tcPr>
            <w:tcW w:w="122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□是  □否</w:t>
            </w:r>
          </w:p>
          <w:p>
            <w:pPr>
              <w:keepNext w:val="0"/>
              <w:keepLines w:val="0"/>
              <w:pageBreakBefore w:val="0"/>
              <w:widowControl/>
              <w:kinsoku/>
              <w:wordWrap/>
              <w:overflowPunct/>
              <w:topLinePunct w:val="0"/>
              <w:autoSpaceDE/>
              <w:autoSpaceDN/>
              <w:bidi w:val="0"/>
              <w:adjustRightInd/>
              <w:snapToGrid/>
              <w:spacing w:line="240" w:lineRule="auto"/>
              <w:ind w:left="0" w:leftChars="0"/>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□合理缺项</w:t>
            </w:r>
          </w:p>
        </w:tc>
        <w:tc>
          <w:tcPr>
            <w:tcW w:w="499"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color w:val="auto"/>
                <w:kern w:val="0"/>
                <w:sz w:val="20"/>
                <w:szCs w:val="20"/>
              </w:rPr>
            </w:pPr>
            <w:r>
              <w:rPr>
                <w:rFonts w:hint="default" w:ascii="Times New Roman" w:hAnsi="Times New Roman" w:eastAsia="仿宋_GB2312" w:cs="Times New Roman"/>
                <w:color w:val="auto"/>
                <w:kern w:val="0"/>
                <w:sz w:val="20"/>
                <w:szCs w:val="20"/>
              </w:rPr>
              <w:t>5</w:t>
            </w:r>
          </w:p>
        </w:tc>
      </w:tr>
      <w:tr>
        <w:tblPrEx>
          <w:tblCellMar>
            <w:top w:w="0" w:type="dxa"/>
            <w:left w:w="108" w:type="dxa"/>
            <w:bottom w:w="0" w:type="dxa"/>
            <w:right w:w="108" w:type="dxa"/>
          </w:tblCellMar>
        </w:tblPrEx>
        <w:trPr>
          <w:trHeight w:val="301" w:hRule="atLeast"/>
          <w:jc w:val="center"/>
        </w:trPr>
        <w:tc>
          <w:tcPr>
            <w:tcW w:w="1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color w:val="000000" w:themeColor="text1"/>
                <w:w w:val="90"/>
                <w:kern w:val="0"/>
                <w:sz w:val="20"/>
                <w:szCs w:val="20"/>
              </w:rPr>
            </w:pPr>
            <w:r>
              <w:rPr>
                <w:rFonts w:hint="default" w:ascii="Times New Roman" w:hAnsi="Times New Roman" w:eastAsia="仿宋_GB2312" w:cs="Times New Roman"/>
                <w:color w:val="000000" w:themeColor="text1"/>
                <w:w w:val="90"/>
                <w:kern w:val="0"/>
                <w:sz w:val="20"/>
                <w:szCs w:val="20"/>
              </w:rPr>
              <w:t>得分总和（60分）</w:t>
            </w:r>
          </w:p>
        </w:tc>
        <w:tc>
          <w:tcPr>
            <w:tcW w:w="9364" w:type="dxa"/>
            <w:gridSpan w:val="4"/>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color w:val="000000" w:themeColor="text1"/>
                <w:kern w:val="0"/>
                <w:sz w:val="20"/>
                <w:szCs w:val="20"/>
              </w:rPr>
            </w:pPr>
          </w:p>
        </w:tc>
      </w:tr>
      <w:tr>
        <w:tblPrEx>
          <w:tblCellMar>
            <w:top w:w="0" w:type="dxa"/>
            <w:left w:w="108" w:type="dxa"/>
            <w:bottom w:w="0" w:type="dxa"/>
            <w:right w:w="108" w:type="dxa"/>
          </w:tblCellMar>
        </w:tblPrEx>
        <w:trPr>
          <w:trHeight w:val="864" w:hRule="atLeast"/>
          <w:jc w:val="center"/>
        </w:trPr>
        <w:tc>
          <w:tcPr>
            <w:tcW w:w="1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color w:val="000000" w:themeColor="text1"/>
                <w:sz w:val="20"/>
                <w:szCs w:val="20"/>
              </w:rPr>
            </w:pPr>
            <w:r>
              <w:rPr>
                <w:rFonts w:hint="default" w:ascii="Times New Roman" w:hAnsi="Times New Roman" w:eastAsia="仿宋_GB2312" w:cs="Times New Roman"/>
                <w:color w:val="000000" w:themeColor="text1"/>
                <w:kern w:val="0"/>
                <w:sz w:val="20"/>
                <w:szCs w:val="20"/>
              </w:rPr>
              <w:t>其他需要记录的问题：</w:t>
            </w:r>
          </w:p>
        </w:tc>
        <w:tc>
          <w:tcPr>
            <w:tcW w:w="936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000000" w:themeColor="text1"/>
                <w:kern w:val="0"/>
                <w:sz w:val="20"/>
                <w:szCs w:val="20"/>
              </w:rPr>
            </w:pPr>
          </w:p>
        </w:tc>
      </w:tr>
      <w:tr>
        <w:tblPrEx>
          <w:tblCellMar>
            <w:top w:w="0" w:type="dxa"/>
            <w:left w:w="108" w:type="dxa"/>
            <w:bottom w:w="0" w:type="dxa"/>
            <w:right w:w="108" w:type="dxa"/>
          </w:tblCellMar>
        </w:tblPrEx>
        <w:trPr>
          <w:trHeight w:val="90" w:hRule="atLeast"/>
          <w:jc w:val="center"/>
        </w:trPr>
        <w:tc>
          <w:tcPr>
            <w:tcW w:w="116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ind w:left="0"/>
              <w:jc w:val="center"/>
              <w:textAlignment w:val="auto"/>
              <w:rPr>
                <w:rFonts w:hint="default" w:ascii="Times New Roman" w:hAnsi="Times New Roman" w:eastAsia="仿宋_GB2312" w:cs="Times New Roman"/>
                <w:color w:val="000000" w:themeColor="text1"/>
                <w:kern w:val="0"/>
                <w:sz w:val="20"/>
                <w:szCs w:val="20"/>
              </w:rPr>
            </w:pPr>
            <w:r>
              <w:rPr>
                <w:rFonts w:hint="default" w:ascii="Times New Roman" w:hAnsi="Times New Roman" w:eastAsia="仿宋_GB2312" w:cs="Times New Roman"/>
                <w:color w:val="000000" w:themeColor="text1"/>
                <w:kern w:val="0"/>
                <w:sz w:val="20"/>
                <w:szCs w:val="20"/>
              </w:rPr>
              <w:t>备注</w:t>
            </w:r>
          </w:p>
        </w:tc>
        <w:tc>
          <w:tcPr>
            <w:tcW w:w="9364"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000000" w:themeColor="text1"/>
                <w:kern w:val="0"/>
                <w:sz w:val="20"/>
                <w:szCs w:val="20"/>
              </w:rPr>
            </w:pPr>
            <w:r>
              <w:rPr>
                <w:rFonts w:hint="default" w:ascii="Times New Roman" w:hAnsi="Times New Roman" w:eastAsia="仿宋_GB2312" w:cs="Times New Roman"/>
                <w:color w:val="000000" w:themeColor="text1"/>
                <w:kern w:val="0"/>
                <w:sz w:val="20"/>
                <w:szCs w:val="20"/>
              </w:rPr>
              <w:t>1.各评分总和为60分，选择“否”，得分，选择“是”或者“合理缺项”，不得分。</w:t>
            </w:r>
          </w:p>
          <w:p>
            <w:pPr>
              <w:keepNext w:val="0"/>
              <w:keepLines w:val="0"/>
              <w:pageBreakBefore w:val="0"/>
              <w:kinsoku/>
              <w:wordWrap/>
              <w:overflowPunct/>
              <w:topLinePunct w:val="0"/>
              <w:autoSpaceDE/>
              <w:autoSpaceDN/>
              <w:bidi w:val="0"/>
              <w:adjustRightInd/>
              <w:snapToGrid/>
              <w:spacing w:line="240" w:lineRule="auto"/>
              <w:ind w:left="0"/>
              <w:textAlignment w:val="auto"/>
              <w:rPr>
                <w:rFonts w:hint="default" w:ascii="Times New Roman" w:hAnsi="Times New Roman" w:eastAsia="仿宋_GB2312" w:cs="Times New Roman"/>
                <w:color w:val="000000" w:themeColor="text1"/>
                <w:kern w:val="0"/>
                <w:sz w:val="20"/>
                <w:szCs w:val="20"/>
              </w:rPr>
            </w:pPr>
            <w:r>
              <w:rPr>
                <w:rFonts w:hint="eastAsia" w:ascii="Times New Roman" w:hAnsi="Times New Roman" w:cs="Times New Roman"/>
                <w:color w:val="000000" w:themeColor="text1"/>
                <w:kern w:val="0"/>
                <w:sz w:val="20"/>
                <w:szCs w:val="20"/>
                <w:lang w:val="en-US" w:eastAsia="zh-CN"/>
              </w:rPr>
              <w:t>2</w:t>
            </w:r>
            <w:r>
              <w:rPr>
                <w:rFonts w:hint="default" w:ascii="Times New Roman" w:hAnsi="Times New Roman" w:eastAsia="仿宋_GB2312" w:cs="Times New Roman"/>
                <w:color w:val="000000" w:themeColor="text1"/>
                <w:kern w:val="0"/>
                <w:sz w:val="20"/>
                <w:szCs w:val="20"/>
              </w:rPr>
              <w:t>.日常监督检查共</w:t>
            </w:r>
            <w:r>
              <w:rPr>
                <w:rFonts w:hint="eastAsia" w:ascii="Times New Roman" w:hAnsi="Times New Roman" w:cs="Times New Roman"/>
                <w:color w:val="000000" w:themeColor="text1"/>
                <w:kern w:val="0"/>
                <w:sz w:val="20"/>
                <w:szCs w:val="20"/>
                <w:lang w:val="en-US" w:eastAsia="zh-CN"/>
              </w:rPr>
              <w:t>17</w:t>
            </w:r>
            <w:r>
              <w:rPr>
                <w:rFonts w:hint="default" w:ascii="Times New Roman" w:hAnsi="Times New Roman" w:eastAsia="仿宋_GB2312" w:cs="Times New Roman"/>
                <w:color w:val="000000" w:themeColor="text1"/>
                <w:kern w:val="0"/>
                <w:sz w:val="20"/>
                <w:szCs w:val="20"/>
              </w:rPr>
              <w:t>项检查内容，重点项（检查序号中打★号项）</w:t>
            </w:r>
            <w:r>
              <w:rPr>
                <w:rFonts w:hint="eastAsia" w:ascii="Times New Roman" w:hAnsi="Times New Roman" w:cs="Times New Roman"/>
                <w:color w:val="000000" w:themeColor="text1"/>
                <w:kern w:val="0"/>
                <w:sz w:val="20"/>
                <w:szCs w:val="20"/>
                <w:lang w:val="en-US" w:eastAsia="zh-CN"/>
              </w:rPr>
              <w:t>17</w:t>
            </w:r>
            <w:r>
              <w:rPr>
                <w:rFonts w:hint="default" w:ascii="Times New Roman" w:hAnsi="Times New Roman" w:eastAsia="仿宋_GB2312" w:cs="Times New Roman"/>
                <w:color w:val="000000" w:themeColor="text1"/>
                <w:kern w:val="0"/>
                <w:sz w:val="20"/>
                <w:szCs w:val="20"/>
              </w:rPr>
              <w:t>项，一般项</w:t>
            </w:r>
            <w:r>
              <w:rPr>
                <w:rFonts w:hint="eastAsia" w:ascii="Times New Roman" w:hAnsi="Times New Roman" w:cs="Times New Roman"/>
                <w:color w:val="000000" w:themeColor="text1"/>
                <w:kern w:val="0"/>
                <w:sz w:val="20"/>
                <w:szCs w:val="20"/>
                <w:lang w:val="en-US" w:eastAsia="zh-CN"/>
              </w:rPr>
              <w:t>0</w:t>
            </w:r>
            <w:r>
              <w:rPr>
                <w:rFonts w:hint="default" w:ascii="Times New Roman" w:hAnsi="Times New Roman" w:eastAsia="仿宋_GB2312" w:cs="Times New Roman"/>
                <w:color w:val="000000" w:themeColor="text1"/>
                <w:kern w:val="0"/>
                <w:sz w:val="20"/>
                <w:szCs w:val="20"/>
              </w:rPr>
              <w:t>项。</w:t>
            </w:r>
          </w:p>
        </w:tc>
      </w:tr>
    </w:tbl>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72294"/>
    <w:rsid w:val="0001197F"/>
    <w:rsid w:val="00035797"/>
    <w:rsid w:val="00055714"/>
    <w:rsid w:val="00086735"/>
    <w:rsid w:val="000A466E"/>
    <w:rsid w:val="000C03F9"/>
    <w:rsid w:val="000C2F8B"/>
    <w:rsid w:val="000D2429"/>
    <w:rsid w:val="00102020"/>
    <w:rsid w:val="00121C06"/>
    <w:rsid w:val="00137B49"/>
    <w:rsid w:val="00140AF3"/>
    <w:rsid w:val="00163019"/>
    <w:rsid w:val="001D00EF"/>
    <w:rsid w:val="001E3867"/>
    <w:rsid w:val="001F3B9F"/>
    <w:rsid w:val="002061DE"/>
    <w:rsid w:val="0021105F"/>
    <w:rsid w:val="00223BB6"/>
    <w:rsid w:val="00271697"/>
    <w:rsid w:val="002800B6"/>
    <w:rsid w:val="0028099E"/>
    <w:rsid w:val="002955C6"/>
    <w:rsid w:val="002B1B19"/>
    <w:rsid w:val="002C2BD6"/>
    <w:rsid w:val="002D03AB"/>
    <w:rsid w:val="003129EA"/>
    <w:rsid w:val="00333545"/>
    <w:rsid w:val="00367FBB"/>
    <w:rsid w:val="00372294"/>
    <w:rsid w:val="003837AA"/>
    <w:rsid w:val="00391378"/>
    <w:rsid w:val="0039156F"/>
    <w:rsid w:val="003A19FC"/>
    <w:rsid w:val="003D17A1"/>
    <w:rsid w:val="003E78BC"/>
    <w:rsid w:val="003E7F9B"/>
    <w:rsid w:val="00412AC6"/>
    <w:rsid w:val="004311C3"/>
    <w:rsid w:val="004379EF"/>
    <w:rsid w:val="00444E51"/>
    <w:rsid w:val="00477BB0"/>
    <w:rsid w:val="00496F4E"/>
    <w:rsid w:val="004A4B92"/>
    <w:rsid w:val="004F1717"/>
    <w:rsid w:val="00502CD0"/>
    <w:rsid w:val="00522384"/>
    <w:rsid w:val="00522889"/>
    <w:rsid w:val="005230EA"/>
    <w:rsid w:val="00526338"/>
    <w:rsid w:val="00540041"/>
    <w:rsid w:val="00553A0B"/>
    <w:rsid w:val="0058039C"/>
    <w:rsid w:val="00594AA2"/>
    <w:rsid w:val="005E2238"/>
    <w:rsid w:val="005E3E22"/>
    <w:rsid w:val="00616EF7"/>
    <w:rsid w:val="00624121"/>
    <w:rsid w:val="00625E8F"/>
    <w:rsid w:val="00627268"/>
    <w:rsid w:val="006374F3"/>
    <w:rsid w:val="00652EC3"/>
    <w:rsid w:val="0066430A"/>
    <w:rsid w:val="006952D3"/>
    <w:rsid w:val="006B4AED"/>
    <w:rsid w:val="006E0996"/>
    <w:rsid w:val="006F51FB"/>
    <w:rsid w:val="007042A2"/>
    <w:rsid w:val="00720D7D"/>
    <w:rsid w:val="00732F0D"/>
    <w:rsid w:val="00772C04"/>
    <w:rsid w:val="0078015F"/>
    <w:rsid w:val="00793A37"/>
    <w:rsid w:val="00794C0A"/>
    <w:rsid w:val="007B0C0A"/>
    <w:rsid w:val="007B2EF7"/>
    <w:rsid w:val="007C0155"/>
    <w:rsid w:val="007D0A86"/>
    <w:rsid w:val="007E4CF9"/>
    <w:rsid w:val="00836685"/>
    <w:rsid w:val="00856D0C"/>
    <w:rsid w:val="00862ABC"/>
    <w:rsid w:val="00873F20"/>
    <w:rsid w:val="00896794"/>
    <w:rsid w:val="008A3EB0"/>
    <w:rsid w:val="008B77B4"/>
    <w:rsid w:val="008F7381"/>
    <w:rsid w:val="008F7547"/>
    <w:rsid w:val="00934AC9"/>
    <w:rsid w:val="00961620"/>
    <w:rsid w:val="00963D12"/>
    <w:rsid w:val="009766A6"/>
    <w:rsid w:val="009C6CBC"/>
    <w:rsid w:val="009E7CA2"/>
    <w:rsid w:val="009F1AE6"/>
    <w:rsid w:val="00A37923"/>
    <w:rsid w:val="00A63752"/>
    <w:rsid w:val="00A64903"/>
    <w:rsid w:val="00A7720F"/>
    <w:rsid w:val="00AA3D30"/>
    <w:rsid w:val="00AD68BE"/>
    <w:rsid w:val="00AF7EAA"/>
    <w:rsid w:val="00B1198F"/>
    <w:rsid w:val="00B2626F"/>
    <w:rsid w:val="00B51D9C"/>
    <w:rsid w:val="00B900C1"/>
    <w:rsid w:val="00B972BE"/>
    <w:rsid w:val="00BD7F8B"/>
    <w:rsid w:val="00C048EE"/>
    <w:rsid w:val="00C061D8"/>
    <w:rsid w:val="00C12033"/>
    <w:rsid w:val="00C12994"/>
    <w:rsid w:val="00C34235"/>
    <w:rsid w:val="00C3571D"/>
    <w:rsid w:val="00C42C9F"/>
    <w:rsid w:val="00C44F99"/>
    <w:rsid w:val="00C4553A"/>
    <w:rsid w:val="00C853F5"/>
    <w:rsid w:val="00C860D7"/>
    <w:rsid w:val="00C926E6"/>
    <w:rsid w:val="00CA3165"/>
    <w:rsid w:val="00CA522D"/>
    <w:rsid w:val="00CA76B6"/>
    <w:rsid w:val="00CB7E07"/>
    <w:rsid w:val="00CE1A24"/>
    <w:rsid w:val="00CE6089"/>
    <w:rsid w:val="00D13D10"/>
    <w:rsid w:val="00D72537"/>
    <w:rsid w:val="00DF247C"/>
    <w:rsid w:val="00DF3D42"/>
    <w:rsid w:val="00E06AD6"/>
    <w:rsid w:val="00E17D16"/>
    <w:rsid w:val="00E41E3E"/>
    <w:rsid w:val="00E80660"/>
    <w:rsid w:val="00E94F23"/>
    <w:rsid w:val="00EA15F3"/>
    <w:rsid w:val="00F125BA"/>
    <w:rsid w:val="00F40F2C"/>
    <w:rsid w:val="00F44B71"/>
    <w:rsid w:val="00F5557F"/>
    <w:rsid w:val="00F91AB8"/>
    <w:rsid w:val="00FB5EA5"/>
    <w:rsid w:val="00FE74A0"/>
    <w:rsid w:val="00FE7648"/>
    <w:rsid w:val="00FF7236"/>
    <w:rsid w:val="4CFD7E13"/>
    <w:rsid w:val="71F6606E"/>
    <w:rsid w:val="77E7F976"/>
    <w:rsid w:val="7BBFECBB"/>
    <w:rsid w:val="7EFF37A7"/>
    <w:rsid w:val="7F7C1014"/>
    <w:rsid w:val="BFE773A8"/>
    <w:rsid w:val="DEDF2FDD"/>
    <w:rsid w:val="E3F95B71"/>
    <w:rsid w:val="F87F667C"/>
    <w:rsid w:val="FDFD3A23"/>
    <w:rsid w:val="FFB5AE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华文中宋" w:eastAsia="仿宋_GB2312"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仿宋_GB2312" w:hAnsi="华文中宋"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221</Words>
  <Characters>1261</Characters>
  <Lines>10</Lines>
  <Paragraphs>2</Paragraphs>
  <TotalTime>2</TotalTime>
  <ScaleCrop>false</ScaleCrop>
  <LinksUpToDate>false</LinksUpToDate>
  <CharactersWithSpaces>1480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2020-04-04T07:00:00Z</dcterms:created>
  <dc:creator>霍廉</dc:creator>
  <cp:lastModifiedBy>scw</cp:lastModifiedBy>
  <cp:lastPrinted>2022-02-12T07:35:00Z</cp:lastPrinted>
  <dcterms:modified xsi:type="dcterms:W3CDTF">2024-12-16T14:44:07Z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