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751"/>
        <w:tblW w:w="9809" w:type="dxa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7"/>
        <w:gridCol w:w="992"/>
        <w:gridCol w:w="1148"/>
        <w:gridCol w:w="1546"/>
        <w:gridCol w:w="1559"/>
        <w:gridCol w:w="1559"/>
        <w:gridCol w:w="1700"/>
        <w:gridCol w:w="568"/>
      </w:tblGrid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122" w:hRule="atLeast"/>
        </w:trPr>
        <w:tc>
          <w:tcPr>
            <w:tcW w:w="9809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500" w:lineRule="exact"/>
              <w:ind w:firstLine="320" w:firstLineChars="100"/>
              <w:jc w:val="left"/>
              <w:rPr>
                <w:rFonts w:hint="default" w:ascii="Times New Roman" w:hAnsi="Times New Roman" w:eastAsia="方正小标宋简体" w:cs="Times New Roman"/>
                <w:bCs/>
                <w:color w:val="000000" w:themeColor="text1"/>
                <w:kern w:val="0"/>
                <w:sz w:val="32"/>
                <w:szCs w:val="32"/>
              </w:rPr>
            </w:pPr>
          </w:p>
          <w:p>
            <w:pPr>
              <w:widowControl/>
              <w:spacing w:line="500" w:lineRule="exact"/>
              <w:ind w:firstLine="320" w:firstLineChars="100"/>
              <w:jc w:val="left"/>
              <w:rPr>
                <w:rFonts w:hint="default" w:ascii="Times New Roman" w:hAnsi="Times New Roman" w:eastAsia="黑体" w:cs="Times New Roman"/>
                <w:bCs/>
                <w:color w:val="000000" w:themeColor="text1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kern w:val="0"/>
                <w:sz w:val="32"/>
                <w:szCs w:val="32"/>
              </w:rPr>
              <w:t>附件</w:t>
            </w:r>
            <w:r>
              <w:rPr>
                <w:rFonts w:hint="default" w:ascii="Times New Roman" w:hAnsi="Times New Roman" w:eastAsia="黑体" w:cs="Times New Roman"/>
                <w:bCs/>
                <w:color w:val="000000" w:themeColor="text1"/>
                <w:kern w:val="0"/>
                <w:sz w:val="32"/>
                <w:szCs w:val="32"/>
                <w:lang w:val="en-US" w:eastAsia="zh-CN"/>
              </w:rPr>
              <w:t>10</w:t>
            </w:r>
          </w:p>
          <w:p>
            <w:pPr>
              <w:widowControl/>
              <w:spacing w:line="500" w:lineRule="exact"/>
              <w:ind w:firstLine="320" w:firstLineChars="100"/>
              <w:jc w:val="left"/>
              <w:rPr>
                <w:rFonts w:hint="default" w:ascii="Times New Roman" w:hAnsi="Times New Roman" w:eastAsia="黑体" w:cs="Times New Roman"/>
                <w:bCs/>
                <w:color w:val="000000" w:themeColor="text1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Times New Roman" w:hAnsi="Times New Roman" w:eastAsia="方正小标宋简体" w:cs="Times New Roman"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方正小标宋简体" w:cs="Times New Roman"/>
                <w:bCs/>
                <w:color w:val="000000" w:themeColor="text1"/>
                <w:kern w:val="0"/>
                <w:sz w:val="32"/>
                <w:szCs w:val="32"/>
              </w:rPr>
              <w:t>中央厨房和集体用餐配送单位静态风险因素量化分值表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96" w:hRule="atLeast"/>
        </w:trPr>
        <w:tc>
          <w:tcPr>
            <w:tcW w:w="2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</w:rPr>
              <w:t>评分项（共40分）</w:t>
            </w:r>
          </w:p>
        </w:tc>
        <w:tc>
          <w:tcPr>
            <w:tcW w:w="636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</w:rPr>
              <w:t>参考分值</w:t>
            </w:r>
          </w:p>
        </w:tc>
        <w:tc>
          <w:tcPr>
            <w:tcW w:w="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业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规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(20分)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中央厨房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规模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配送门店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1家～5家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配送门店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6家～10家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配送门店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11家～20家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配送门店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21家及以上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10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15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1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特殊项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食品原料采购无固定供应商</w:t>
            </w:r>
          </w:p>
        </w:tc>
        <w:tc>
          <w:tcPr>
            <w:tcW w:w="3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为学校（含托幼机构）食堂、养老机构食堂、医疗机构食堂、建筑工地食堂配送食品的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57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集体用餐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配送单位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规模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（10分）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供餐人数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50人及以下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供餐人数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51人～100人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供餐人数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101人～300人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供餐人数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301人及以上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7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10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01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特殊项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食品原料采购无固定供应商</w:t>
            </w:r>
          </w:p>
        </w:tc>
        <w:tc>
          <w:tcPr>
            <w:tcW w:w="3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为学校（含托幼机构）、养老机构、医疗机构、建筑工地提供集体用餐配送的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65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3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2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4</w:t>
            </w: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4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配送时间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30分钟以内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30分钟～45分钟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45分钟以上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0" w:hRule="atLeast"/>
        </w:trPr>
        <w:tc>
          <w:tcPr>
            <w:tcW w:w="7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3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5</w:t>
            </w: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制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食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类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别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(20分)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冷食类食品制售中的冷加工糕点制售、冷荤类食品制售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（4分）</w:t>
            </w: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单品数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（2分）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11～40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41及以上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2分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（2分）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11～20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2分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生食类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食品制售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（4分）</w:t>
            </w:r>
          </w:p>
        </w:tc>
        <w:tc>
          <w:tcPr>
            <w:tcW w:w="11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单品数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（4分）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11～20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7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3分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4分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冷食类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食品制售中除冷加工糕点制售、冷荤类食品制售（3分）</w:t>
            </w:r>
          </w:p>
        </w:tc>
        <w:tc>
          <w:tcPr>
            <w:tcW w:w="11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单品数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21～40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41及以上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0.5分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01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1～10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11～20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2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0.5分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热食类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食品制售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11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单品数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1～30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31～200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201及以上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0.5分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1～20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21～80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81及以上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0.5分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自制饮品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制售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6～20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0.5分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（1.5分）</w:t>
            </w: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1～5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6～20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20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0.5分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5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49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半成品类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制售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单品数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（1.5分）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6～20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5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0.5分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5" w:hRule="atLeast"/>
        </w:trPr>
        <w:tc>
          <w:tcPr>
            <w:tcW w:w="73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含易腐原料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（1.5分）</w:t>
            </w: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数量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1～5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6～20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21及以上</w:t>
            </w:r>
          </w:p>
        </w:tc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69" w:hRule="atLeast"/>
        </w:trPr>
        <w:tc>
          <w:tcPr>
            <w:tcW w:w="7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1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分值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0.5分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1分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1.5分</w:t>
            </w:r>
          </w:p>
        </w:tc>
        <w:tc>
          <w:tcPr>
            <w:tcW w:w="56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49" w:hRule="atLeast"/>
        </w:trPr>
        <w:tc>
          <w:tcPr>
            <w:tcW w:w="2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得分总和</w:t>
            </w:r>
          </w:p>
        </w:tc>
        <w:tc>
          <w:tcPr>
            <w:tcW w:w="6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249" w:hRule="atLeast"/>
        </w:trPr>
        <w:tc>
          <w:tcPr>
            <w:tcW w:w="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360" w:hanging="420" w:hangingChars="20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注</w:t>
            </w:r>
          </w:p>
        </w:tc>
        <w:tc>
          <w:tcPr>
            <w:tcW w:w="90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7" w:hanging="157" w:hangingChars="75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1.各项评分总和为40分。因实际情况存在缺项情形的，该项评分为“0”。特殊项得分为各特殊项分值累加。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7" w:hanging="157" w:hangingChars="75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.数量单位为“个”。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7" w:hanging="157" w:hangingChars="75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.单品数是指最新菜单中所展示的独立销售的食品品种数,不含制作过程中各类食品原料和半成品数量。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7" w:hanging="157" w:hangingChars="75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具有热食、冷食、生食等多种情形,难以明确归类的食品，可按食品安全风险等级最高的情形进行归类。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57" w:hanging="157" w:hangingChars="75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</w:rPr>
              <w:t>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A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k3Njg4N2YyODg0ZjlkODBjZjZiNjkzNzM0ODAwMGYifQ=="/>
  </w:docVars>
  <w:rsids>
    <w:rsidRoot w:val="0010017B"/>
    <w:rsid w:val="0001197F"/>
    <w:rsid w:val="00035797"/>
    <w:rsid w:val="00055714"/>
    <w:rsid w:val="000A466E"/>
    <w:rsid w:val="000C03F9"/>
    <w:rsid w:val="000C2F8B"/>
    <w:rsid w:val="000D2429"/>
    <w:rsid w:val="0010017B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66E00"/>
    <w:rsid w:val="00271697"/>
    <w:rsid w:val="002800B6"/>
    <w:rsid w:val="0028099E"/>
    <w:rsid w:val="002D03AB"/>
    <w:rsid w:val="002D37DF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90661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1DB2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92A20"/>
    <w:rsid w:val="00FB5EA5"/>
    <w:rsid w:val="00FE74A0"/>
    <w:rsid w:val="00FE7648"/>
    <w:rsid w:val="00FF7236"/>
    <w:rsid w:val="02D60402"/>
    <w:rsid w:val="0DCD296A"/>
    <w:rsid w:val="3CDBF53E"/>
    <w:rsid w:val="69F3E6E2"/>
    <w:rsid w:val="7DE4A103"/>
    <w:rsid w:val="7FDF0034"/>
    <w:rsid w:val="9F33A004"/>
    <w:rsid w:val="D5BD7E60"/>
    <w:rsid w:val="DA779A10"/>
    <w:rsid w:val="DD3E3654"/>
    <w:rsid w:val="FBB593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1317</Characters>
  <Lines>10</Lines>
  <Paragraphs>3</Paragraphs>
  <TotalTime>13</TotalTime>
  <ScaleCrop>false</ScaleCrop>
  <LinksUpToDate>false</LinksUpToDate>
  <CharactersWithSpaces>1545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2020-04-03T07:13:00Z</dcterms:created>
  <dc:creator>霍廉</dc:creator>
  <cp:lastModifiedBy>scw</cp:lastModifiedBy>
  <dcterms:modified xsi:type="dcterms:W3CDTF">2024-12-23T17:38:21Z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5F88E9CB6F954FD7BB640138502DDBCF_12</vt:lpwstr>
  </property>
</Properties>
</file>