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751"/>
        <w:tblW w:w="9809" w:type="dxa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6"/>
        <w:gridCol w:w="1135"/>
        <w:gridCol w:w="1134"/>
        <w:gridCol w:w="1418"/>
        <w:gridCol w:w="1560"/>
        <w:gridCol w:w="1700"/>
        <w:gridCol w:w="1559"/>
        <w:gridCol w:w="567"/>
      </w:tblGrid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22" w:hRule="atLeast"/>
        </w:trPr>
        <w:tc>
          <w:tcPr>
            <w:tcW w:w="9809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470" w:firstLineChars="147"/>
              <w:jc w:val="left"/>
              <w:rPr>
                <w:rFonts w:hint="default" w:ascii="Times New Roman" w:hAnsi="Times New Roman" w:eastAsia="方正小标宋简体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500" w:lineRule="exact"/>
              <w:ind w:firstLine="470" w:firstLineChars="147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附件</w:t>
            </w:r>
            <w:r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  <w:p>
            <w:pPr>
              <w:widowControl/>
              <w:spacing w:line="500" w:lineRule="exact"/>
              <w:ind w:firstLine="470" w:firstLineChars="147"/>
              <w:jc w:val="left"/>
              <w:rPr>
                <w:rFonts w:hint="default" w:ascii="Times New Roman" w:hAnsi="Times New Roman" w:eastAsia="黑体" w:cs="Times New Roman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集中用餐</w:t>
            </w:r>
            <w:r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单位食堂</w:t>
            </w:r>
            <w:r>
              <w:rPr>
                <w:rFonts w:hint="eastAsia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（学校食堂）</w:t>
            </w:r>
            <w:r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静态风险因素量化分值表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50" w:hRule="atLeast"/>
        </w:trPr>
        <w:tc>
          <w:tcPr>
            <w:tcW w:w="3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59" w:hRule="atLeast"/>
        </w:trPr>
        <w:tc>
          <w:tcPr>
            <w:tcW w:w="18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集中用餐单位食堂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(15分)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供餐人数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50人及以下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供餐人数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51人～300人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供餐人数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301人～500人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供餐人数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501人及以上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15" w:hRule="atLeast"/>
        </w:trPr>
        <w:tc>
          <w:tcPr>
            <w:tcW w:w="1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70" w:hRule="atLeast"/>
        </w:trPr>
        <w:tc>
          <w:tcPr>
            <w:tcW w:w="1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特殊项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食品原料采购无固定供应商</w:t>
            </w:r>
          </w:p>
        </w:tc>
        <w:tc>
          <w:tcPr>
            <w:tcW w:w="3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学校（含托幼机构）食堂、养老机构食堂、医疗机构食堂、建筑工地食堂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0" w:hRule="atLeast"/>
        </w:trPr>
        <w:tc>
          <w:tcPr>
            <w:tcW w:w="18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(25分)</w:t>
            </w: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（除冷加工糕点制售）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（6分）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6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（6分）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（6分）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5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糕点类食品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制售，包括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裱花蛋糕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1～20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21～40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热食类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（除热加工糕点制售）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31～200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1～20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21～80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自制饮品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1～5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6～20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1～5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6～20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0" w:hRule="atLeast"/>
        </w:trPr>
        <w:tc>
          <w:tcPr>
            <w:tcW w:w="7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40" w:hRule="atLeast"/>
        </w:trPr>
        <w:tc>
          <w:tcPr>
            <w:tcW w:w="3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得分总和　</w:t>
            </w:r>
          </w:p>
        </w:tc>
        <w:tc>
          <w:tcPr>
            <w:tcW w:w="68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95" w:hRule="atLeast"/>
        </w:trPr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10" w:hanging="210" w:hangingChars="10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90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1.各项评分总和为40分。因实际情况存在缺项情形的，该项评分为“0”。特殊项得分为各特殊项分值累加。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.数量单位为“个”。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.单品数是指最新菜单中所展示的独立销售的食品品种数,不含制作过程中各类食品原料和半成品数量。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.具有热食、冷食、生食等多种情形,难以明确归类的食品，可按食品安全风险等级最高的情形进行归类。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8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D59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D6D59"/>
    <w:rsid w:val="007E4CF9"/>
    <w:rsid w:val="00862ABC"/>
    <w:rsid w:val="00873F20"/>
    <w:rsid w:val="00893BF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B7D52"/>
    <w:rsid w:val="00F125BA"/>
    <w:rsid w:val="00F44B71"/>
    <w:rsid w:val="00F5557F"/>
    <w:rsid w:val="00FB5EA5"/>
    <w:rsid w:val="00FE74A0"/>
    <w:rsid w:val="00FE7648"/>
    <w:rsid w:val="00FF7236"/>
    <w:rsid w:val="5F4D4E91"/>
    <w:rsid w:val="6F7FD65F"/>
    <w:rsid w:val="6FFD8256"/>
    <w:rsid w:val="73DF4F8F"/>
    <w:rsid w:val="7FF5B0DA"/>
    <w:rsid w:val="B70BA53C"/>
    <w:rsid w:val="F63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559</Words>
  <Characters>565</Characters>
  <Lines>26</Lines>
  <Paragraphs>17</Paragraphs>
  <TotalTime>6</TotalTime>
  <ScaleCrop>false</ScaleCrop>
  <LinksUpToDate>false</LinksUpToDate>
  <CharactersWithSpaces>1107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2020-04-02T15:11:00Z</dcterms:created>
  <dc:creator>霍廉</dc:creator>
  <cp:lastModifiedBy>scw</cp:lastModifiedBy>
  <dcterms:modified xsi:type="dcterms:W3CDTF">2024-12-23T17:39:00Z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