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简体" w:cs="方正仿宋简体"/>
          <w:color w:val="000000"/>
          <w:sz w:val="32"/>
          <w:szCs w:val="32"/>
        </w:rPr>
      </w:pPr>
      <w:r>
        <w:rPr>
          <w:rFonts w:hint="eastAsia" w:eastAsia="方正小标宋简体" w:cs="方正仿宋简体"/>
          <w:color w:val="000000"/>
          <w:sz w:val="32"/>
          <w:szCs w:val="32"/>
          <w:lang w:eastAsia="zh-CN"/>
        </w:rPr>
        <w:t>天津市西青区</w:t>
      </w:r>
      <w:r>
        <w:rPr>
          <w:rFonts w:hint="eastAsia" w:eastAsia="方正小标宋简体" w:cs="方正仿宋简体"/>
          <w:color w:val="000000"/>
          <w:sz w:val="32"/>
          <w:szCs w:val="32"/>
        </w:rPr>
        <w:t>清洗剂产品质量监督抽查实施细则</w:t>
      </w:r>
    </w:p>
    <w:p>
      <w:pPr>
        <w:pStyle w:val="2"/>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pPr>
      <w:r>
        <w:t>随机数一般可使用随机数表等方法产生。</w:t>
      </w:r>
    </w:p>
    <w:p>
      <w:pPr>
        <w:snapToGrid w:val="0"/>
        <w:spacing w:line="440" w:lineRule="exact"/>
        <w:ind w:firstLine="420" w:firstLineChars="200"/>
        <w:rPr>
          <w:szCs w:val="21"/>
        </w:rPr>
      </w:pPr>
      <w:r>
        <w:t>每批次产品抽取样品2桶</w:t>
      </w:r>
      <w:r>
        <w:rPr>
          <w:rFonts w:hint="eastAsia"/>
        </w:rPr>
        <w:t>（每桶不少于2</w:t>
      </w:r>
      <w:r>
        <w:t>升），1桶作为检验样品，1桶作为备用样品。</w:t>
      </w:r>
    </w:p>
    <w:p>
      <w:pPr>
        <w:snapToGrid w:val="0"/>
        <w:spacing w:line="440" w:lineRule="exact"/>
        <w:rPr>
          <w:rFonts w:eastAsia="黑体"/>
          <w:color w:val="000000"/>
          <w:szCs w:val="21"/>
        </w:rPr>
      </w:pPr>
      <w:bookmarkStart w:id="0" w:name="_GoBack"/>
      <w:bookmarkEnd w:id="0"/>
      <w:r>
        <w:rPr>
          <w:rFonts w:eastAsia="黑体"/>
          <w:color w:val="000000"/>
          <w:szCs w:val="21"/>
        </w:rPr>
        <w:t>2 检验依据</w:t>
      </w:r>
    </w:p>
    <w:p>
      <w:pPr>
        <w:snapToGrid w:val="0"/>
        <w:spacing w:line="440" w:lineRule="exact"/>
        <w:rPr>
          <w:rFonts w:eastAsia="黑体"/>
          <w:color w:val="000000"/>
          <w:szCs w:val="21"/>
        </w:rPr>
      </w:pPr>
    </w:p>
    <w:tbl>
      <w:tblPr>
        <w:tblStyle w:val="7"/>
        <w:tblW w:w="9060" w:type="dxa"/>
        <w:tblInd w:w="113" w:type="dxa"/>
        <w:tblLayout w:type="autofit"/>
        <w:tblCellMar>
          <w:top w:w="15" w:type="dxa"/>
          <w:left w:w="108" w:type="dxa"/>
          <w:bottom w:w="0" w:type="dxa"/>
          <w:right w:w="108" w:type="dxa"/>
        </w:tblCellMar>
      </w:tblPr>
      <w:tblGrid>
        <w:gridCol w:w="1035"/>
        <w:gridCol w:w="2362"/>
        <w:gridCol w:w="2835"/>
        <w:gridCol w:w="2606"/>
        <w:gridCol w:w="222"/>
      </w:tblGrid>
      <w:tr>
        <w:tblPrEx>
          <w:tblCellMar>
            <w:top w:w="15" w:type="dxa"/>
            <w:left w:w="108" w:type="dxa"/>
            <w:bottom w:w="0" w:type="dxa"/>
            <w:right w:w="108" w:type="dxa"/>
          </w:tblCellMar>
        </w:tblPrEx>
        <w:trPr>
          <w:gridAfter w:val="1"/>
          <w:wAfter w:w="222" w:type="dxa"/>
          <w:trHeight w:val="280" w:hRule="atLeast"/>
        </w:trPr>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440" w:lineRule="exact"/>
              <w:jc w:val="left"/>
              <w:rPr>
                <w:color w:val="000000"/>
                <w:szCs w:val="21"/>
              </w:rPr>
            </w:pPr>
            <w:r>
              <w:rPr>
                <w:rFonts w:hint="eastAsia"/>
                <w:color w:val="000000"/>
                <w:szCs w:val="21"/>
              </w:rPr>
              <w:t>序号</w:t>
            </w:r>
          </w:p>
        </w:tc>
        <w:tc>
          <w:tcPr>
            <w:tcW w:w="2362" w:type="dxa"/>
            <w:tcBorders>
              <w:top w:val="single" w:color="auto" w:sz="4" w:space="0"/>
              <w:left w:val="nil"/>
              <w:bottom w:val="single" w:color="auto" w:sz="4" w:space="0"/>
              <w:right w:val="single" w:color="auto" w:sz="4" w:space="0"/>
            </w:tcBorders>
            <w:shd w:val="clear" w:color="auto" w:fill="auto"/>
            <w:vAlign w:val="center"/>
          </w:tcPr>
          <w:p>
            <w:pPr>
              <w:snapToGrid w:val="0"/>
              <w:spacing w:line="440" w:lineRule="exact"/>
              <w:ind w:firstLine="210" w:firstLineChars="100"/>
              <w:jc w:val="left"/>
              <w:rPr>
                <w:color w:val="000000"/>
                <w:szCs w:val="21"/>
              </w:rPr>
            </w:pPr>
            <w:r>
              <w:rPr>
                <w:rFonts w:hint="eastAsia"/>
                <w:color w:val="000000"/>
                <w:szCs w:val="21"/>
              </w:rPr>
              <w:t>类型</w:t>
            </w:r>
          </w:p>
        </w:tc>
        <w:tc>
          <w:tcPr>
            <w:tcW w:w="2835" w:type="dxa"/>
            <w:tcBorders>
              <w:top w:val="single" w:color="auto" w:sz="4" w:space="0"/>
              <w:left w:val="nil"/>
              <w:bottom w:val="single" w:color="auto" w:sz="4" w:space="0"/>
              <w:right w:val="single" w:color="auto" w:sz="4" w:space="0"/>
            </w:tcBorders>
            <w:shd w:val="clear" w:color="auto" w:fill="auto"/>
            <w:vAlign w:val="center"/>
          </w:tcPr>
          <w:p>
            <w:pPr>
              <w:snapToGrid w:val="0"/>
              <w:spacing w:line="440" w:lineRule="exact"/>
              <w:ind w:firstLine="1050" w:firstLineChars="500"/>
              <w:jc w:val="left"/>
              <w:rPr>
                <w:color w:val="000000"/>
                <w:szCs w:val="21"/>
              </w:rPr>
            </w:pPr>
            <w:r>
              <w:rPr>
                <w:rFonts w:hint="eastAsia"/>
                <w:color w:val="000000"/>
                <w:szCs w:val="21"/>
              </w:rPr>
              <w:t>检验项目</w:t>
            </w:r>
          </w:p>
        </w:tc>
        <w:tc>
          <w:tcPr>
            <w:tcW w:w="2606" w:type="dxa"/>
            <w:tcBorders>
              <w:top w:val="single" w:color="auto" w:sz="4" w:space="0"/>
              <w:left w:val="nil"/>
              <w:bottom w:val="single" w:color="auto" w:sz="4" w:space="0"/>
              <w:right w:val="single" w:color="auto" w:sz="4" w:space="0"/>
            </w:tcBorders>
            <w:shd w:val="clear" w:color="auto" w:fill="auto"/>
            <w:vAlign w:val="center"/>
          </w:tcPr>
          <w:p>
            <w:pPr>
              <w:snapToGrid w:val="0"/>
              <w:spacing w:line="440" w:lineRule="exact"/>
              <w:ind w:firstLine="630" w:firstLineChars="300"/>
              <w:jc w:val="left"/>
              <w:rPr>
                <w:color w:val="000000"/>
                <w:szCs w:val="21"/>
              </w:rPr>
            </w:pPr>
            <w:r>
              <w:rPr>
                <w:rFonts w:hint="eastAsia"/>
                <w:color w:val="000000"/>
                <w:szCs w:val="21"/>
              </w:rPr>
              <w:t>检验方法</w:t>
            </w:r>
          </w:p>
        </w:tc>
      </w:tr>
      <w:tr>
        <w:tblPrEx>
          <w:tblCellMar>
            <w:top w:w="15" w:type="dxa"/>
            <w:left w:w="108" w:type="dxa"/>
            <w:bottom w:w="0" w:type="dxa"/>
            <w:right w:w="108" w:type="dxa"/>
          </w:tblCellMar>
        </w:tblPrEx>
        <w:trPr>
          <w:gridAfter w:val="1"/>
          <w:wAfter w:w="222" w:type="dxa"/>
          <w:trHeight w:val="440" w:hRule="atLeast"/>
        </w:trPr>
        <w:tc>
          <w:tcPr>
            <w:tcW w:w="1035" w:type="dxa"/>
            <w:vMerge w:val="restart"/>
            <w:tcBorders>
              <w:top w:val="nil"/>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r>
              <w:rPr>
                <w:rFonts w:hint="eastAsia"/>
                <w:color w:val="000000"/>
                <w:szCs w:val="21"/>
              </w:rPr>
              <w:t>1</w:t>
            </w:r>
          </w:p>
        </w:tc>
        <w:tc>
          <w:tcPr>
            <w:tcW w:w="2362" w:type="dxa"/>
            <w:vMerge w:val="restart"/>
            <w:tcBorders>
              <w:top w:val="nil"/>
              <w:left w:val="single" w:color="auto" w:sz="4" w:space="0"/>
              <w:bottom w:val="single" w:color="auto" w:sz="4" w:space="0"/>
              <w:right w:val="single" w:color="auto" w:sz="4" w:space="0"/>
            </w:tcBorders>
            <w:shd w:val="clear" w:color="auto" w:fill="auto"/>
            <w:vAlign w:val="center"/>
          </w:tcPr>
          <w:p>
            <w:pPr>
              <w:snapToGrid w:val="0"/>
              <w:spacing w:line="440" w:lineRule="exact"/>
              <w:rPr>
                <w:color w:val="000000"/>
                <w:szCs w:val="21"/>
              </w:rPr>
            </w:pPr>
            <w:r>
              <w:rPr>
                <w:rFonts w:hint="eastAsia"/>
                <w:color w:val="000000"/>
                <w:szCs w:val="21"/>
              </w:rPr>
              <w:t>水基型/半水基型（包括低VOC含量）清洗剂</w:t>
            </w:r>
          </w:p>
        </w:tc>
        <w:tc>
          <w:tcPr>
            <w:tcW w:w="2835" w:type="dxa"/>
            <w:vMerge w:val="restart"/>
            <w:tcBorders>
              <w:top w:val="nil"/>
              <w:left w:val="single" w:color="auto" w:sz="4" w:space="0"/>
              <w:right w:val="single" w:color="auto" w:sz="4" w:space="0"/>
            </w:tcBorders>
            <w:shd w:val="clear" w:color="auto" w:fill="auto"/>
            <w:vAlign w:val="center"/>
          </w:tcPr>
          <w:p>
            <w:pPr>
              <w:snapToGrid w:val="0"/>
              <w:spacing w:line="440" w:lineRule="exact"/>
              <w:rPr>
                <w:color w:val="000000"/>
                <w:szCs w:val="21"/>
              </w:rPr>
            </w:pPr>
            <w:r>
              <w:rPr>
                <w:rFonts w:hint="eastAsia"/>
                <w:color w:val="000000"/>
                <w:szCs w:val="21"/>
              </w:rPr>
              <w:t>挥发性有机化合物（voc）</w:t>
            </w:r>
          </w:p>
        </w:tc>
        <w:tc>
          <w:tcPr>
            <w:tcW w:w="2606" w:type="dxa"/>
            <w:vMerge w:val="restart"/>
            <w:tcBorders>
              <w:top w:val="nil"/>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r>
              <w:rPr>
                <w:rFonts w:hint="eastAsia"/>
                <w:color w:val="000000"/>
                <w:szCs w:val="21"/>
              </w:rPr>
              <w:t>GB 38508-2020</w:t>
            </w: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606"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22"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0"/>
                <w:szCs w:val="20"/>
              </w:rPr>
            </w:pPr>
          </w:p>
        </w:tc>
      </w:tr>
      <w:tr>
        <w:tblPrEx>
          <w:tblCellMar>
            <w:top w:w="15" w:type="dxa"/>
            <w:left w:w="108" w:type="dxa"/>
            <w:bottom w:w="0" w:type="dxa"/>
            <w:right w:w="108" w:type="dxa"/>
          </w:tblCellMar>
        </w:tblPrEx>
        <w:trPr>
          <w:trHeight w:val="760" w:hRule="atLeast"/>
        </w:trPr>
        <w:tc>
          <w:tcPr>
            <w:tcW w:w="1035"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shd w:val="clear" w:color="auto" w:fill="auto"/>
            <w:vAlign w:val="center"/>
          </w:tcPr>
          <w:p>
            <w:pPr>
              <w:snapToGrid w:val="0"/>
              <w:spacing w:line="440" w:lineRule="exact"/>
              <w:rPr>
                <w:color w:val="000000"/>
                <w:szCs w:val="21"/>
              </w:rPr>
            </w:pPr>
          </w:p>
        </w:tc>
        <w:tc>
          <w:tcPr>
            <w:tcW w:w="2606"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22" w:type="dxa"/>
            <w:vAlign w:val="center"/>
          </w:tcPr>
          <w:p>
            <w:pPr>
              <w:widowControl/>
              <w:jc w:val="left"/>
              <w:rPr>
                <w:rFonts w:eastAsia="Times New Roman"/>
                <w:kern w:val="0"/>
                <w:sz w:val="20"/>
                <w:szCs w:val="20"/>
              </w:rPr>
            </w:pP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shd w:val="clear" w:color="auto" w:fill="auto"/>
            <w:vAlign w:val="center"/>
          </w:tcPr>
          <w:p>
            <w:pPr>
              <w:snapToGrid w:val="0"/>
              <w:spacing w:line="440" w:lineRule="exact"/>
              <w:rPr>
                <w:color w:val="000000"/>
                <w:szCs w:val="21"/>
              </w:rPr>
            </w:pPr>
          </w:p>
        </w:tc>
        <w:tc>
          <w:tcPr>
            <w:tcW w:w="2606"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22" w:type="dxa"/>
            <w:vAlign w:val="center"/>
          </w:tcPr>
          <w:p>
            <w:pPr>
              <w:widowControl/>
              <w:jc w:val="left"/>
              <w:rPr>
                <w:rFonts w:eastAsia="Times New Roman"/>
                <w:kern w:val="0"/>
                <w:sz w:val="20"/>
                <w:szCs w:val="20"/>
              </w:rPr>
            </w:pP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606"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22"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0"/>
                <w:szCs w:val="20"/>
              </w:rPr>
            </w:pP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shd w:val="clear" w:color="auto" w:fill="auto"/>
            <w:vAlign w:val="center"/>
          </w:tcPr>
          <w:p>
            <w:pPr>
              <w:snapToGrid w:val="0"/>
              <w:spacing w:line="440" w:lineRule="exact"/>
              <w:rPr>
                <w:color w:val="000000"/>
                <w:szCs w:val="21"/>
              </w:rPr>
            </w:pPr>
          </w:p>
        </w:tc>
        <w:tc>
          <w:tcPr>
            <w:tcW w:w="2606"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22" w:type="dxa"/>
            <w:vAlign w:val="center"/>
          </w:tcPr>
          <w:p>
            <w:pPr>
              <w:widowControl/>
              <w:jc w:val="left"/>
              <w:rPr>
                <w:rFonts w:eastAsia="Times New Roman"/>
                <w:kern w:val="0"/>
                <w:sz w:val="20"/>
                <w:szCs w:val="20"/>
              </w:rPr>
            </w:pPr>
          </w:p>
        </w:tc>
      </w:tr>
      <w:tr>
        <w:tblPrEx>
          <w:tblCellMar>
            <w:top w:w="15" w:type="dxa"/>
            <w:left w:w="108" w:type="dxa"/>
            <w:bottom w:w="0" w:type="dxa"/>
            <w:right w:w="108" w:type="dxa"/>
          </w:tblCellMar>
        </w:tblPrEx>
        <w:trPr>
          <w:trHeight w:val="300" w:hRule="atLeast"/>
        </w:trPr>
        <w:tc>
          <w:tcPr>
            <w:tcW w:w="10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606"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22"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0"/>
                <w:szCs w:val="20"/>
              </w:rPr>
            </w:pPr>
          </w:p>
        </w:tc>
      </w:tr>
      <w:tr>
        <w:tblPrEx>
          <w:tblCellMar>
            <w:top w:w="15" w:type="dxa"/>
            <w:left w:w="108" w:type="dxa"/>
            <w:bottom w:w="0" w:type="dxa"/>
            <w:right w:w="108" w:type="dxa"/>
          </w:tblCellMar>
        </w:tblPrEx>
        <w:trPr>
          <w:trHeight w:val="35" w:hRule="atLeast"/>
        </w:trPr>
        <w:tc>
          <w:tcPr>
            <w:tcW w:w="1035" w:type="dxa"/>
            <w:vMerge w:val="continue"/>
            <w:tcBorders>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606"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22" w:type="dxa"/>
            <w:tcBorders>
              <w:top w:val="nil"/>
              <w:left w:val="nil"/>
              <w:bottom w:val="nil"/>
              <w:right w:val="nil"/>
            </w:tcBorders>
            <w:shd w:val="clear" w:color="auto" w:fill="auto"/>
            <w:noWrap/>
            <w:vAlign w:val="center"/>
          </w:tcPr>
          <w:p>
            <w:pPr>
              <w:widowControl/>
              <w:jc w:val="left"/>
              <w:rPr>
                <w:rFonts w:eastAsia="Times New Roman"/>
                <w:kern w:val="0"/>
                <w:sz w:val="20"/>
                <w:szCs w:val="20"/>
              </w:rPr>
            </w:pPr>
          </w:p>
        </w:tc>
      </w:tr>
      <w:tr>
        <w:tblPrEx>
          <w:tblCellMar>
            <w:top w:w="15" w:type="dxa"/>
            <w:left w:w="108" w:type="dxa"/>
            <w:bottom w:w="0" w:type="dxa"/>
            <w:right w:w="108" w:type="dxa"/>
          </w:tblCellMar>
        </w:tblPrEx>
        <w:trPr>
          <w:trHeight w:val="280" w:hRule="atLeast"/>
        </w:trPr>
        <w:tc>
          <w:tcPr>
            <w:tcW w:w="1035" w:type="dxa"/>
            <w:vMerge w:val="restart"/>
            <w:tcBorders>
              <w:top w:val="nil"/>
              <w:left w:val="single" w:color="auto" w:sz="4" w:space="0"/>
              <w:right w:val="single" w:color="auto" w:sz="4" w:space="0"/>
            </w:tcBorders>
            <w:shd w:val="clear" w:color="auto" w:fill="auto"/>
            <w:noWrap/>
            <w:vAlign w:val="center"/>
          </w:tcPr>
          <w:p>
            <w:pPr>
              <w:snapToGrid w:val="0"/>
              <w:spacing w:line="440" w:lineRule="exact"/>
              <w:ind w:firstLine="420" w:firstLineChars="200"/>
              <w:rPr>
                <w:color w:val="000000"/>
                <w:szCs w:val="21"/>
              </w:rPr>
            </w:pPr>
            <w:r>
              <w:rPr>
                <w:rFonts w:hint="eastAsia"/>
                <w:color w:val="000000"/>
                <w:szCs w:val="21"/>
              </w:rPr>
              <w:t>2</w:t>
            </w:r>
          </w:p>
        </w:tc>
        <w:tc>
          <w:tcPr>
            <w:tcW w:w="2362" w:type="dxa"/>
            <w:vMerge w:val="restart"/>
            <w:tcBorders>
              <w:top w:val="nil"/>
              <w:left w:val="single" w:color="auto" w:sz="4" w:space="0"/>
              <w:bottom w:val="single" w:color="000000" w:sz="4" w:space="0"/>
              <w:right w:val="single" w:color="auto" w:sz="4" w:space="0"/>
            </w:tcBorders>
            <w:shd w:val="clear" w:color="auto" w:fill="auto"/>
            <w:noWrap/>
            <w:vAlign w:val="center"/>
          </w:tcPr>
          <w:p>
            <w:pPr>
              <w:snapToGrid w:val="0"/>
              <w:spacing w:line="440" w:lineRule="exact"/>
              <w:rPr>
                <w:color w:val="000000"/>
                <w:szCs w:val="21"/>
              </w:rPr>
            </w:pPr>
            <w:r>
              <w:rPr>
                <w:rFonts w:hint="eastAsia"/>
                <w:color w:val="000000"/>
                <w:szCs w:val="21"/>
              </w:rPr>
              <w:t>有机溶剂清洗剂</w:t>
            </w:r>
          </w:p>
        </w:tc>
        <w:tc>
          <w:tcPr>
            <w:tcW w:w="2835" w:type="dxa"/>
            <w:vMerge w:val="continue"/>
            <w:tcBorders>
              <w:left w:val="single" w:color="auto" w:sz="4" w:space="0"/>
              <w:right w:val="single" w:color="auto" w:sz="4" w:space="0"/>
            </w:tcBorders>
            <w:shd w:val="clear" w:color="auto" w:fill="auto"/>
            <w:vAlign w:val="center"/>
          </w:tcPr>
          <w:p>
            <w:pPr>
              <w:snapToGrid w:val="0"/>
              <w:spacing w:line="440" w:lineRule="exact"/>
              <w:rPr>
                <w:color w:val="000000"/>
                <w:szCs w:val="21"/>
              </w:rPr>
            </w:pPr>
          </w:p>
        </w:tc>
        <w:tc>
          <w:tcPr>
            <w:tcW w:w="2606"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22" w:type="dxa"/>
            <w:vAlign w:val="center"/>
          </w:tcPr>
          <w:p>
            <w:pPr>
              <w:widowControl/>
              <w:jc w:val="left"/>
              <w:rPr>
                <w:rFonts w:eastAsia="Times New Roman"/>
                <w:kern w:val="0"/>
                <w:sz w:val="20"/>
                <w:szCs w:val="20"/>
              </w:rPr>
            </w:pP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000000"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606"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22"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0"/>
                <w:szCs w:val="20"/>
              </w:rPr>
            </w:pP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right w:val="single" w:color="auto" w:sz="4" w:space="0"/>
            </w:tcBorders>
            <w:shd w:val="clear" w:color="auto" w:fill="auto"/>
            <w:noWrap/>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000000"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shd w:val="clear" w:color="auto" w:fill="auto"/>
            <w:vAlign w:val="center"/>
          </w:tcPr>
          <w:p>
            <w:pPr>
              <w:snapToGrid w:val="0"/>
              <w:spacing w:line="440" w:lineRule="exact"/>
              <w:rPr>
                <w:color w:val="000000"/>
                <w:szCs w:val="21"/>
              </w:rPr>
            </w:pPr>
          </w:p>
        </w:tc>
        <w:tc>
          <w:tcPr>
            <w:tcW w:w="2606"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22" w:type="dxa"/>
            <w:vAlign w:val="center"/>
          </w:tcPr>
          <w:p>
            <w:pPr>
              <w:widowControl/>
              <w:jc w:val="left"/>
              <w:rPr>
                <w:rFonts w:eastAsia="Times New Roman"/>
                <w:kern w:val="0"/>
                <w:sz w:val="20"/>
                <w:szCs w:val="20"/>
              </w:rPr>
            </w:pPr>
          </w:p>
        </w:tc>
      </w:tr>
      <w:tr>
        <w:tblPrEx>
          <w:tblCellMar>
            <w:top w:w="15" w:type="dxa"/>
            <w:left w:w="108" w:type="dxa"/>
            <w:bottom w:w="0" w:type="dxa"/>
            <w:right w:w="108" w:type="dxa"/>
          </w:tblCellMar>
        </w:tblPrEx>
        <w:trPr>
          <w:trHeight w:val="300" w:hRule="atLeast"/>
        </w:trPr>
        <w:tc>
          <w:tcPr>
            <w:tcW w:w="10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000000"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606" w:type="dxa"/>
            <w:vMerge w:val="continue"/>
            <w:tcBorders>
              <w:left w:val="single" w:color="auto" w:sz="4" w:space="0"/>
              <w:right w:val="single" w:color="auto" w:sz="4" w:space="0"/>
            </w:tcBorders>
            <w:vAlign w:val="center"/>
          </w:tcPr>
          <w:p>
            <w:pPr>
              <w:snapToGrid w:val="0"/>
              <w:spacing w:line="440" w:lineRule="exact"/>
              <w:ind w:firstLine="420" w:firstLineChars="200"/>
              <w:rPr>
                <w:color w:val="000000"/>
                <w:szCs w:val="21"/>
              </w:rPr>
            </w:pPr>
          </w:p>
        </w:tc>
        <w:tc>
          <w:tcPr>
            <w:tcW w:w="222"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0"/>
                <w:szCs w:val="20"/>
              </w:rPr>
            </w:pP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right w:val="single" w:color="auto" w:sz="4" w:space="0"/>
            </w:tcBorders>
            <w:shd w:val="clear" w:color="auto" w:fill="auto"/>
            <w:noWrap/>
            <w:vAlign w:val="center"/>
          </w:tcPr>
          <w:p>
            <w:pPr>
              <w:snapToGrid w:val="0"/>
              <w:spacing w:line="440" w:lineRule="exact"/>
              <w:ind w:firstLine="420" w:firstLineChars="200"/>
              <w:rPr>
                <w:color w:val="000000"/>
                <w:szCs w:val="21"/>
              </w:rPr>
            </w:pPr>
          </w:p>
        </w:tc>
        <w:tc>
          <w:tcPr>
            <w:tcW w:w="2362" w:type="dxa"/>
            <w:vMerge w:val="continue"/>
            <w:tcBorders>
              <w:top w:val="nil"/>
              <w:left w:val="single" w:color="auto" w:sz="4" w:space="0"/>
              <w:bottom w:val="single" w:color="000000" w:sz="4" w:space="0"/>
              <w:right w:val="single" w:color="auto" w:sz="4" w:space="0"/>
            </w:tcBorders>
            <w:vAlign w:val="center"/>
          </w:tcPr>
          <w:p>
            <w:pPr>
              <w:snapToGrid w:val="0"/>
              <w:spacing w:line="440" w:lineRule="exact"/>
              <w:ind w:firstLine="420" w:firstLineChars="200"/>
              <w:rPr>
                <w:color w:val="000000"/>
                <w:szCs w:val="21"/>
              </w:rPr>
            </w:pPr>
          </w:p>
        </w:tc>
        <w:tc>
          <w:tcPr>
            <w:tcW w:w="2835" w:type="dxa"/>
            <w:vMerge w:val="continue"/>
            <w:tcBorders>
              <w:left w:val="single" w:color="auto" w:sz="4" w:space="0"/>
              <w:right w:val="single" w:color="auto" w:sz="4" w:space="0"/>
            </w:tcBorders>
            <w:shd w:val="clear" w:color="auto" w:fill="auto"/>
            <w:vAlign w:val="center"/>
          </w:tcPr>
          <w:p>
            <w:pPr>
              <w:snapToGrid w:val="0"/>
              <w:spacing w:line="440" w:lineRule="exact"/>
              <w:rPr>
                <w:color w:val="000000"/>
                <w:szCs w:val="21"/>
              </w:rPr>
            </w:pPr>
          </w:p>
        </w:tc>
        <w:tc>
          <w:tcPr>
            <w:tcW w:w="2606" w:type="dxa"/>
            <w:vMerge w:val="continue"/>
            <w:tcBorders>
              <w:left w:val="single" w:color="auto" w:sz="4" w:space="0"/>
              <w:right w:val="single" w:color="auto" w:sz="4" w:space="0"/>
            </w:tcBorders>
            <w:shd w:val="clear" w:color="auto" w:fill="auto"/>
            <w:vAlign w:val="center"/>
          </w:tcPr>
          <w:p>
            <w:pPr>
              <w:snapToGrid w:val="0"/>
              <w:spacing w:line="440" w:lineRule="exact"/>
              <w:ind w:firstLine="420" w:firstLineChars="200"/>
              <w:rPr>
                <w:color w:val="000000"/>
                <w:szCs w:val="21"/>
              </w:rPr>
            </w:pPr>
          </w:p>
        </w:tc>
        <w:tc>
          <w:tcPr>
            <w:tcW w:w="222" w:type="dxa"/>
            <w:vAlign w:val="center"/>
          </w:tcPr>
          <w:p>
            <w:pPr>
              <w:widowControl/>
              <w:jc w:val="left"/>
              <w:rPr>
                <w:rFonts w:eastAsia="Times New Roman"/>
                <w:kern w:val="0"/>
                <w:sz w:val="20"/>
                <w:szCs w:val="20"/>
              </w:rPr>
            </w:pPr>
          </w:p>
        </w:tc>
      </w:tr>
      <w:tr>
        <w:tblPrEx>
          <w:tblCellMar>
            <w:top w:w="15" w:type="dxa"/>
            <w:left w:w="108" w:type="dxa"/>
            <w:bottom w:w="0" w:type="dxa"/>
            <w:right w:w="108" w:type="dxa"/>
          </w:tblCellMar>
        </w:tblPrEx>
        <w:trPr>
          <w:trHeight w:val="280" w:hRule="atLeast"/>
        </w:trPr>
        <w:tc>
          <w:tcPr>
            <w:tcW w:w="1035"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23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2835"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2606"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0"/>
                <w:szCs w:val="20"/>
              </w:rPr>
            </w:pPr>
          </w:p>
        </w:tc>
      </w:tr>
    </w:tbl>
    <w:p>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szCs w:val="21"/>
        </w:rPr>
      </w:pPr>
    </w:p>
    <w:p>
      <w:pPr>
        <w:spacing w:line="360" w:lineRule="auto"/>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color w:val="000000"/>
          <w:szCs w:val="21"/>
        </w:rPr>
      </w:pPr>
      <w:r>
        <w:rPr>
          <w:color w:val="000000"/>
          <w:szCs w:val="21"/>
        </w:rPr>
        <w:t>GB 38508-2020 6.3.3《清洗剂挥发性有机化合物含量限值》</w:t>
      </w:r>
      <w:r>
        <w:rPr>
          <w:rFonts w:hint="eastAsia"/>
          <w:color w:val="000000"/>
          <w:szCs w:val="21"/>
        </w:rPr>
        <w:t>挥发性</w:t>
      </w:r>
      <w:r>
        <w:rPr>
          <w:color w:val="000000"/>
          <w:szCs w:val="21"/>
        </w:rPr>
        <w:t>有机化合物</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r>
        <w:rPr>
          <w:rFonts w:hint="eastAsia"/>
          <w:color w:val="000000"/>
          <w:szCs w:val="21"/>
        </w:rPr>
        <w:t>。</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经检验，检验项目合格，判定为被抽查产品合格；</w:t>
      </w:r>
      <w:r>
        <w:rPr>
          <w:rFonts w:hint="eastAsia"/>
          <w:color w:val="000000"/>
          <w:szCs w:val="21"/>
        </w:rPr>
        <w:t>否则</w:t>
      </w:r>
      <w:r>
        <w:rPr>
          <w:color w:val="000000"/>
          <w:szCs w:val="21"/>
        </w:rPr>
        <w:t>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rPr>
          <w:color w:val="FF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YTViMGI0NGQyNGE1YzU1MTIxYjYyNTRlMTg0ZjcifQ=="/>
  </w:docVars>
  <w:rsids>
    <w:rsidRoot w:val="00172A27"/>
    <w:rsid w:val="00001D7E"/>
    <w:rsid w:val="00012EEB"/>
    <w:rsid w:val="00046118"/>
    <w:rsid w:val="00051A44"/>
    <w:rsid w:val="00051EB6"/>
    <w:rsid w:val="00052092"/>
    <w:rsid w:val="000770C5"/>
    <w:rsid w:val="00081CBD"/>
    <w:rsid w:val="000976DE"/>
    <w:rsid w:val="000B064F"/>
    <w:rsid w:val="000C27EF"/>
    <w:rsid w:val="000F2B3C"/>
    <w:rsid w:val="00104742"/>
    <w:rsid w:val="00172A27"/>
    <w:rsid w:val="001809DD"/>
    <w:rsid w:val="001A51E1"/>
    <w:rsid w:val="00202B8C"/>
    <w:rsid w:val="0021621A"/>
    <w:rsid w:val="00235DC4"/>
    <w:rsid w:val="00247E11"/>
    <w:rsid w:val="002501F8"/>
    <w:rsid w:val="00253624"/>
    <w:rsid w:val="002627EB"/>
    <w:rsid w:val="00275517"/>
    <w:rsid w:val="002770EC"/>
    <w:rsid w:val="002A25C4"/>
    <w:rsid w:val="002B2F08"/>
    <w:rsid w:val="002D7F8A"/>
    <w:rsid w:val="002E0D1D"/>
    <w:rsid w:val="002E3205"/>
    <w:rsid w:val="002E6F89"/>
    <w:rsid w:val="003203A3"/>
    <w:rsid w:val="003B65A7"/>
    <w:rsid w:val="003C388C"/>
    <w:rsid w:val="003D3682"/>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8415F"/>
    <w:rsid w:val="007928F3"/>
    <w:rsid w:val="008139C8"/>
    <w:rsid w:val="00871617"/>
    <w:rsid w:val="00895BEA"/>
    <w:rsid w:val="00897728"/>
    <w:rsid w:val="008A3497"/>
    <w:rsid w:val="008B1BD3"/>
    <w:rsid w:val="0091199E"/>
    <w:rsid w:val="00917A54"/>
    <w:rsid w:val="009249EF"/>
    <w:rsid w:val="00926C29"/>
    <w:rsid w:val="00930572"/>
    <w:rsid w:val="009865FB"/>
    <w:rsid w:val="009A7CBC"/>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CF0C61"/>
    <w:rsid w:val="00CF6D66"/>
    <w:rsid w:val="00D206CD"/>
    <w:rsid w:val="00D50D7D"/>
    <w:rsid w:val="00D56867"/>
    <w:rsid w:val="00D732C1"/>
    <w:rsid w:val="00DD482B"/>
    <w:rsid w:val="00DE2075"/>
    <w:rsid w:val="00E02A7F"/>
    <w:rsid w:val="00E07880"/>
    <w:rsid w:val="00E21E57"/>
    <w:rsid w:val="00E53438"/>
    <w:rsid w:val="00E8067D"/>
    <w:rsid w:val="00E82621"/>
    <w:rsid w:val="00ED4450"/>
    <w:rsid w:val="00ED5419"/>
    <w:rsid w:val="00F332B6"/>
    <w:rsid w:val="00F4434B"/>
    <w:rsid w:val="00F77C9A"/>
    <w:rsid w:val="00F77C9D"/>
    <w:rsid w:val="00F86832"/>
    <w:rsid w:val="00FB576C"/>
    <w:rsid w:val="00FC6F94"/>
    <w:rsid w:val="00FD2AA6"/>
    <w:rsid w:val="00FE7E8A"/>
    <w:rsid w:val="00FF5DCC"/>
    <w:rsid w:val="05F2492A"/>
    <w:rsid w:val="078A4FA8"/>
    <w:rsid w:val="09234C9E"/>
    <w:rsid w:val="0BF3562B"/>
    <w:rsid w:val="11473DDB"/>
    <w:rsid w:val="1A784B4A"/>
    <w:rsid w:val="1B9113EA"/>
    <w:rsid w:val="22096B18"/>
    <w:rsid w:val="32856F84"/>
    <w:rsid w:val="46851F4F"/>
    <w:rsid w:val="533F0A87"/>
    <w:rsid w:val="575527A0"/>
    <w:rsid w:val="57B44179"/>
    <w:rsid w:val="5ADF1297"/>
    <w:rsid w:val="636B2161"/>
    <w:rsid w:val="6ABD66F1"/>
    <w:rsid w:val="7EDB39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widowControl/>
      <w:tabs>
        <w:tab w:val="right" w:leader="dot" w:pos="8296"/>
      </w:tabs>
      <w:spacing w:line="440" w:lineRule="exact"/>
      <w:jc w:val="center"/>
    </w:pPr>
    <w:rPr>
      <w:rFonts w:ascii="Calibri" w:hAnsi="Calibri"/>
      <w:b/>
    </w:rPr>
  </w:style>
  <w:style w:type="paragraph" w:styleId="3">
    <w:name w:val="annotation text"/>
    <w:basedOn w:val="1"/>
    <w:semiHidden/>
    <w:unhideWhenUsed/>
    <w:qFormat/>
    <w:uiPriority w:val="99"/>
    <w:pPr>
      <w:jc w:val="left"/>
    </w:p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脚 字符"/>
    <w:basedOn w:val="8"/>
    <w:link w:val="5"/>
    <w:qFormat/>
    <w:uiPriority w:val="99"/>
    <w:rPr>
      <w:kern w:val="2"/>
      <w:sz w:val="18"/>
      <w:szCs w:val="18"/>
    </w:rPr>
  </w:style>
  <w:style w:type="character" w:customStyle="1" w:styleId="11">
    <w:name w:val="页眉 字符"/>
    <w:basedOn w:val="8"/>
    <w:link w:val="6"/>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character" w:customStyle="1" w:styleId="13">
    <w:name w:val="批注框文本 字符"/>
    <w:basedOn w:val="8"/>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609</Words>
  <Characters>641</Characters>
  <Lines>5</Lines>
  <Paragraphs>1</Paragraphs>
  <TotalTime>3</TotalTime>
  <ScaleCrop>false</ScaleCrop>
  <LinksUpToDate>false</LinksUpToDate>
  <CharactersWithSpaces>647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2021-05-07T08:18:00Z</dcterms:created>
  <dc:creator>Legend User</dc:creator>
  <cp:lastModifiedBy>Kсюша</cp:lastModifiedBy>
  <cp:lastPrinted>2019-12-26T06:50:00Z</cp:lastPrinted>
  <dcterms:modified xsi:type="dcterms:W3CDTF">2024-06-07T00:57:38Z</dcterms:modified>
  <dc:title>××产品质量监督抽查实施细则</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56EAACFD145F4832BBD65313AB451BA6_12</vt:lpwstr>
  </property>
</Properties>
</file>