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B5" w:rsidRDefault="006627E9">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603DB5" w:rsidRDefault="006627E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603DB5" w:rsidRDefault="00246A14" w:rsidP="00814783">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6627E9">
        <w:rPr>
          <w:rFonts w:ascii="Times New Roman" w:eastAsia="仿宋_GB2312" w:hAnsi="Times New Roman" w:cs="仿宋" w:hint="eastAsia"/>
          <w:color w:val="000000"/>
          <w:sz w:val="32"/>
          <w:szCs w:val="32"/>
        </w:rPr>
        <w:t>津青市监执三处罚字〔</w:t>
      </w:r>
      <w:r w:rsidR="006627E9">
        <w:rPr>
          <w:rFonts w:ascii="Times New Roman" w:eastAsia="仿宋_GB2312" w:hAnsi="Times New Roman" w:cs="仿宋" w:hint="eastAsia"/>
          <w:color w:val="000000"/>
          <w:sz w:val="32"/>
          <w:szCs w:val="32"/>
        </w:rPr>
        <w:t>2022</w:t>
      </w:r>
      <w:r w:rsidR="006627E9">
        <w:rPr>
          <w:rFonts w:ascii="Times New Roman" w:eastAsia="仿宋_GB2312" w:hAnsi="Times New Roman" w:cs="仿宋" w:hint="eastAsia"/>
          <w:color w:val="000000"/>
          <w:sz w:val="32"/>
          <w:szCs w:val="32"/>
        </w:rPr>
        <w:t>〕</w:t>
      </w:r>
      <w:r w:rsidR="00E073B0">
        <w:rPr>
          <w:rFonts w:ascii="Times New Roman" w:eastAsia="仿宋_GB2312" w:hAnsi="Times New Roman" w:cs="仿宋"/>
          <w:color w:val="000000"/>
          <w:sz w:val="32"/>
          <w:szCs w:val="32"/>
        </w:rPr>
        <w:t>39</w:t>
      </w:r>
      <w:r w:rsidR="006627E9">
        <w:rPr>
          <w:rFonts w:ascii="Times New Roman" w:eastAsia="仿宋_GB2312" w:hAnsi="Times New Roman" w:cs="仿宋" w:hint="eastAsia"/>
          <w:color w:val="000000"/>
          <w:sz w:val="32"/>
          <w:szCs w:val="32"/>
        </w:rPr>
        <w:t>号</w:t>
      </w:r>
    </w:p>
    <w:p w:rsidR="006627E9"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当事人：</w:t>
      </w:r>
      <w:r w:rsidR="0016434A">
        <w:rPr>
          <w:rFonts w:ascii="仿宋_GB2312" w:eastAsia="仿宋_GB2312" w:hAnsi="仿宋_GB2312" w:cs="仿宋_GB2312" w:hint="eastAsia"/>
          <w:sz w:val="32"/>
          <w:szCs w:val="32"/>
        </w:rPr>
        <w:t>天津市西青区旭升祥蔬菜水果店</w:t>
      </w:r>
    </w:p>
    <w:p w:rsidR="00287789" w:rsidRDefault="0028778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主体资格证照名称：营业执照</w:t>
      </w:r>
    </w:p>
    <w:p w:rsidR="006627E9"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统一社会信用代码：</w:t>
      </w:r>
      <w:r w:rsidR="0016434A">
        <w:rPr>
          <w:rFonts w:ascii="仿宋_GB2312" w:eastAsia="仿宋_GB2312" w:hAnsi="仿宋_GB2312" w:cs="仿宋_GB2312" w:hint="eastAsia"/>
          <w:sz w:val="32"/>
          <w:szCs w:val="32"/>
        </w:rPr>
        <w:t>92120111MA0779BC46</w:t>
      </w:r>
    </w:p>
    <w:p w:rsidR="00471A09" w:rsidRPr="00471A09" w:rsidRDefault="00471A09" w:rsidP="00E073B0">
      <w:pPr>
        <w:adjustRightInd w:val="0"/>
        <w:snapToGrid w:val="0"/>
        <w:spacing w:line="440" w:lineRule="exact"/>
        <w:ind w:firstLineChars="200" w:firstLine="640"/>
        <w:jc w:val="left"/>
        <w:rPr>
          <w:rFonts w:ascii="仿宋_GB2312" w:eastAsia="仿宋_GB2312"/>
          <w:sz w:val="32"/>
          <w:szCs w:val="32"/>
        </w:rPr>
      </w:pPr>
      <w:r w:rsidRPr="00471A09">
        <w:rPr>
          <w:rFonts w:ascii="仿宋_GB2312" w:eastAsia="仿宋_GB2312" w:hint="eastAsia"/>
          <w:sz w:val="32"/>
          <w:szCs w:val="32"/>
        </w:rPr>
        <w:t xml:space="preserve">经营场所: </w:t>
      </w:r>
      <w:r w:rsidR="0016434A">
        <w:rPr>
          <w:rFonts w:ascii="仿宋_GB2312" w:eastAsia="仿宋_GB2312" w:hAnsi="仿宋_GB2312" w:cs="仿宋_GB2312" w:hint="eastAsia"/>
          <w:sz w:val="32"/>
          <w:szCs w:val="32"/>
        </w:rPr>
        <w:t>天津市西青区李七庄街杨楼封闭市场21-24号</w:t>
      </w:r>
    </w:p>
    <w:p w:rsidR="00471A09" w:rsidRPr="00471A09" w:rsidRDefault="00471A09" w:rsidP="00E073B0">
      <w:pPr>
        <w:adjustRightInd w:val="0"/>
        <w:snapToGrid w:val="0"/>
        <w:spacing w:line="440" w:lineRule="exact"/>
        <w:ind w:firstLineChars="200" w:firstLine="640"/>
        <w:jc w:val="left"/>
        <w:rPr>
          <w:rFonts w:ascii="仿宋_GB2312" w:eastAsia="仿宋_GB2312"/>
          <w:sz w:val="32"/>
          <w:szCs w:val="32"/>
        </w:rPr>
      </w:pPr>
      <w:r w:rsidRPr="00471A09">
        <w:rPr>
          <w:rFonts w:ascii="仿宋_GB2312" w:eastAsia="仿宋_GB2312" w:hint="eastAsia"/>
          <w:sz w:val="32"/>
          <w:szCs w:val="32"/>
        </w:rPr>
        <w:t xml:space="preserve">经营者: </w:t>
      </w:r>
      <w:r w:rsidR="0016434A">
        <w:rPr>
          <w:rFonts w:ascii="仿宋_GB2312" w:eastAsia="仿宋_GB2312" w:hAnsi="仿宋_GB2312" w:cs="仿宋_GB2312" w:hint="eastAsia"/>
          <w:sz w:val="32"/>
          <w:szCs w:val="32"/>
        </w:rPr>
        <w:t>李鹏</w:t>
      </w:r>
    </w:p>
    <w:p w:rsidR="00471A09" w:rsidRPr="00471A09" w:rsidRDefault="00471A09" w:rsidP="00E073B0">
      <w:pPr>
        <w:adjustRightInd w:val="0"/>
        <w:snapToGrid w:val="0"/>
        <w:spacing w:line="440" w:lineRule="exact"/>
        <w:ind w:firstLineChars="200" w:firstLine="640"/>
        <w:jc w:val="left"/>
        <w:rPr>
          <w:rFonts w:ascii="仿宋_GB2312" w:eastAsia="仿宋_GB2312"/>
          <w:sz w:val="32"/>
          <w:szCs w:val="32"/>
        </w:rPr>
      </w:pPr>
      <w:r w:rsidRPr="00471A09">
        <w:rPr>
          <w:rFonts w:ascii="仿宋_GB2312" w:eastAsia="仿宋_GB2312" w:hint="eastAsia"/>
          <w:sz w:val="32"/>
          <w:szCs w:val="32"/>
        </w:rPr>
        <w:t>经营者身份证号码：</w:t>
      </w:r>
      <w:r w:rsidR="00814783">
        <w:rPr>
          <w:rFonts w:ascii="仿宋_GB2312" w:eastAsia="仿宋_GB2312" w:hAnsi="仿宋_GB2312" w:cs="仿宋_GB2312" w:hint="eastAsia"/>
          <w:sz w:val="32"/>
          <w:szCs w:val="32"/>
        </w:rPr>
        <w:t>****</w:t>
      </w:r>
    </w:p>
    <w:p w:rsidR="00603DB5" w:rsidRDefault="006627E9" w:rsidP="00E073B0">
      <w:pPr>
        <w:adjustRightInd w:val="0"/>
        <w:snapToGrid w:val="0"/>
        <w:spacing w:line="44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16434A" w:rsidRDefault="0016434A" w:rsidP="00E073B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2022年5月24日，国家轻工业食品质量监督检测天津站对当事人销售的芒果进行抽样检测。经抽检，戊唑醇、吡唑醚菌酯、噻虫胺项目不符合GB2763-2021《食品安全国家标准 食品中农药最大残留限量》要求，检验结论为不合格。2022年6月16日，我局执法人员将上述抽检不合格的《检验报告》（No：LXQD0522121）及《食品安全抽样检验结果通知书》（抽样单编号：DC22120111110331507）送达给当事人，并告知其在收到报告后的7个工作日内有申请复检的权利，现场未发现不合格批次芒果，执法人员未采取行政强制措施。2022年6月28日，至复检期满当事人未在复检期内提出异议申请。当事人的上述行为涉嫌违反了《中华人民共和国食品安全法》第三十四条第一款第二项“（二）致病性微生物，农药残留、兽药残留、生物毒素、重金属等污染物质以及其他危害人体健康的物质含量超过食品安全标准限量的食品、食品添加剂、食品相关产品；”的规定。经批准，本案于2022年6月28日立案调查。</w:t>
      </w:r>
    </w:p>
    <w:p w:rsidR="00603DB5" w:rsidRDefault="006627E9" w:rsidP="00E073B0">
      <w:pPr>
        <w:spacing w:line="4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16434A" w:rsidRDefault="0016434A" w:rsidP="00E073B0">
      <w:p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当事人销售的芒果经抽样检验，</w:t>
      </w:r>
      <w:r>
        <w:rPr>
          <w:rFonts w:ascii="仿宋_GB2312" w:eastAsia="仿宋_GB2312" w:hAnsi="仿宋_GB2312" w:cs="仿宋_GB2312" w:hint="eastAsia"/>
          <w:sz w:val="32"/>
          <w:szCs w:val="32"/>
        </w:rPr>
        <w:t>戊唑醇、吡唑醚菌酯、噻虫胺项目不符合GB2763-2021《食品安全国家标准 食品中农药最</w:t>
      </w:r>
      <w:r>
        <w:rPr>
          <w:rFonts w:ascii="仿宋_GB2312" w:eastAsia="仿宋_GB2312" w:hAnsi="仿宋_GB2312" w:cs="仿宋_GB2312" w:hint="eastAsia"/>
          <w:sz w:val="32"/>
          <w:szCs w:val="32"/>
        </w:rPr>
        <w:lastRenderedPageBreak/>
        <w:t>大残留限量》要求</w:t>
      </w:r>
      <w:bookmarkStart w:id="0" w:name="_Hlk114928889"/>
      <w:r>
        <w:rPr>
          <w:rFonts w:ascii="仿宋_GB2312" w:eastAsia="仿宋_GB2312" w:hAnsi="仿宋_GB2312" w:cs="仿宋_GB2312" w:hint="eastAsia"/>
          <w:sz w:val="32"/>
          <w:szCs w:val="32"/>
        </w:rPr>
        <w:t>（戊唑醇标准指标：≤0.05mg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kg，实测值：0.094</w:t>
      </w:r>
      <w:r w:rsidRPr="00D2499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kg；吡唑醚菌酯标准指标：≤0.05</w:t>
      </w:r>
      <w:r w:rsidRPr="00D2499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kg，实测值：0.14</w:t>
      </w:r>
      <w:r w:rsidRPr="00D2499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kg；噻虫胺标准指标：≤0.04</w:t>
      </w:r>
      <w:r w:rsidRPr="00D2499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kg，实测值：0.054</w:t>
      </w:r>
      <w:r w:rsidRPr="00D2499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mg</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kg）</w:t>
      </w:r>
      <w:bookmarkEnd w:id="0"/>
      <w:r>
        <w:rPr>
          <w:rFonts w:ascii="仿宋_GB2312" w:eastAsia="仿宋_GB2312" w:hAnsi="仿宋_GB2312" w:cs="仿宋_GB2312" w:hint="eastAsia"/>
          <w:sz w:val="32"/>
          <w:szCs w:val="32"/>
        </w:rPr>
        <w:t>，检验结论为不合格。</w:t>
      </w:r>
      <w:r>
        <w:rPr>
          <w:rFonts w:ascii="仿宋_GB2312" w:eastAsia="仿宋_GB2312" w:hAnsi="仿宋_GB2312" w:cs="仿宋_GB2312" w:hint="eastAsia"/>
          <w:bCs/>
          <w:sz w:val="32"/>
          <w:szCs w:val="32"/>
        </w:rPr>
        <w:t>经调查，2022年5月22日，当事人以7.8元/斤的购进单价从天津市西青区牛新平水果店（已做另案处理）购进了29.8斤被抽检批次的芒果，其中包含4斤皮重，实际购买数量为25.8斤，共计201.24元，当事人实际支付购货款200元。当事人以12元/斤的销售单价销售了16.2斤</w:t>
      </w:r>
      <w:r>
        <w:rPr>
          <w:rFonts w:ascii="仿宋_GB2312" w:eastAsia="仿宋_GB2312" w:hAnsi="仿宋_GB2312" w:cs="仿宋_GB2312" w:hint="eastAsia"/>
          <w:sz w:val="32"/>
          <w:szCs w:val="32"/>
        </w:rPr>
        <w:t>（销售给抽检机构6.2斤、销售给其他消费者10斤），其余9.6斤因水果易腐烂作销毁处理</w:t>
      </w:r>
      <w:r>
        <w:rPr>
          <w:rFonts w:ascii="仿宋_GB2312" w:eastAsia="仿宋_GB2312" w:hAnsi="仿宋_GB2312" w:cs="仿宋_GB2312" w:hint="eastAsia"/>
          <w:bCs/>
          <w:sz w:val="32"/>
          <w:szCs w:val="32"/>
        </w:rPr>
        <w:t>。</w:t>
      </w:r>
      <w:r>
        <w:rPr>
          <w:rFonts w:ascii="仿宋_GB2312" w:eastAsia="仿宋_GB2312" w:hAnsi="仿宋_GB2312" w:cs="仿宋_GB2312" w:hint="eastAsia"/>
          <w:color w:val="0D0D0D"/>
          <w:sz w:val="32"/>
          <w:szCs w:val="32"/>
        </w:rPr>
        <w:t>当事人提供了购买被抽检批次芒果的购进票据及供货方的营业执照，当事人无法提供被抽检批次芒果的产地合格证明等合格证明材料。</w:t>
      </w:r>
      <w:r>
        <w:rPr>
          <w:rFonts w:ascii="仿宋_GB2312" w:eastAsia="仿宋_GB2312" w:hAnsi="仿宋_GB2312" w:cs="仿宋_GB2312" w:hint="eastAsia"/>
          <w:bCs/>
          <w:sz w:val="32"/>
          <w:szCs w:val="32"/>
        </w:rPr>
        <w:t>当事人</w:t>
      </w:r>
      <w:r>
        <w:rPr>
          <w:rFonts w:ascii="仿宋_GB2312" w:eastAsia="仿宋_GB2312" w:hAnsi="仿宋_GB2312" w:cs="仿宋_GB2312" w:hint="eastAsia"/>
          <w:sz w:val="32"/>
          <w:szCs w:val="32"/>
        </w:rPr>
        <w:t>虽启动产品召回，但售出的芒果已被市场消费未能召回，当事人亦没有收到不良反应的报告。</w:t>
      </w:r>
      <w:r>
        <w:rPr>
          <w:rFonts w:ascii="仿宋_GB2312" w:eastAsia="仿宋_GB2312" w:hAnsi="仿宋_GB2312" w:cs="仿宋_GB2312" w:hint="eastAsia"/>
          <w:bCs/>
          <w:sz w:val="32"/>
          <w:szCs w:val="32"/>
        </w:rPr>
        <w:t>本案货值金额309.6元，违法所得68.04元。</w:t>
      </w:r>
    </w:p>
    <w:p w:rsidR="00603DB5" w:rsidRDefault="006627E9" w:rsidP="00E073B0">
      <w:pPr>
        <w:spacing w:line="4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当事人营业执照复印件、经营者身份证复印件，证明当事人主体资格；</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2022年6月16日，执法人员对当事人制作的现场笔录及现场照片、送达回证，证明执法人员对当事人现场送达《检验报告》和《国家食品安全抽样检验结果通知书》的情况；</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2022年6月29日，</w:t>
      </w:r>
      <w:r>
        <w:rPr>
          <w:rFonts w:ascii="仿宋_GB2312" w:eastAsia="仿宋_GB2312" w:hAnsi="仿宋_GB2312" w:cs="仿宋_GB2312" w:hint="eastAsia"/>
          <w:color w:val="000000"/>
          <w:sz w:val="32"/>
          <w:szCs w:val="32"/>
        </w:rPr>
        <w:t>执法人员对当事人制作的询问笔录、当事人出具的情况说明，证明当事人涉嫌</w:t>
      </w:r>
      <w:r>
        <w:rPr>
          <w:rFonts w:ascii="仿宋_GB2312" w:eastAsia="仿宋_GB2312" w:hAnsi="仿宋_GB2312" w:cs="仿宋_GB2312" w:hint="eastAsia"/>
          <w:bCs/>
          <w:sz w:val="32"/>
          <w:szCs w:val="32"/>
        </w:rPr>
        <w:t>经营农药残留超过食品安全标准限量的食品</w:t>
      </w:r>
      <w:r>
        <w:rPr>
          <w:rFonts w:ascii="仿宋_GB2312" w:eastAsia="仿宋_GB2312" w:hAnsi="仿宋_GB2312" w:cs="仿宋_GB2312" w:hint="eastAsia"/>
          <w:color w:val="000000"/>
          <w:sz w:val="32"/>
          <w:szCs w:val="32"/>
        </w:rPr>
        <w:t>情况；</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sz w:val="32"/>
          <w:szCs w:val="32"/>
        </w:rPr>
        <w:t>《检验报告》（No：LXQD0522121）及《食品安全抽样检验结果通知书》（抽样单编号：DC22120111110331507）及检测机构相关资质，证明抽检事实</w:t>
      </w:r>
      <w:r>
        <w:rPr>
          <w:rFonts w:ascii="仿宋_GB2312" w:eastAsia="仿宋_GB2312" w:hAnsi="仿宋_GB2312" w:cs="仿宋_GB2312" w:hint="eastAsia"/>
          <w:bCs/>
          <w:sz w:val="32"/>
          <w:szCs w:val="32"/>
        </w:rPr>
        <w:t>；</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送达地址确认书；</w:t>
      </w:r>
    </w:p>
    <w:p w:rsidR="0016434A" w:rsidRDefault="0016434A" w:rsidP="00E073B0">
      <w:pPr>
        <w:numPr>
          <w:ilvl w:val="0"/>
          <w:numId w:val="3"/>
        </w:num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当事人提供的购买被抽检批次芒果时的购进票据、供货方的营业执照及执法人员对天津市西青区牛新平水果店制作的询问笔录，证明当事人购进情况；</w:t>
      </w:r>
    </w:p>
    <w:p w:rsidR="0016434A" w:rsidRDefault="0016434A" w:rsidP="00E073B0">
      <w:p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color w:val="000000"/>
          <w:sz w:val="32"/>
          <w:szCs w:val="32"/>
        </w:rPr>
        <w:t>当事人进行的原因排查、整改、召回的情况</w:t>
      </w:r>
      <w:r>
        <w:rPr>
          <w:rFonts w:ascii="仿宋_GB2312" w:eastAsia="仿宋_GB2312" w:hAnsi="仿宋_GB2312" w:cs="仿宋_GB2312" w:hint="eastAsia"/>
          <w:bCs/>
          <w:sz w:val="32"/>
          <w:szCs w:val="32"/>
        </w:rPr>
        <w:t>；</w:t>
      </w:r>
    </w:p>
    <w:p w:rsidR="0016434A" w:rsidRDefault="0016434A" w:rsidP="00E073B0">
      <w:pPr>
        <w:adjustRightInd w:val="0"/>
        <w:snapToGrid w:val="0"/>
        <w:spacing w:line="4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8、</w:t>
      </w:r>
      <w:r>
        <w:rPr>
          <w:rFonts w:ascii="仿宋_GB2312" w:eastAsia="仿宋_GB2312" w:hAnsi="仿宋_GB2312" w:cs="仿宋_GB2312" w:hint="eastAsia"/>
          <w:sz w:val="32"/>
          <w:szCs w:val="32"/>
        </w:rPr>
        <w:t>GB 2763-2021《食品安全国家标准 食品中农药最大残留限量》</w:t>
      </w:r>
      <w:r>
        <w:rPr>
          <w:rFonts w:ascii="仿宋_GB2312" w:eastAsia="仿宋_GB2312" w:hAnsi="仿宋_GB2312" w:cs="仿宋_GB2312" w:hint="eastAsia"/>
          <w:bCs/>
          <w:sz w:val="32"/>
          <w:szCs w:val="32"/>
        </w:rPr>
        <w:t>标准文本节选；</w:t>
      </w:r>
    </w:p>
    <w:p w:rsidR="00603DB5"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对当事人陈述、申辩</w:t>
      </w:r>
      <w:r w:rsidR="00A53D0A">
        <w:rPr>
          <w:rFonts w:ascii="仿宋_GB2312" w:eastAsia="仿宋_GB2312" w:hint="eastAsia"/>
          <w:sz w:val="32"/>
          <w:szCs w:val="32"/>
        </w:rPr>
        <w:t>或者听证</w:t>
      </w:r>
      <w:r>
        <w:rPr>
          <w:rFonts w:ascii="仿宋_GB2312" w:eastAsia="仿宋_GB2312" w:hint="eastAsia"/>
          <w:sz w:val="32"/>
          <w:szCs w:val="32"/>
        </w:rPr>
        <w:t xml:space="preserve">意见的采纳情况及理由：当事人未提出陈述、申辩意见。 </w:t>
      </w:r>
    </w:p>
    <w:p w:rsidR="00603DB5"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w:t>
      </w:r>
      <w:r w:rsidR="00F84E8B">
        <w:rPr>
          <w:rFonts w:ascii="仿宋_GB2312" w:eastAsia="仿宋_GB2312" w:hint="eastAsia"/>
          <w:sz w:val="32"/>
          <w:szCs w:val="32"/>
        </w:rPr>
        <w:t>、听证过程</w:t>
      </w:r>
      <w:r>
        <w:rPr>
          <w:rFonts w:ascii="仿宋_GB2312" w:eastAsia="仿宋_GB2312" w:hint="eastAsia"/>
          <w:sz w:val="32"/>
          <w:szCs w:val="32"/>
        </w:rPr>
        <w:t>及意见：我局于2022年</w:t>
      </w:r>
      <w:r w:rsidR="00D3087D">
        <w:rPr>
          <w:rFonts w:ascii="仿宋_GB2312" w:eastAsia="仿宋_GB2312"/>
          <w:sz w:val="32"/>
          <w:szCs w:val="32"/>
        </w:rPr>
        <w:t>9</w:t>
      </w:r>
      <w:r>
        <w:rPr>
          <w:rFonts w:ascii="仿宋_GB2312" w:eastAsia="仿宋_GB2312" w:hint="eastAsia"/>
          <w:sz w:val="32"/>
          <w:szCs w:val="32"/>
        </w:rPr>
        <w:t>月</w:t>
      </w:r>
      <w:r w:rsidR="00D3087D">
        <w:rPr>
          <w:rFonts w:ascii="仿宋_GB2312" w:eastAsia="仿宋_GB2312" w:hint="eastAsia"/>
          <w:sz w:val="32"/>
          <w:szCs w:val="32"/>
        </w:rPr>
        <w:t>2</w:t>
      </w:r>
      <w:r w:rsidR="0016434A">
        <w:rPr>
          <w:rFonts w:ascii="仿宋_GB2312" w:eastAsia="仿宋_GB2312"/>
          <w:sz w:val="32"/>
          <w:szCs w:val="32"/>
        </w:rPr>
        <w:t>3</w:t>
      </w:r>
      <w:r>
        <w:rPr>
          <w:rFonts w:ascii="仿宋_GB2312" w:eastAsia="仿宋_GB2312" w:hint="eastAsia"/>
          <w:sz w:val="32"/>
          <w:szCs w:val="32"/>
        </w:rPr>
        <w:t>日对当事人下达行政处罚告知书（津青市监执三罚告字[2022]</w:t>
      </w:r>
      <w:r w:rsidR="0016434A">
        <w:rPr>
          <w:rFonts w:ascii="仿宋_GB2312" w:eastAsia="仿宋_GB2312"/>
          <w:sz w:val="32"/>
          <w:szCs w:val="32"/>
        </w:rPr>
        <w:t>39</w:t>
      </w:r>
      <w:r>
        <w:rPr>
          <w:rFonts w:ascii="仿宋_GB2312" w:eastAsia="仿宋_GB2312" w:hint="eastAsia"/>
          <w:sz w:val="32"/>
          <w:szCs w:val="32"/>
        </w:rPr>
        <w:t>号），当事人自收到告知书之日起五个工作日内，未提出陈述、申辩。</w:t>
      </w:r>
    </w:p>
    <w:p w:rsidR="00603DB5"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16434A" w:rsidRDefault="0016434A" w:rsidP="00E073B0">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当事人未能提供购进涉案批次芒果的合格证明文件，未完全履行进货查验记录义务，违反了《</w:t>
      </w:r>
      <w:r>
        <w:rPr>
          <w:rFonts w:ascii="仿宋_GB2312" w:eastAsia="仿宋_GB2312" w:hAnsi="仿宋_GB2312" w:cs="仿宋_GB2312" w:hint="eastAsia"/>
          <w:sz w:val="32"/>
          <w:szCs w:val="32"/>
        </w:rPr>
        <w:t>中华人民共和国食品安全法</w:t>
      </w:r>
      <w:r>
        <w:rPr>
          <w:rFonts w:ascii="仿宋_GB2312" w:eastAsia="仿宋_GB2312" w:hAnsi="仿宋_GB2312" w:cs="仿宋_GB2312" w:hint="eastAsia"/>
          <w:bCs/>
          <w:sz w:val="32"/>
          <w:szCs w:val="32"/>
        </w:rPr>
        <w:t>》第六十五条</w:t>
      </w:r>
      <w:bookmarkStart w:id="1" w:name="_Hlk114927857"/>
      <w:r>
        <w:rPr>
          <w:rFonts w:ascii="仿宋_GB2312" w:eastAsia="仿宋_GB2312" w:hAnsi="仿宋_GB2312" w:cs="仿宋_GB2312" w:hint="eastAsia"/>
          <w:bCs/>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bookmarkEnd w:id="1"/>
      <w:r>
        <w:rPr>
          <w:rFonts w:ascii="仿宋_GB2312" w:eastAsia="仿宋_GB2312" w:hAnsi="仿宋_GB2312" w:cs="仿宋_GB2312" w:hint="eastAsia"/>
          <w:bCs/>
          <w:sz w:val="32"/>
          <w:szCs w:val="32"/>
        </w:rPr>
        <w:t xml:space="preserve">的规定。 </w:t>
      </w:r>
    </w:p>
    <w:p w:rsidR="0016434A" w:rsidRDefault="0016434A" w:rsidP="00E073B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当事人</w:t>
      </w:r>
      <w:r>
        <w:rPr>
          <w:rFonts w:ascii="仿宋_GB2312" w:eastAsia="仿宋_GB2312" w:hAnsi="仿宋_GB2312" w:cs="仿宋_GB2312" w:hint="eastAsia"/>
          <w:sz w:val="32"/>
          <w:szCs w:val="32"/>
        </w:rPr>
        <w:t>经营戊唑醇、吡唑醚菌酯、噻虫胺项目不符合GB2763-2021《食品安全国家标准 食品中农药最大残留限量》要求的芒果的行为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rsidR="00603DB5" w:rsidRDefault="006627E9" w:rsidP="00E073B0">
      <w:pPr>
        <w:spacing w:line="44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2838D2" w:rsidRDefault="002838D2" w:rsidP="00E073B0">
      <w:pPr>
        <w:spacing w:line="440" w:lineRule="exact"/>
        <w:ind w:firstLine="640"/>
        <w:rPr>
          <w:rFonts w:ascii="仿宋_GB2312" w:eastAsia="仿宋_GB2312" w:hAnsi="仿宋_GB2312" w:cs="仿宋_GB2312"/>
          <w:bCs/>
          <w:sz w:val="32"/>
          <w:szCs w:val="32"/>
        </w:rPr>
      </w:pPr>
      <w:bookmarkStart w:id="2" w:name="_Hlk114927895"/>
      <w:r>
        <w:rPr>
          <w:rFonts w:ascii="仿宋_GB2312" w:eastAsia="仿宋_GB2312" w:hAnsi="仿宋_GB2312" w:cs="仿宋_GB2312" w:hint="eastAsia"/>
          <w:bCs/>
          <w:sz w:val="32"/>
          <w:szCs w:val="32"/>
        </w:rPr>
        <w:t>我局认为，当事人在案件调查过程中，积极配合市场监管部门调查，如实陈述违法事实并主动提供证据材料。符合《市场监管总局关于规范市场监督管理行政处罚裁量权的指导意见》中“三、行政处罚裁量权的适用规则（七）行政处罚裁量情形3. 有下列情形之一的，可以依法从轻或者减轻行政处罚：（1）积极配合市场监管部门调查，如实陈述违法事实并主动提供证据材料的；”的规定，决定给予当事人减轻行政处罚。</w:t>
      </w:r>
    </w:p>
    <w:bookmarkEnd w:id="2"/>
    <w:p w:rsidR="00D3087D" w:rsidRDefault="00D3087D" w:rsidP="00E073B0">
      <w:pPr>
        <w:adjustRightInd w:val="0"/>
        <w:spacing w:line="440" w:lineRule="exact"/>
        <w:ind w:firstLineChars="200" w:firstLine="640"/>
        <w:rPr>
          <w:rFonts w:ascii="仿宋_GB2312" w:eastAsia="仿宋_GB2312" w:hAnsi="仿宋_GB2312" w:cs="仿宋_GB2312"/>
          <w:bCs/>
          <w:sz w:val="32"/>
          <w:szCs w:val="32"/>
        </w:rPr>
      </w:pPr>
      <w:r>
        <w:rPr>
          <w:rFonts w:ascii="Times New Roman" w:eastAsia="仿宋_GB2312" w:hAnsi="Times New Roman" w:cs="仿宋_GB2312" w:hint="eastAsia"/>
          <w:sz w:val="32"/>
          <w:szCs w:val="32"/>
        </w:rPr>
        <w:t>当事人在购进被抽检批次沃柑时，未查验沃柑供货方的经营</w:t>
      </w:r>
      <w:r>
        <w:rPr>
          <w:rFonts w:ascii="Times New Roman" w:eastAsia="仿宋_GB2312" w:hAnsi="Times New Roman" w:cs="仿宋_GB2312" w:hint="eastAsia"/>
          <w:sz w:val="32"/>
          <w:szCs w:val="32"/>
        </w:rPr>
        <w:lastRenderedPageBreak/>
        <w:t>资质及产品合格证明文件，未履行进货查验义务的行为，</w:t>
      </w:r>
      <w:r>
        <w:rPr>
          <w:rFonts w:ascii="仿宋_GB2312" w:eastAsia="仿宋_GB2312" w:hAnsi="仿宋_GB2312" w:cs="仿宋_GB2312" w:hint="eastAsia"/>
          <w:bCs/>
          <w:sz w:val="32"/>
          <w:szCs w:val="32"/>
        </w:rPr>
        <w:t>依据《中华人民共和国食品安全法》第一百二十六条第一款第三项“</w:t>
      </w:r>
      <w:r w:rsidRPr="0076612B">
        <w:rPr>
          <w:rFonts w:ascii="仿宋_GB2312" w:eastAsia="仿宋_GB2312" w:hAnsi="仿宋_GB2312" w:cs="仿宋_GB2312" w:hint="eastAsia"/>
          <w:bCs/>
          <w:sz w:val="32"/>
          <w:szCs w:val="32"/>
        </w:rPr>
        <w:t>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ascii="仿宋_GB2312" w:eastAsia="仿宋_GB2312" w:hAnsi="仿宋_GB2312" w:cs="仿宋_GB2312" w:hint="eastAsia"/>
          <w:bCs/>
          <w:sz w:val="32"/>
          <w:szCs w:val="32"/>
        </w:rPr>
        <w:t>”和第四款“食用农产品销售者违反本法第六十五条规定的，由县级以上人民政府食品安全监督管理部门依照第一款规定给予处罚。”的规定。责令当事人立即改正违法行为，</w:t>
      </w:r>
      <w:r w:rsidR="008A3BB1">
        <w:rPr>
          <w:rFonts w:ascii="仿宋_GB2312" w:eastAsia="仿宋_GB2312" w:hAnsi="仿宋_GB2312" w:cs="仿宋_GB2312" w:hint="eastAsia"/>
          <w:bCs/>
          <w:sz w:val="32"/>
          <w:szCs w:val="32"/>
        </w:rPr>
        <w:t>决定</w:t>
      </w:r>
      <w:r>
        <w:rPr>
          <w:rFonts w:ascii="仿宋_GB2312" w:eastAsia="仿宋_GB2312" w:hAnsi="仿宋_GB2312" w:cs="仿宋_GB2312" w:hint="eastAsia"/>
          <w:bCs/>
          <w:sz w:val="32"/>
          <w:szCs w:val="32"/>
        </w:rPr>
        <w:t>给予当事人行政处罚：警告。</w:t>
      </w:r>
    </w:p>
    <w:p w:rsidR="002838D2" w:rsidRPr="002838D2" w:rsidRDefault="002838D2" w:rsidP="00E073B0">
      <w:pPr>
        <w:snapToGrid w:val="0"/>
        <w:spacing w:line="440" w:lineRule="exact"/>
        <w:ind w:firstLineChars="200" w:firstLine="640"/>
        <w:rPr>
          <w:rFonts w:ascii="仿宋_GB2312" w:eastAsia="仿宋_GB2312" w:hAnsi="仿宋_GB2312" w:cs="仿宋_GB2312"/>
          <w:bCs/>
          <w:sz w:val="32"/>
          <w:szCs w:val="32"/>
        </w:rPr>
      </w:pPr>
      <w:r w:rsidRPr="002838D2">
        <w:rPr>
          <w:rFonts w:ascii="仿宋_GB2312" w:eastAsia="仿宋_GB2312" w:hAnsi="仿宋_GB2312" w:cs="仿宋_GB2312" w:hint="eastAsia"/>
          <w:bCs/>
          <w:sz w:val="32"/>
          <w:szCs w:val="32"/>
        </w:rPr>
        <w:t>当事人未能提供购进涉案批次芒果的合格证明文件，未完全履行查验记录义务，依据</w:t>
      </w:r>
      <w:bookmarkStart w:id="3" w:name="_Hlk114929436"/>
      <w:r w:rsidRPr="002838D2">
        <w:rPr>
          <w:rFonts w:ascii="仿宋_GB2312" w:eastAsia="仿宋_GB2312" w:hAnsi="仿宋_GB2312" w:cs="仿宋_GB2312" w:hint="eastAsia"/>
          <w:bCs/>
          <w:sz w:val="32"/>
          <w:szCs w:val="32"/>
        </w:rPr>
        <w:t>《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和第四款“食用农产品销售者违反本法第六十五条规定的，由县级以上人民政府食品安全监督管理部门依照第一款规定给予处罚。”的规定</w:t>
      </w:r>
      <w:bookmarkEnd w:id="3"/>
      <w:r w:rsidRPr="002838D2">
        <w:rPr>
          <w:rFonts w:ascii="仿宋_GB2312" w:eastAsia="仿宋_GB2312" w:hAnsi="仿宋_GB2312" w:cs="仿宋_GB2312" w:hint="eastAsia"/>
          <w:bCs/>
          <w:sz w:val="32"/>
          <w:szCs w:val="32"/>
        </w:rPr>
        <w:t>。责令当事人立即改正违法行为，</w:t>
      </w:r>
      <w:r>
        <w:rPr>
          <w:rFonts w:ascii="仿宋_GB2312" w:eastAsia="仿宋_GB2312" w:hAnsi="仿宋_GB2312" w:cs="仿宋_GB2312" w:hint="eastAsia"/>
          <w:bCs/>
          <w:sz w:val="32"/>
          <w:szCs w:val="32"/>
        </w:rPr>
        <w:t>决定</w:t>
      </w:r>
      <w:r w:rsidRPr="002838D2">
        <w:rPr>
          <w:rFonts w:ascii="仿宋_GB2312" w:eastAsia="仿宋_GB2312" w:hAnsi="仿宋_GB2312" w:cs="仿宋_GB2312" w:hint="eastAsia"/>
          <w:bCs/>
          <w:sz w:val="32"/>
          <w:szCs w:val="32"/>
        </w:rPr>
        <w:t>给予当事人行政处罚：警告。</w:t>
      </w:r>
    </w:p>
    <w:p w:rsidR="002838D2" w:rsidRPr="002838D2" w:rsidRDefault="002838D2" w:rsidP="00E073B0">
      <w:pPr>
        <w:snapToGrid w:val="0"/>
        <w:spacing w:line="440" w:lineRule="exact"/>
        <w:ind w:firstLineChars="200" w:firstLine="640"/>
        <w:rPr>
          <w:rFonts w:ascii="仿宋_GB2312" w:eastAsia="仿宋_GB2312" w:hAnsi="仿宋_GB2312" w:cs="仿宋_GB2312"/>
          <w:bCs/>
          <w:sz w:val="32"/>
          <w:szCs w:val="32"/>
        </w:rPr>
      </w:pPr>
      <w:bookmarkStart w:id="4" w:name="_Hlk114928291"/>
      <w:r w:rsidRPr="002838D2">
        <w:rPr>
          <w:rFonts w:ascii="仿宋_GB2312" w:eastAsia="仿宋_GB2312" w:hAnsi="仿宋_GB2312" w:cs="仿宋_GB2312" w:hint="eastAsia"/>
          <w:bCs/>
          <w:sz w:val="32"/>
          <w:szCs w:val="32"/>
        </w:rPr>
        <w:t>当事人经营农药残留超过食品安全标准限量的芒果的行为，依据《中华人民共和国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w:t>
      </w:r>
      <w:r w:rsidRPr="002838D2">
        <w:rPr>
          <w:rFonts w:ascii="仿宋_GB2312" w:eastAsia="仿宋_GB2312" w:hAnsi="仿宋_GB2312" w:cs="仿宋_GB2312" w:hint="eastAsia"/>
          <w:bCs/>
          <w:sz w:val="32"/>
          <w:szCs w:val="32"/>
        </w:rPr>
        <w:lastRenderedPageBreak/>
        <w:t>留、生物毒素、重金属等污染物质以及其他危害人体健康的物质含量超过食品安全标准限量的食品、食品添加剂；”的规定，因用于被抽检批次芒果经营的工具、设备还用于经营其他商品，故未进行没收，责令当事人改正违法行为，</w:t>
      </w:r>
      <w:r>
        <w:rPr>
          <w:rFonts w:ascii="仿宋_GB2312" w:eastAsia="仿宋_GB2312" w:hAnsi="仿宋_GB2312" w:cs="仿宋_GB2312" w:hint="eastAsia"/>
          <w:bCs/>
          <w:sz w:val="32"/>
          <w:szCs w:val="32"/>
        </w:rPr>
        <w:t>决定</w:t>
      </w:r>
      <w:r w:rsidRPr="002838D2">
        <w:rPr>
          <w:rFonts w:ascii="仿宋_GB2312" w:eastAsia="仿宋_GB2312" w:hAnsi="仿宋_GB2312" w:cs="仿宋_GB2312" w:hint="eastAsia"/>
          <w:bCs/>
          <w:sz w:val="32"/>
          <w:szCs w:val="32"/>
        </w:rPr>
        <w:t>行政处罚如下：1.没收违法所得68.04元；2.罚款</w:t>
      </w:r>
      <w:r w:rsidRPr="002838D2">
        <w:rPr>
          <w:rFonts w:ascii="仿宋_GB2312" w:eastAsia="仿宋_GB2312" w:hAnsi="仿宋_GB2312" w:cs="仿宋_GB2312"/>
          <w:bCs/>
          <w:sz w:val="32"/>
          <w:szCs w:val="32"/>
        </w:rPr>
        <w:t>6000</w:t>
      </w:r>
      <w:r w:rsidRPr="002838D2">
        <w:rPr>
          <w:rFonts w:ascii="仿宋_GB2312" w:eastAsia="仿宋_GB2312" w:hAnsi="仿宋_GB2312" w:cs="仿宋_GB2312" w:hint="eastAsia"/>
          <w:bCs/>
          <w:sz w:val="32"/>
          <w:szCs w:val="32"/>
        </w:rPr>
        <w:t>元。</w:t>
      </w:r>
    </w:p>
    <w:p w:rsidR="002838D2" w:rsidRPr="002838D2" w:rsidRDefault="002838D2" w:rsidP="00E073B0">
      <w:pPr>
        <w:snapToGrid w:val="0"/>
        <w:spacing w:line="440" w:lineRule="exact"/>
        <w:ind w:firstLineChars="200" w:firstLine="640"/>
        <w:rPr>
          <w:rFonts w:ascii="仿宋_GB2312" w:eastAsia="仿宋_GB2312" w:hAnsi="仿宋_GB2312" w:cs="仿宋_GB2312"/>
          <w:bCs/>
          <w:sz w:val="32"/>
          <w:szCs w:val="32"/>
        </w:rPr>
      </w:pPr>
      <w:bookmarkStart w:id="5" w:name="_Hlk114928353"/>
      <w:bookmarkEnd w:id="4"/>
      <w:r w:rsidRPr="002838D2">
        <w:rPr>
          <w:rFonts w:ascii="仿宋_GB2312" w:eastAsia="仿宋_GB2312" w:hAnsi="仿宋_GB2312" w:cs="仿宋_GB2312" w:hint="eastAsia"/>
          <w:bCs/>
          <w:sz w:val="32"/>
          <w:szCs w:val="32"/>
        </w:rPr>
        <w:t>综上，</w:t>
      </w:r>
      <w:bookmarkStart w:id="6" w:name="_Hlk115087531"/>
      <w:r w:rsidRPr="002838D2">
        <w:rPr>
          <w:rFonts w:ascii="仿宋_GB2312" w:eastAsia="仿宋_GB2312" w:hAnsi="仿宋_GB2312" w:cs="仿宋_GB2312" w:hint="eastAsia"/>
          <w:bCs/>
          <w:sz w:val="32"/>
          <w:szCs w:val="32"/>
        </w:rPr>
        <w:t>责令当事人立即改正违法行为，</w:t>
      </w:r>
      <w:bookmarkEnd w:id="6"/>
      <w:r>
        <w:rPr>
          <w:rFonts w:ascii="仿宋_GB2312" w:eastAsia="仿宋_GB2312" w:hAnsi="仿宋_GB2312" w:cs="仿宋_GB2312" w:hint="eastAsia"/>
          <w:bCs/>
          <w:sz w:val="32"/>
          <w:szCs w:val="32"/>
        </w:rPr>
        <w:t>决定</w:t>
      </w:r>
      <w:r w:rsidRPr="002838D2">
        <w:rPr>
          <w:rFonts w:ascii="仿宋_GB2312" w:eastAsia="仿宋_GB2312" w:hAnsi="仿宋_GB2312" w:cs="仿宋_GB2312" w:hint="eastAsia"/>
          <w:bCs/>
          <w:sz w:val="32"/>
          <w:szCs w:val="32"/>
        </w:rPr>
        <w:t>给予行政处罚：1、警告；2、没收违法所得68.04元，3、罚款</w:t>
      </w:r>
      <w:r w:rsidRPr="002838D2">
        <w:rPr>
          <w:rFonts w:ascii="仿宋_GB2312" w:eastAsia="仿宋_GB2312" w:hAnsi="仿宋_GB2312" w:cs="仿宋_GB2312"/>
          <w:bCs/>
          <w:sz w:val="32"/>
          <w:szCs w:val="32"/>
        </w:rPr>
        <w:t>6000</w:t>
      </w:r>
      <w:r w:rsidRPr="002838D2">
        <w:rPr>
          <w:rFonts w:ascii="仿宋_GB2312" w:eastAsia="仿宋_GB2312" w:hAnsi="仿宋_GB2312" w:cs="仿宋_GB2312" w:hint="eastAsia"/>
          <w:bCs/>
          <w:sz w:val="32"/>
          <w:szCs w:val="32"/>
        </w:rPr>
        <w:t>元。</w:t>
      </w:r>
      <w:bookmarkEnd w:id="5"/>
    </w:p>
    <w:p w:rsidR="00603DB5" w:rsidRDefault="006627E9" w:rsidP="00E073B0">
      <w:pPr>
        <w:snapToGrid w:val="0"/>
        <w:spacing w:line="44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603DB5" w:rsidRDefault="006627E9">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603DB5" w:rsidRDefault="006627E9">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603DB5" w:rsidRDefault="006627E9">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2838D2">
        <w:rPr>
          <w:rFonts w:ascii="Times New Roman" w:eastAsia="仿宋_GB2312" w:hAnsi="Times New Roman" w:cs="仿宋"/>
          <w:color w:val="000000"/>
          <w:sz w:val="32"/>
          <w:szCs w:val="32"/>
        </w:rPr>
        <w:t>10</w:t>
      </w:r>
      <w:r>
        <w:rPr>
          <w:rFonts w:ascii="Times New Roman" w:eastAsia="仿宋_GB2312" w:hAnsi="Times New Roman" w:cs="仿宋" w:hint="eastAsia"/>
          <w:color w:val="000000"/>
          <w:sz w:val="32"/>
          <w:szCs w:val="32"/>
        </w:rPr>
        <w:t>月</w:t>
      </w:r>
      <w:r w:rsidR="002838D2">
        <w:rPr>
          <w:rFonts w:ascii="Times New Roman" w:eastAsia="仿宋_GB2312" w:hAnsi="Times New Roman" w:cs="仿宋"/>
          <w:color w:val="000000"/>
          <w:sz w:val="32"/>
          <w:szCs w:val="32"/>
        </w:rPr>
        <w:t>8</w:t>
      </w:r>
      <w:r>
        <w:rPr>
          <w:rFonts w:ascii="Times New Roman" w:eastAsia="仿宋_GB2312" w:hAnsi="Times New Roman" w:cs="仿宋" w:hint="eastAsia"/>
          <w:color w:val="000000"/>
          <w:sz w:val="32"/>
          <w:szCs w:val="32"/>
        </w:rPr>
        <w:t>日</w:t>
      </w:r>
    </w:p>
    <w:p w:rsidR="00603DB5" w:rsidRDefault="006627E9">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603DB5" w:rsidRDefault="00246A14">
      <w:pPr>
        <w:spacing w:line="440" w:lineRule="exact"/>
        <w:rPr>
          <w:rFonts w:ascii="Times New Roman" w:eastAsia="仿宋_GB2312" w:hAnsi="Times New Roman" w:cs="仿宋"/>
          <w:bCs/>
          <w:color w:val="000000"/>
          <w:sz w:val="32"/>
          <w:szCs w:val="32"/>
        </w:rPr>
      </w:pPr>
      <w:r w:rsidRPr="00246A14">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603DB5" w:rsidRDefault="00246A14">
      <w:pPr>
        <w:spacing w:line="440" w:lineRule="exact"/>
        <w:rPr>
          <w:rFonts w:ascii="Times New Roman" w:eastAsia="仿宋_GB2312" w:hAnsi="Times New Roman" w:cs="仿宋"/>
          <w:color w:val="000000"/>
          <w:sz w:val="32"/>
          <w:szCs w:val="32"/>
        </w:rPr>
      </w:pPr>
      <w:r w:rsidRPr="00246A14">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6627E9">
        <w:rPr>
          <w:rFonts w:ascii="Times New Roman" w:eastAsia="仿宋_GB2312" w:hAnsi="Times New Roman" w:cs="仿宋" w:hint="eastAsia"/>
          <w:color w:val="000000"/>
          <w:sz w:val="32"/>
          <w:szCs w:val="32"/>
        </w:rPr>
        <w:t>本文书一式两份，一份送达，一份归档。</w:t>
      </w:r>
    </w:p>
    <w:sectPr w:rsidR="00603DB5" w:rsidSect="00246A14">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EC" w:rsidRDefault="00DC4EEC">
      <w:r>
        <w:separator/>
      </w:r>
    </w:p>
  </w:endnote>
  <w:endnote w:type="continuationSeparator" w:id="0">
    <w:p w:rsidR="00DC4EEC" w:rsidRDefault="00DC4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B5" w:rsidRDefault="006627E9">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246A14">
      <w:rPr>
        <w:rFonts w:ascii="仿宋" w:eastAsia="仿宋" w:hAnsi="仿宋" w:hint="eastAsia"/>
        <w:sz w:val="28"/>
        <w:szCs w:val="28"/>
      </w:rPr>
      <w:fldChar w:fldCharType="begin"/>
    </w:r>
    <w:r>
      <w:rPr>
        <w:rFonts w:ascii="仿宋" w:eastAsia="仿宋" w:hAnsi="仿宋" w:hint="eastAsia"/>
        <w:sz w:val="28"/>
        <w:szCs w:val="28"/>
      </w:rPr>
      <w:instrText>PAGE</w:instrText>
    </w:r>
    <w:r w:rsidR="00246A14">
      <w:rPr>
        <w:rFonts w:ascii="仿宋" w:eastAsia="仿宋" w:hAnsi="仿宋" w:hint="eastAsia"/>
        <w:sz w:val="28"/>
        <w:szCs w:val="28"/>
      </w:rPr>
      <w:fldChar w:fldCharType="separate"/>
    </w:r>
    <w:r w:rsidR="00814783">
      <w:rPr>
        <w:rFonts w:ascii="仿宋" w:eastAsia="仿宋" w:hAnsi="仿宋"/>
        <w:noProof/>
        <w:sz w:val="28"/>
        <w:szCs w:val="28"/>
      </w:rPr>
      <w:t>4</w:t>
    </w:r>
    <w:r w:rsidR="00246A14">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246A14">
      <w:rPr>
        <w:rFonts w:ascii="仿宋" w:eastAsia="仿宋" w:hAnsi="仿宋" w:hint="eastAsia"/>
        <w:sz w:val="28"/>
        <w:szCs w:val="28"/>
      </w:rPr>
      <w:fldChar w:fldCharType="begin"/>
    </w:r>
    <w:r>
      <w:rPr>
        <w:rFonts w:ascii="仿宋" w:eastAsia="仿宋" w:hAnsi="仿宋" w:hint="eastAsia"/>
        <w:sz w:val="28"/>
        <w:szCs w:val="28"/>
      </w:rPr>
      <w:instrText>NUMPAGES</w:instrText>
    </w:r>
    <w:r w:rsidR="00246A14">
      <w:rPr>
        <w:rFonts w:ascii="仿宋" w:eastAsia="仿宋" w:hAnsi="仿宋" w:hint="eastAsia"/>
        <w:sz w:val="28"/>
        <w:szCs w:val="28"/>
      </w:rPr>
      <w:fldChar w:fldCharType="separate"/>
    </w:r>
    <w:r w:rsidR="00814783">
      <w:rPr>
        <w:rFonts w:ascii="仿宋" w:eastAsia="仿宋" w:hAnsi="仿宋"/>
        <w:noProof/>
        <w:sz w:val="28"/>
        <w:szCs w:val="28"/>
      </w:rPr>
      <w:t>5</w:t>
    </w:r>
    <w:r w:rsidR="00246A14">
      <w:rPr>
        <w:rFonts w:ascii="仿宋" w:eastAsia="仿宋" w:hAnsi="仿宋" w:hint="eastAsia"/>
        <w:sz w:val="28"/>
        <w:szCs w:val="28"/>
      </w:rPr>
      <w:fldChar w:fldCharType="end"/>
    </w:r>
    <w:r>
      <w:rPr>
        <w:rFonts w:ascii="仿宋" w:eastAsia="仿宋" w:hAnsi="仿宋" w:hint="eastAsia"/>
        <w:sz w:val="28"/>
        <w:szCs w:val="28"/>
      </w:rPr>
      <w:t>页</w:t>
    </w:r>
  </w:p>
  <w:p w:rsidR="00603DB5" w:rsidRDefault="00603DB5">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EC" w:rsidRDefault="00DC4EEC">
      <w:r>
        <w:separator/>
      </w:r>
    </w:p>
  </w:footnote>
  <w:footnote w:type="continuationSeparator" w:id="0">
    <w:p w:rsidR="00DC4EEC" w:rsidRDefault="00DC4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abstractNum w:abstractNumId="1">
    <w:nsid w:val="FCDFEFB1"/>
    <w:multiLevelType w:val="singleLevel"/>
    <w:tmpl w:val="FCDFEFB1"/>
    <w:lvl w:ilvl="0">
      <w:start w:val="1"/>
      <w:numFmt w:val="decimal"/>
      <w:suff w:val="nothing"/>
      <w:lvlText w:val="%1、"/>
      <w:lvlJc w:val="left"/>
    </w:lvl>
  </w:abstractNum>
  <w:abstractNum w:abstractNumId="2">
    <w:nsid w:val="5E4DC3DE"/>
    <w:multiLevelType w:val="singleLevel"/>
    <w:tmpl w:val="5E4DC3D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1EBE"/>
    <w:rsid w:val="000961E5"/>
    <w:rsid w:val="00096266"/>
    <w:rsid w:val="000A0E5E"/>
    <w:rsid w:val="000A6DA1"/>
    <w:rsid w:val="000A730C"/>
    <w:rsid w:val="000D07B8"/>
    <w:rsid w:val="000F6268"/>
    <w:rsid w:val="0012230A"/>
    <w:rsid w:val="00122524"/>
    <w:rsid w:val="0015133C"/>
    <w:rsid w:val="00156C7D"/>
    <w:rsid w:val="0016434A"/>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15A27"/>
    <w:rsid w:val="00221C8C"/>
    <w:rsid w:val="00221DD3"/>
    <w:rsid w:val="002321D3"/>
    <w:rsid w:val="00246A14"/>
    <w:rsid w:val="002503FA"/>
    <w:rsid w:val="00257338"/>
    <w:rsid w:val="002608E0"/>
    <w:rsid w:val="0026446A"/>
    <w:rsid w:val="00266D34"/>
    <w:rsid w:val="00273875"/>
    <w:rsid w:val="00275CD9"/>
    <w:rsid w:val="00280F64"/>
    <w:rsid w:val="00282235"/>
    <w:rsid w:val="00283624"/>
    <w:rsid w:val="002838D2"/>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13B8"/>
    <w:rsid w:val="00446204"/>
    <w:rsid w:val="00452804"/>
    <w:rsid w:val="00457188"/>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2EB3"/>
    <w:rsid w:val="005C3698"/>
    <w:rsid w:val="005D1A2F"/>
    <w:rsid w:val="005D34E5"/>
    <w:rsid w:val="005D361E"/>
    <w:rsid w:val="005E70D9"/>
    <w:rsid w:val="005F2665"/>
    <w:rsid w:val="005F721D"/>
    <w:rsid w:val="00603DB5"/>
    <w:rsid w:val="006302C4"/>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783"/>
    <w:rsid w:val="00814B90"/>
    <w:rsid w:val="0081587A"/>
    <w:rsid w:val="00823928"/>
    <w:rsid w:val="00841E0D"/>
    <w:rsid w:val="00864B69"/>
    <w:rsid w:val="0086655B"/>
    <w:rsid w:val="008716D8"/>
    <w:rsid w:val="00886E9C"/>
    <w:rsid w:val="0088754B"/>
    <w:rsid w:val="00895FE7"/>
    <w:rsid w:val="008A3BB1"/>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D0E"/>
    <w:rsid w:val="00D3793D"/>
    <w:rsid w:val="00D43C68"/>
    <w:rsid w:val="00D46E89"/>
    <w:rsid w:val="00D563BD"/>
    <w:rsid w:val="00D6270F"/>
    <w:rsid w:val="00D63613"/>
    <w:rsid w:val="00D71521"/>
    <w:rsid w:val="00D73E09"/>
    <w:rsid w:val="00D74C7C"/>
    <w:rsid w:val="00D91E13"/>
    <w:rsid w:val="00D92090"/>
    <w:rsid w:val="00D92196"/>
    <w:rsid w:val="00D974F0"/>
    <w:rsid w:val="00D97EB9"/>
    <w:rsid w:val="00DA449A"/>
    <w:rsid w:val="00DB312A"/>
    <w:rsid w:val="00DB6C4E"/>
    <w:rsid w:val="00DC0C84"/>
    <w:rsid w:val="00DC4EEC"/>
    <w:rsid w:val="00DC647A"/>
    <w:rsid w:val="00DC7ACF"/>
    <w:rsid w:val="00DD3C29"/>
    <w:rsid w:val="00DD746A"/>
    <w:rsid w:val="00DD7B0B"/>
    <w:rsid w:val="00DF62D7"/>
    <w:rsid w:val="00DF6EAD"/>
    <w:rsid w:val="00E0037F"/>
    <w:rsid w:val="00E0094A"/>
    <w:rsid w:val="00E01693"/>
    <w:rsid w:val="00E05957"/>
    <w:rsid w:val="00E073B0"/>
    <w:rsid w:val="00E210BE"/>
    <w:rsid w:val="00E22A8C"/>
    <w:rsid w:val="00E238E8"/>
    <w:rsid w:val="00E27828"/>
    <w:rsid w:val="00E30E53"/>
    <w:rsid w:val="00E3212A"/>
    <w:rsid w:val="00E40608"/>
    <w:rsid w:val="00E464D6"/>
    <w:rsid w:val="00E534DE"/>
    <w:rsid w:val="00E546E9"/>
    <w:rsid w:val="00E72DB6"/>
    <w:rsid w:val="00E8250C"/>
    <w:rsid w:val="00E83A1F"/>
    <w:rsid w:val="00E97006"/>
    <w:rsid w:val="00EA44A1"/>
    <w:rsid w:val="00EB5872"/>
    <w:rsid w:val="00EE08C5"/>
    <w:rsid w:val="00EE4D04"/>
    <w:rsid w:val="00EF409D"/>
    <w:rsid w:val="00EF50C2"/>
    <w:rsid w:val="00F02BF2"/>
    <w:rsid w:val="00F20ED7"/>
    <w:rsid w:val="00F24254"/>
    <w:rsid w:val="00F322EC"/>
    <w:rsid w:val="00F32444"/>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F2A97"/>
    <w:rsid w:val="00FF3C2E"/>
    <w:rsid w:val="07F9226D"/>
    <w:rsid w:val="57FA7CB8"/>
    <w:rsid w:val="5B78A92F"/>
    <w:rsid w:val="76FF9EEA"/>
    <w:rsid w:val="77B53FF2"/>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1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46A14"/>
    <w:rPr>
      <w:sz w:val="18"/>
      <w:szCs w:val="18"/>
    </w:rPr>
  </w:style>
  <w:style w:type="paragraph" w:styleId="a4">
    <w:name w:val="footer"/>
    <w:basedOn w:val="a"/>
    <w:link w:val="Char0"/>
    <w:uiPriority w:val="99"/>
    <w:unhideWhenUsed/>
    <w:qFormat/>
    <w:rsid w:val="00246A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6A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46A14"/>
    <w:rPr>
      <w:sz w:val="18"/>
      <w:szCs w:val="18"/>
    </w:rPr>
  </w:style>
  <w:style w:type="character" w:customStyle="1" w:styleId="Char0">
    <w:name w:val="页脚 Char"/>
    <w:basedOn w:val="a0"/>
    <w:link w:val="a4"/>
    <w:uiPriority w:val="99"/>
    <w:qFormat/>
    <w:rsid w:val="00246A14"/>
    <w:rPr>
      <w:sz w:val="18"/>
      <w:szCs w:val="18"/>
    </w:rPr>
  </w:style>
  <w:style w:type="paragraph" w:styleId="a6">
    <w:name w:val="List Paragraph"/>
    <w:basedOn w:val="a"/>
    <w:uiPriority w:val="34"/>
    <w:qFormat/>
    <w:rsid w:val="00246A14"/>
    <w:pPr>
      <w:ind w:firstLineChars="200" w:firstLine="420"/>
    </w:pPr>
  </w:style>
  <w:style w:type="character" w:customStyle="1" w:styleId="Char">
    <w:name w:val="批注框文本 Char"/>
    <w:basedOn w:val="a0"/>
    <w:link w:val="a3"/>
    <w:uiPriority w:val="99"/>
    <w:semiHidden/>
    <w:qFormat/>
    <w:rsid w:val="00246A14"/>
    <w:rPr>
      <w:sz w:val="18"/>
      <w:szCs w:val="18"/>
    </w:rPr>
  </w:style>
  <w:style w:type="table" w:styleId="a7">
    <w:name w:val="Table Grid"/>
    <w:basedOn w:val="a1"/>
    <w:qFormat/>
    <w:rsid w:val="00F8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780090">
      <w:bodyDiv w:val="1"/>
      <w:marLeft w:val="0"/>
      <w:marRight w:val="0"/>
      <w:marTop w:val="0"/>
      <w:marBottom w:val="0"/>
      <w:divBdr>
        <w:top w:val="none" w:sz="0" w:space="0" w:color="auto"/>
        <w:left w:val="none" w:sz="0" w:space="0" w:color="auto"/>
        <w:bottom w:val="none" w:sz="0" w:space="0" w:color="auto"/>
        <w:right w:val="none" w:sz="0" w:space="0" w:color="auto"/>
      </w:divBdr>
    </w:div>
    <w:div w:id="667758736">
      <w:bodyDiv w:val="1"/>
      <w:marLeft w:val="0"/>
      <w:marRight w:val="0"/>
      <w:marTop w:val="0"/>
      <w:marBottom w:val="0"/>
      <w:divBdr>
        <w:top w:val="none" w:sz="0" w:space="0" w:color="auto"/>
        <w:left w:val="none" w:sz="0" w:space="0" w:color="auto"/>
        <w:bottom w:val="none" w:sz="0" w:space="0" w:color="auto"/>
        <w:right w:val="none" w:sz="0" w:space="0" w:color="auto"/>
      </w:divBdr>
    </w:div>
    <w:div w:id="690300596">
      <w:bodyDiv w:val="1"/>
      <w:marLeft w:val="0"/>
      <w:marRight w:val="0"/>
      <w:marTop w:val="0"/>
      <w:marBottom w:val="0"/>
      <w:divBdr>
        <w:top w:val="none" w:sz="0" w:space="0" w:color="auto"/>
        <w:left w:val="none" w:sz="0" w:space="0" w:color="auto"/>
        <w:bottom w:val="none" w:sz="0" w:space="0" w:color="auto"/>
        <w:right w:val="none" w:sz="0" w:space="0" w:color="auto"/>
      </w:divBdr>
    </w:div>
    <w:div w:id="911043325">
      <w:bodyDiv w:val="1"/>
      <w:marLeft w:val="0"/>
      <w:marRight w:val="0"/>
      <w:marTop w:val="0"/>
      <w:marBottom w:val="0"/>
      <w:divBdr>
        <w:top w:val="none" w:sz="0" w:space="0" w:color="auto"/>
        <w:left w:val="none" w:sz="0" w:space="0" w:color="auto"/>
        <w:bottom w:val="none" w:sz="0" w:space="0" w:color="auto"/>
        <w:right w:val="none" w:sz="0" w:space="0" w:color="auto"/>
      </w:divBdr>
    </w:div>
    <w:div w:id="1037512886">
      <w:bodyDiv w:val="1"/>
      <w:marLeft w:val="0"/>
      <w:marRight w:val="0"/>
      <w:marTop w:val="0"/>
      <w:marBottom w:val="0"/>
      <w:divBdr>
        <w:top w:val="none" w:sz="0" w:space="0" w:color="auto"/>
        <w:left w:val="none" w:sz="0" w:space="0" w:color="auto"/>
        <w:bottom w:val="none" w:sz="0" w:space="0" w:color="auto"/>
        <w:right w:val="none" w:sz="0" w:space="0" w:color="auto"/>
      </w:divBdr>
    </w:div>
    <w:div w:id="1193618388">
      <w:bodyDiv w:val="1"/>
      <w:marLeft w:val="0"/>
      <w:marRight w:val="0"/>
      <w:marTop w:val="0"/>
      <w:marBottom w:val="0"/>
      <w:divBdr>
        <w:top w:val="none" w:sz="0" w:space="0" w:color="auto"/>
        <w:left w:val="none" w:sz="0" w:space="0" w:color="auto"/>
        <w:bottom w:val="none" w:sz="0" w:space="0" w:color="auto"/>
        <w:right w:val="none" w:sz="0" w:space="0" w:color="auto"/>
      </w:divBdr>
    </w:div>
    <w:div w:id="1652295055">
      <w:bodyDiv w:val="1"/>
      <w:marLeft w:val="0"/>
      <w:marRight w:val="0"/>
      <w:marTop w:val="0"/>
      <w:marBottom w:val="0"/>
      <w:divBdr>
        <w:top w:val="none" w:sz="0" w:space="0" w:color="auto"/>
        <w:left w:val="none" w:sz="0" w:space="0" w:color="auto"/>
        <w:bottom w:val="none" w:sz="0" w:space="0" w:color="auto"/>
        <w:right w:val="none" w:sz="0" w:space="0" w:color="auto"/>
      </w:divBdr>
    </w:div>
    <w:div w:id="213162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546</Words>
  <Characters>3115</Characters>
  <Application>Microsoft Office Word</Application>
  <DocSecurity>0</DocSecurity>
  <Lines>25</Lines>
  <Paragraphs>7</Paragraphs>
  <ScaleCrop>false</ScaleCrop>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曹萌</cp:lastModifiedBy>
  <cp:revision>79</cp:revision>
  <cp:lastPrinted>2022-09-30T03:23:00Z</cp:lastPrinted>
  <dcterms:created xsi:type="dcterms:W3CDTF">2020-04-27T08:59:00Z</dcterms:created>
  <dcterms:modified xsi:type="dcterms:W3CDTF">2022-11-18T07:31:00Z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